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B8C"/>
          <w:sz w:val="26"/>
        </w:rPr>
        <w:t>FAEP / QAI</w:t>
      </w:r>
    </w:p>
    <w:p>
      <w:pPr>
        <w:pStyle w:val="Title"/>
        <w:jc w:val="center"/>
      </w:pPr>
      <w:r>
        <w:t>Heterogeneous Accelerator Layer</w:t>
        <w:br/>
        <w:t>and Deterministic Control Architecture</w:t>
      </w:r>
    </w:p>
    <w:p>
      <w:pPr>
        <w:jc w:val="center"/>
      </w:pPr>
      <w:r>
        <w:rPr>
          <w:i/>
        </w:rPr>
        <w:t>Architecture working reference • Proposed design • Version 1.0</w:t>
      </w:r>
    </w:p>
    <w:p>
      <w:r>
        <w:t>Purpose: capture the proposed architecture for integrating CPU, GPU, FPGA, HPC, QPU and Quantum System Controller (QSC) resources, with explicit interconnect, clock-domain, timing-budget and local feedback-loop considerations. This is a design reference, not a claim that the proposed capabilities are already implemented.</w:t>
      </w:r>
    </w:p>
    <w:p>
      <w:pPr>
        <w:pStyle w:val="Heading1"/>
      </w:pPr>
      <w:r>
        <w:t>1. Architectural Decisions</w:t>
      </w:r>
    </w:p>
    <w:p>
      <w:pPr>
        <w:pStyle w:val="ListBullet"/>
      </w:pPr>
      <w:r>
        <w:t>FPGA Fabric is a reusable, vendor-neutral fabric for capability abstraction, virtualisation, simulation, emulation, hardware-in-the-loop and physical FPGA integration.</w:t>
      </w:r>
    </w:p>
    <w:p>
      <w:pPr>
        <w:pStyle w:val="ListBullet"/>
      </w:pPr>
      <w:r>
        <w:t>The FAEP/QAI Heterogeneous Accelerator Layer is a separate logical integration layer coordinating CPU, GPU, FPGA, HPC, QPU and QSC resources.</w:t>
      </w:r>
    </w:p>
    <w:p>
      <w:pPr>
        <w:pStyle w:val="ListBullet"/>
      </w:pPr>
      <w:r>
        <w:t>Deterministic Control and Timing is a cross-cutting capability describing clock domains, synchronisation, timing budgets, deadlines and feedback-loop placement; it is not a single central service through which every time-critical operation must pass.</w:t>
      </w:r>
    </w:p>
    <w:p>
      <w:pPr>
        <w:pStyle w:val="ListBullet"/>
      </w:pPr>
      <w:r>
        <w:t>Supervisory orchestration is separated from deadline-critical control. The control plane configures, supervises and observes; local controllers execute time-critical operations where required.</w:t>
      </w:r>
    </w:p>
    <w:p>
      <w:pPr>
        <w:pStyle w:val="ListBullet"/>
      </w:pPr>
      <w:r>
        <w:t>Resource availability, topology compatibility, authorisation and demonstrated timing performance are separate decisions.</w:t>
      </w:r>
    </w:p>
    <w:p>
      <w:pPr>
        <w:pStyle w:val="ListBullet"/>
      </w:pPr>
      <w:r>
        <w:t>The design remains vendor-neutral. NVQLink, RoCEv2, PTP and specific FPGA/QPU implementations are possible technologies, not mandatory architectural dependencies.</w:t>
      </w:r>
    </w:p>
    <w:p>
      <w:pPr>
        <w:pStyle w:val="Heading1"/>
      </w:pPr>
      <w:r>
        <w:t>2. Proposed Logical Architecture</w:t>
      </w:r>
    </w:p>
    <w:p>
      <w:pPr>
        <w:pStyle w:val="ListNumber"/>
      </w:pPr>
      <w:r>
        <w:t>FAEP Applications &amp; Workloads — QKD, quantum simulation, QEC, AI/ML, HPC and real-time I/O.</w:t>
      </w:r>
    </w:p>
    <w:p>
      <w:pPr>
        <w:pStyle w:val="ListNumber"/>
      </w:pPr>
      <w:r>
        <w:t>FAEP Control Plane — experiment management, policies, scheduling, resource orchestration, telemetry, security, governance and evidence.</w:t>
      </w:r>
    </w:p>
    <w:p>
      <w:pPr>
        <w:pStyle w:val="ListNumber"/>
      </w:pPr>
      <w:r>
        <w:t>FAEP/QAI Heterogeneous Accelerator Layer — topology and compatibility assessment, workload-to-resource mapping, accelerator coordination, data-movement planning, QPU/QSC integration and runtime session management.</w:t>
      </w:r>
    </w:p>
    <w:p>
      <w:pPr>
        <w:pStyle w:val="ListNumber"/>
      </w:pPr>
      <w:r>
        <w:t>Fabric Services — CPU/GPU Fabric; FPGA Fabric; Network Fabric; Quantum Fabric; Storage/Memory Fabric.</w:t>
      </w:r>
    </w:p>
    <w:p>
      <w:pPr>
        <w:pStyle w:val="ListNumber"/>
      </w:pPr>
      <w:r>
        <w:t>Deterministic Control and Timing — clock-domain descriptions, synchronisation, timing budgets, deadline assessment and local feedback-loop support across layers.</w:t>
      </w:r>
    </w:p>
    <w:p>
      <w:pPr>
        <w:pStyle w:val="ListNumber"/>
      </w:pPr>
      <w:r>
        <w:t>Physical and Virtual Resource Environment — CPU/GPU servers, FPGA devices, HPC nodes, QSC, QPU, network interfaces, timing hardware and storage, in simulation, emulation, hardware-in-the-loop or physical modes.</w:t>
      </w:r>
    </w:p>
    <w:p>
      <w:pPr>
        <w:pStyle w:val="Heading1"/>
      </w:pPr>
      <w:r>
        <w:t>3. Fabric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Fabric</w:t>
            </w:r>
          </w:p>
        </w:tc>
        <w:tc>
          <w:tcPr>
            <w:tcW w:type="dxa" w:w="3312"/>
          </w:tcPr>
          <w:p>
            <w:r>
              <w:t>Primary responsibility</w:t>
            </w:r>
          </w:p>
        </w:tc>
        <w:tc>
          <w:tcPr>
            <w:tcW w:type="dxa" w:w="3312"/>
          </w:tcPr>
          <w:p>
            <w:r>
              <w:t>Potential consumers</w:t>
            </w:r>
          </w:p>
        </w:tc>
      </w:tr>
      <w:tr>
        <w:tc>
          <w:tcPr>
            <w:tcW w:type="dxa" w:w="3312"/>
          </w:tcPr>
          <w:p>
            <w:r>
              <w:t>CPU/GPU Fabric</w:t>
            </w:r>
          </w:p>
        </w:tc>
        <w:tc>
          <w:tcPr>
            <w:tcW w:type="dxa" w:w="3312"/>
          </w:tcPr>
          <w:p>
            <w:r>
              <w:t>Classical compute, parallel processing, GPU acceleration and supported quantum simulation.</w:t>
            </w:r>
          </w:p>
        </w:tc>
        <w:tc>
          <w:tcPr>
            <w:tcW w:type="dxa" w:w="3312"/>
          </w:tcPr>
          <w:p>
            <w:r>
              <w:t>QAI Runtime, AI/ML, HPC and simulation workloads.</w:t>
            </w:r>
          </w:p>
        </w:tc>
      </w:tr>
      <w:tr>
        <w:tc>
          <w:tcPr>
            <w:tcW w:type="dxa" w:w="3312"/>
          </w:tcPr>
          <w:p>
            <w:r>
              <w:t>FPGA Fabric</w:t>
            </w:r>
          </w:p>
        </w:tc>
        <w:tc>
          <w:tcPr>
            <w:tcW w:type="dxa" w:w="3312"/>
          </w:tcPr>
          <w:p>
            <w:r>
              <w:t>Capability abstraction, simulation/emulation, hardware integration, deterministic processing and supported high-speed I/O.</w:t>
            </w:r>
          </w:p>
        </w:tc>
        <w:tc>
          <w:tcPr>
            <w:tcW w:type="dxa" w:w="3312"/>
          </w:tcPr>
          <w:p>
            <w:r>
              <w:t>Runtime, network, quantum, real-time and HPC services.</w:t>
            </w:r>
          </w:p>
        </w:tc>
      </w:tr>
      <w:tr>
        <w:tc>
          <w:tcPr>
            <w:tcW w:type="dxa" w:w="3312"/>
          </w:tcPr>
          <w:p>
            <w:r>
              <w:t>Network Fabric</w:t>
            </w:r>
          </w:p>
        </w:tc>
        <w:tc>
          <w:tcPr>
            <w:tcW w:type="dxa" w:w="3312"/>
          </w:tcPr>
          <w:p>
            <w:r>
              <w:t>Classical networking, topology modelling, network emulation and communication services.</w:t>
            </w:r>
          </w:p>
        </w:tc>
        <w:tc>
          <w:tcPr>
            <w:tcW w:type="dxa" w:w="3312"/>
          </w:tcPr>
          <w:p>
            <w:r>
              <w:t>Distributed workloads, control systems and quantum communication.</w:t>
            </w:r>
          </w:p>
        </w:tc>
      </w:tr>
      <w:tr>
        <w:tc>
          <w:tcPr>
            <w:tcW w:type="dxa" w:w="3312"/>
          </w:tcPr>
          <w:p>
            <w:r>
              <w:t>Quantum Fabric</w:t>
            </w:r>
          </w:p>
        </w:tc>
        <w:tc>
          <w:tcPr>
            <w:tcW w:type="dxa" w:w="3312"/>
          </w:tcPr>
          <w:p>
            <w:r>
              <w:t>Quantum-resource abstraction, quantum-network simulation and supported QPU integrations.</w:t>
            </w:r>
          </w:p>
        </w:tc>
        <w:tc>
          <w:tcPr>
            <w:tcW w:type="dxa" w:w="3312"/>
          </w:tcPr>
          <w:p>
            <w:r>
              <w:t>Quantum workloads and research experiments.</w:t>
            </w:r>
          </w:p>
        </w:tc>
      </w:tr>
      <w:tr>
        <w:tc>
          <w:tcPr>
            <w:tcW w:type="dxa" w:w="3312"/>
          </w:tcPr>
          <w:p>
            <w:r>
              <w:t>Storage/Memory Fabric</w:t>
            </w:r>
          </w:p>
        </w:tc>
        <w:tc>
          <w:tcPr>
            <w:tcW w:type="dxa" w:w="3312"/>
          </w:tcPr>
          <w:p>
            <w:r>
              <w:t>Persistent data, experiment state, models and evidence.</w:t>
            </w:r>
          </w:p>
        </w:tc>
        <w:tc>
          <w:tcPr>
            <w:tcW w:type="dxa" w:w="3312"/>
          </w:tcPr>
          <w:p>
            <w:r>
              <w:t>All applicable fabrics and services.</w:t>
            </w:r>
          </w:p>
        </w:tc>
      </w:tr>
    </w:tbl>
    <w:p>
      <w:pPr>
        <w:pStyle w:val="Heading1"/>
      </w:pPr>
      <w:r>
        <w:t>4. FPGA Fabric Execution Modes</w:t>
      </w:r>
    </w:p>
    <w:p>
      <w:pPr>
        <w:pStyle w:val="ListBullet"/>
      </w:pPr>
      <w:r>
        <w:rPr>
          <w:b/>
        </w:rPr>
        <w:t xml:space="preserve">Virtual capability description — </w:t>
      </w:r>
      <w:r>
        <w:t>Describe FPGA resources and constraints without requiring immediate physical access.</w:t>
      </w:r>
    </w:p>
    <w:p>
      <w:pPr>
        <w:pStyle w:val="ListBullet"/>
      </w:pPr>
      <w:r>
        <w:rPr>
          <w:b/>
        </w:rPr>
        <w:t xml:space="preserve">Simulation — </w:t>
      </w:r>
      <w:r>
        <w:t>Model selected functionality and timing assumptions in software; keep results distinct from physical measurements.</w:t>
      </w:r>
    </w:p>
    <w:p>
      <w:pPr>
        <w:pStyle w:val="ListBullet"/>
      </w:pPr>
      <w:r>
        <w:rPr>
          <w:b/>
        </w:rPr>
        <w:t xml:space="preserve">Emulation — </w:t>
      </w:r>
      <w:r>
        <w:t>Reproduce selected FPGA/system behaviours in a controlled environment, with declared fidelity and limitations.</w:t>
      </w:r>
    </w:p>
    <w:p>
      <w:pPr>
        <w:pStyle w:val="ListBullet"/>
      </w:pPr>
      <w:r>
        <w:rPr>
          <w:b/>
        </w:rPr>
        <w:t xml:space="preserve">Hardware-in-the-loop — </w:t>
      </w:r>
      <w:r>
        <w:t>Connect physical FPGA hardware while other system components may remain simulated.</w:t>
      </w:r>
    </w:p>
    <w:p>
      <w:pPr>
        <w:pStyle w:val="ListBullet"/>
      </w:pPr>
      <w:r>
        <w:rPr>
          <w:b/>
        </w:rPr>
        <w:t xml:space="preserve">Physical execution — </w:t>
      </w:r>
      <w:r>
        <w:t>Use an actual FPGA with supported drivers, firmware, bitstream, interfaces and resource controls.</w:t>
      </w:r>
    </w:p>
    <w:p>
      <w:r>
        <w:t>Not every FPGA adapter is expected to support every mode. Unsupported capabilities must be reported explicitly.</w:t>
      </w:r>
    </w:p>
    <w:p>
      <w:pPr>
        <w:pStyle w:val="Heading1"/>
      </w:pPr>
      <w:r>
        <w:t>5. Supervisory Orchestration vs. Local Deterministic Control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Operation</w:t>
            </w:r>
          </w:p>
        </w:tc>
        <w:tc>
          <w:tcPr>
            <w:tcW w:type="dxa" w:w="3312"/>
          </w:tcPr>
          <w:p>
            <w:r>
              <w:t>Preferred location</w:t>
            </w:r>
          </w:p>
        </w:tc>
        <w:tc>
          <w:tcPr>
            <w:tcW w:type="dxa" w:w="3312"/>
          </w:tcPr>
          <w:p>
            <w:r>
              <w:t>Design consideration</w:t>
            </w:r>
          </w:p>
        </w:tc>
      </w:tr>
      <w:tr>
        <w:tc>
          <w:tcPr>
            <w:tcW w:type="dxa" w:w="3312"/>
          </w:tcPr>
          <w:p>
            <w:r>
              <w:t>Workload submission and resource selection</w:t>
            </w:r>
          </w:p>
        </w:tc>
        <w:tc>
          <w:tcPr>
            <w:tcW w:type="dxa" w:w="3312"/>
          </w:tcPr>
          <w:p>
            <w:r>
              <w:t>FAEP Control Plane / Heterogeneous Accelerator Layer</w:t>
            </w:r>
          </w:p>
        </w:tc>
        <w:tc>
          <w:tcPr>
            <w:tcW w:type="dxa" w:w="3312"/>
          </w:tcPr>
          <w:p>
            <w:r>
              <w:t>Usually supervisory; evaluate before execution.</w:t>
            </w:r>
          </w:p>
        </w:tc>
      </w:tr>
      <w:tr>
        <w:tc>
          <w:tcPr>
            <w:tcW w:type="dxa" w:w="3312"/>
          </w:tcPr>
          <w:p>
            <w:r>
              <w:t>GPU scheduling and data movement</w:t>
            </w:r>
          </w:p>
        </w:tc>
        <w:tc>
          <w:tcPr>
            <w:tcW w:type="dxa" w:w="3312"/>
          </w:tcPr>
          <w:p>
            <w:r>
              <w:t>Host/runtime and supported accelerator interfaces</w:t>
            </w:r>
          </w:p>
        </w:tc>
        <w:tc>
          <w:tcPr>
            <w:tcW w:type="dxa" w:w="3312"/>
          </w:tcPr>
          <w:p>
            <w:r>
              <w:t>Must be assessed if included in a hard deadline.</w:t>
            </w:r>
          </w:p>
        </w:tc>
      </w:tr>
      <w:tr>
        <w:tc>
          <w:tcPr>
            <w:tcW w:type="dxa" w:w="3312"/>
          </w:tcPr>
          <w:p>
            <w:r>
              <w:t>QPU experiment setup</w:t>
            </w:r>
          </w:p>
        </w:tc>
        <w:tc>
          <w:tcPr>
            <w:tcW w:type="dxa" w:w="3312"/>
          </w:tcPr>
          <w:p>
            <w:r>
              <w:t>QPU runtime or QSC</w:t>
            </w:r>
          </w:p>
        </w:tc>
        <w:tc>
          <w:tcPr>
            <w:tcW w:type="dxa" w:w="3312"/>
          </w:tcPr>
          <w:p>
            <w:r>
              <w:t>Device-specific setup and session establishment.</w:t>
            </w:r>
          </w:p>
        </w:tc>
      </w:tr>
      <w:tr>
        <w:tc>
          <w:tcPr>
            <w:tcW w:type="dxa" w:w="3312"/>
          </w:tcPr>
          <w:p>
            <w:r>
              <w:t>Pulse generation and acquisition</w:t>
            </w:r>
          </w:p>
        </w:tc>
        <w:tc>
          <w:tcPr>
            <w:tcW w:type="dxa" w:w="3312"/>
          </w:tcPr>
          <w:p>
            <w:r>
              <w:t>Local QSC, FPGA or suitable real-time hardware</w:t>
            </w:r>
          </w:p>
        </w:tc>
        <w:tc>
          <w:tcPr>
            <w:tcW w:type="dxa" w:w="3312"/>
          </w:tcPr>
          <w:p>
            <w:r>
              <w:t>Keep local when remote or host scheduling cannot meet the deadline.</w:t>
            </w:r>
          </w:p>
        </w:tc>
      </w:tr>
      <w:tr>
        <w:tc>
          <w:tcPr>
            <w:tcW w:type="dxa" w:w="3312"/>
          </w:tcPr>
          <w:p>
            <w:r>
              <w:t>Measurement processing / QEC feedback</w:t>
            </w:r>
          </w:p>
        </w:tc>
        <w:tc>
          <w:tcPr>
            <w:tcW w:type="dxa" w:w="3312"/>
          </w:tcPr>
          <w:p>
            <w:r>
              <w:t>FPGA, GPU, CPU or QSC depending on verified timing</w:t>
            </w:r>
          </w:p>
        </w:tc>
        <w:tc>
          <w:tcPr>
            <w:tcW w:type="dxa" w:w="3312"/>
          </w:tcPr>
          <w:p>
            <w:r>
              <w:t>Choose only a path whose end-to-end deadline can be demonstrated.</w:t>
            </w:r>
          </w:p>
        </w:tc>
      </w:tr>
      <w:tr>
        <w:tc>
          <w:tcPr>
            <w:tcW w:type="dxa" w:w="3312"/>
          </w:tcPr>
          <w:p>
            <w:r>
              <w:t>Evidence and telemetry transfer</w:t>
            </w:r>
          </w:p>
        </w:tc>
        <w:tc>
          <w:tcPr>
            <w:tcW w:type="dxa" w:w="3312"/>
          </w:tcPr>
          <w:p>
            <w:r>
              <w:t>Local buffering with asynchronous transfer where appropriate</w:t>
            </w:r>
          </w:p>
        </w:tc>
        <w:tc>
          <w:tcPr>
            <w:tcW w:type="dxa" w:w="3312"/>
          </w:tcPr>
          <w:p>
            <w:r>
              <w:t>Avoid blocking a real-time loop on logging/storage latency.</w:t>
            </w:r>
          </w:p>
        </w:tc>
      </w:tr>
    </w:tbl>
    <w:p>
      <w:pPr>
        <w:pStyle w:val="Heading1"/>
      </w:pPr>
      <w:r>
        <w:t>6. Timing and Clock-Domain Model</w:t>
      </w:r>
    </w:p>
    <w:p>
      <w:r>
        <w:t>Do not assume a single global clock. Relevant domains may include CPU host time, GPU execution/event timing, FPGA reference/device clocks, QSC timing, QPU operation/measurement timing, network timestamping and simulation time.</w:t>
      </w:r>
    </w:p>
    <w:p>
      <w:pPr>
        <w:pStyle w:val="ListBullet"/>
      </w:pPr>
      <w:r>
        <w:t>Clock-domain description: declare clock identity, reference source, timestamp characteristics, units and known limitations.</w:t>
      </w:r>
    </w:p>
    <w:p>
      <w:pPr>
        <w:pStyle w:val="ListBullet"/>
      </w:pPr>
      <w:r>
        <w:t>Synchronisation: use PTP, hardware timestamping, shared references or device-specific timing only when supported and justified by measured requirements.</w:t>
      </w:r>
    </w:p>
    <w:p>
      <w:pPr>
        <w:pStyle w:val="ListBullet"/>
      </w:pPr>
      <w:r>
        <w:t>Timing budgets: account for acquisition, transfer, processing, decision and control output.</w:t>
      </w:r>
    </w:p>
    <w:p>
      <w:pPr>
        <w:pStyle w:val="ListBullet"/>
      </w:pPr>
      <w:r>
        <w:t>Deadline assessment: assess worst-case or appropriately bounded latency, jitter and margin—not only average latency.</w:t>
      </w:r>
    </w:p>
    <w:p>
      <w:pPr>
        <w:pStyle w:val="ListBullet"/>
      </w:pPr>
      <w:r>
        <w:t>Timing evidence: capture clock offset, drift, timestamp error, feedback latency, jitter and missed deadlines where relevant.</w:t>
      </w:r>
    </w:p>
    <w:p>
      <w:pPr>
        <w:pStyle w:val="ListBullet"/>
      </w:pPr>
      <w:r>
        <w:t>Simulation time must remain distinct from host wall-clock time and physical hardware time.</w:t>
      </w:r>
    </w:p>
    <w:p>
      <w:pPr>
        <w:jc w:val="center"/>
      </w:pPr>
      <w:r>
        <w:rPr>
          <w:b/>
        </w:rPr>
        <w:t>T_loop = T_acquisition + T_transfer + T_processing + T_decision + T_control</w:t>
      </w:r>
    </w:p>
    <w:p>
      <w:pPr>
        <w:jc w:val="center"/>
      </w:pPr>
      <w:r>
        <w:rPr>
          <w:i/>
        </w:rPr>
        <w:t>Acceptance condition: T_loop ≤ T_deadline, with defined margin and appropriate timing evidence.</w:t>
      </w:r>
    </w:p>
    <w:p>
      <w:pPr>
        <w:pStyle w:val="Heading1"/>
      </w:pPr>
      <w:r>
        <w:t>7. Proposed Logical Contracts</w:t>
      </w:r>
    </w:p>
    <w:tbl>
      <w:tblPr>
        <w:tblStyle w:val="LightShading-Accent1"/>
        <w:tblW w:type="auto" w:w="0"/>
        <w:tblLook w:firstColumn="1" w:firstRow="1" w:lastColumn="0" w:lastRow="0" w:noHBand="0" w:noVBand="1" w:val="04A0"/>
      </w:tblPr>
      <w:tblGrid>
        <w:gridCol w:w="4968"/>
        <w:gridCol w:w="4968"/>
      </w:tblGrid>
      <w:tr>
        <w:tc>
          <w:tcPr>
            <w:tcW w:type="dxa" w:w="4968"/>
          </w:tcPr>
          <w:p>
            <w:r>
              <w:t>Proposed contract</w:t>
            </w:r>
          </w:p>
        </w:tc>
        <w:tc>
          <w:tcPr>
            <w:tcW w:type="dxa" w:w="4968"/>
          </w:tcPr>
          <w:p>
            <w:r>
              <w:t>Purpose</w:t>
            </w:r>
          </w:p>
        </w:tc>
      </w:tr>
      <w:tr>
        <w:tc>
          <w:tcPr>
            <w:tcW w:type="dxa" w:w="4968"/>
          </w:tcPr>
          <w:p>
            <w:r>
              <w:t>accelerator_topology</w:t>
            </w:r>
          </w:p>
        </w:tc>
        <w:tc>
          <w:tcPr>
            <w:tcW w:type="dxa" w:w="4968"/>
          </w:tcPr>
          <w:p>
            <w:r>
              <w:t>Participating resources and their connections.</w:t>
            </w:r>
          </w:p>
        </w:tc>
      </w:tr>
      <w:tr>
        <w:tc>
          <w:tcPr>
            <w:tcW w:type="dxa" w:w="4968"/>
          </w:tcPr>
          <w:p>
            <w:r>
              <w:t>accelerator_capability</w:t>
            </w:r>
          </w:p>
        </w:tc>
        <w:tc>
          <w:tcPr>
            <w:tcW w:type="dxa" w:w="4968"/>
          </w:tcPr>
          <w:p>
            <w:r>
              <w:t>Compute, memory, I/O and execution capabilities.</w:t>
            </w:r>
          </w:p>
        </w:tc>
      </w:tr>
      <w:tr>
        <w:tc>
          <w:tcPr>
            <w:tcW w:type="dxa" w:w="4968"/>
          </w:tcPr>
          <w:p>
            <w:r>
              <w:t>interconnect_capability</w:t>
            </w:r>
          </w:p>
        </w:tc>
        <w:tc>
          <w:tcPr>
            <w:tcW w:type="dxa" w:w="4968"/>
          </w:tcPr>
          <w:p>
            <w:r>
              <w:t>Supported interfaces, data paths and transport characteristics.</w:t>
            </w:r>
          </w:p>
        </w:tc>
      </w:tr>
      <w:tr>
        <w:tc>
          <w:tcPr>
            <w:tcW w:type="dxa" w:w="4968"/>
          </w:tcPr>
          <w:p>
            <w:r>
              <w:t>clock_domain</w:t>
            </w:r>
          </w:p>
        </w:tc>
        <w:tc>
          <w:tcPr>
            <w:tcW w:type="dxa" w:w="4968"/>
          </w:tcPr>
          <w:p>
            <w:r>
              <w:t>Clock identity, reference, timestamp properties and synchronisation status.</w:t>
            </w:r>
          </w:p>
        </w:tc>
      </w:tr>
      <w:tr>
        <w:tc>
          <w:tcPr>
            <w:tcW w:type="dxa" w:w="4968"/>
          </w:tcPr>
          <w:p>
            <w:r>
              <w:t>timing_requirement</w:t>
            </w:r>
          </w:p>
        </w:tc>
        <w:tc>
          <w:tcPr>
            <w:tcW w:type="dxa" w:w="4968"/>
          </w:tcPr>
          <w:p>
            <w:r>
              <w:t>Deadlines, latency constraints, jitter limits and required evidence.</w:t>
            </w:r>
          </w:p>
        </w:tc>
      </w:tr>
      <w:tr>
        <w:tc>
          <w:tcPr>
            <w:tcW w:type="dxa" w:w="4968"/>
          </w:tcPr>
          <w:p>
            <w:r>
              <w:t>control_loop</w:t>
            </w:r>
          </w:p>
        </w:tc>
        <w:tc>
          <w:tcPr>
            <w:tcW w:type="dxa" w:w="4968"/>
          </w:tcPr>
          <w:p>
            <w:r>
              <w:t>Feedback path, participating resources, deadlines and failure behaviour.</w:t>
            </w:r>
          </w:p>
        </w:tc>
      </w:tr>
      <w:tr>
        <w:tc>
          <w:tcPr>
            <w:tcW w:type="dxa" w:w="4968"/>
          </w:tcPr>
          <w:p>
            <w:r>
              <w:t>qpu_controller</w:t>
            </w:r>
          </w:p>
        </w:tc>
        <w:tc>
          <w:tcPr>
            <w:tcW w:type="dxa" w:w="4968"/>
          </w:tcPr>
          <w:p>
            <w:r>
              <w:t>QPU/QSC interfaces, supported operations and controller capabilities.</w:t>
            </w:r>
          </w:p>
        </w:tc>
      </w:tr>
      <w:tr>
        <w:tc>
          <w:tcPr>
            <w:tcW w:type="dxa" w:w="4968"/>
          </w:tcPr>
          <w:p>
            <w:r>
              <w:t>execution_binding</w:t>
            </w:r>
          </w:p>
        </w:tc>
        <w:tc>
          <w:tcPr>
            <w:tcW w:type="dxa" w:w="4968"/>
          </w:tcPr>
          <w:p>
            <w:r>
              <w:t>Mapping from logical resources to selected providers and runtime sessions.</w:t>
            </w:r>
          </w:p>
        </w:tc>
      </w:tr>
      <w:tr>
        <w:tc>
          <w:tcPr>
            <w:tcW w:type="dxa" w:w="4968"/>
          </w:tcPr>
          <w:p>
            <w:r>
              <w:t>qualification_evidence</w:t>
            </w:r>
          </w:p>
        </w:tc>
        <w:tc>
          <w:tcPr>
            <w:tcW w:type="dxa" w:w="4968"/>
          </w:tcPr>
          <w:p>
            <w:r>
              <w:t>Declared or measured properties supporting compatibility decisions.</w:t>
            </w:r>
          </w:p>
        </w:tc>
      </w:tr>
    </w:tbl>
    <w:p>
      <w:r>
        <w:t>These are proposed names, not existing files or implemented contracts. Review current QAI DevOps and Deployment Operator definitions before creating schemas or duplicating existing resource-profile fields.</w:t>
      </w:r>
    </w:p>
    <w:p>
      <w:pPr>
        <w:pStyle w:val="Heading1"/>
      </w:pPr>
      <w:r>
        <w:t>8. Topology Qualification Outcomes</w:t>
      </w:r>
    </w:p>
    <w:tbl>
      <w:tblPr>
        <w:tblStyle w:val="LightShading-Accent1"/>
        <w:tblW w:type="auto" w:w="0"/>
        <w:tblLook w:firstColumn="1" w:firstRow="1" w:lastColumn="0" w:lastRow="0" w:noHBand="0" w:noVBand="1" w:val="04A0"/>
      </w:tblPr>
      <w:tblGrid>
        <w:gridCol w:w="4968"/>
        <w:gridCol w:w="4968"/>
      </w:tblGrid>
      <w:tr>
        <w:tc>
          <w:tcPr>
            <w:tcW w:type="dxa" w:w="4968"/>
          </w:tcPr>
          <w:p>
            <w:r>
              <w:t>Outcome</w:t>
            </w:r>
          </w:p>
        </w:tc>
        <w:tc>
          <w:tcPr>
            <w:tcW w:type="dxa" w:w="4968"/>
          </w:tcPr>
          <w:p>
            <w:r>
              <w:t>Meaning</w:t>
            </w:r>
          </w:p>
        </w:tc>
      </w:tr>
      <w:tr>
        <w:tc>
          <w:tcPr>
            <w:tcW w:type="dxa" w:w="4968"/>
          </w:tcPr>
          <w:p>
            <w:r>
              <w:t>Compatible</w:t>
            </w:r>
          </w:p>
        </w:tc>
        <w:tc>
          <w:tcPr>
            <w:tcW w:type="dxa" w:w="4968"/>
          </w:tcPr>
          <w:p>
            <w:r>
              <w:t>Required capabilities and interfaces are supported by adequate evidence.</w:t>
            </w:r>
          </w:p>
        </w:tc>
      </w:tr>
      <w:tr>
        <w:tc>
          <w:tcPr>
            <w:tcW w:type="dxa" w:w="4968"/>
          </w:tcPr>
          <w:p>
            <w:r>
              <w:t>Incompatible</w:t>
            </w:r>
          </w:p>
        </w:tc>
        <w:tc>
          <w:tcPr>
            <w:tcW w:type="dxa" w:w="4968"/>
          </w:tcPr>
          <w:p>
            <w:r>
              <w:t>One or more mandatory requirements cannot be met.</w:t>
            </w:r>
          </w:p>
        </w:tc>
      </w:tr>
      <w:tr>
        <w:tc>
          <w:tcPr>
            <w:tcW w:type="dxa" w:w="4968"/>
          </w:tcPr>
          <w:p>
            <w:r>
              <w:t>Unresolved</w:t>
            </w:r>
          </w:p>
        </w:tc>
        <w:tc>
          <w:tcPr>
            <w:tcW w:type="dxa" w:w="4968"/>
          </w:tcPr>
          <w:p>
            <w:r>
              <w:t>A required resource or interface cannot be identified.</w:t>
            </w:r>
          </w:p>
        </w:tc>
      </w:tr>
      <w:tr>
        <w:tc>
          <w:tcPr>
            <w:tcW w:type="dxa" w:w="4968"/>
          </w:tcPr>
          <w:p>
            <w:r>
              <w:t>Insufficient evidence</w:t>
            </w:r>
          </w:p>
        </w:tc>
        <w:tc>
          <w:tcPr>
            <w:tcW w:type="dxa" w:w="4968"/>
          </w:tcPr>
          <w:p>
            <w:r>
              <w:t>Compatibility is plausible but has not been demonstrated adequately.</w:t>
            </w:r>
          </w:p>
        </w:tc>
      </w:tr>
      <w:tr>
        <w:tc>
          <w:tcPr>
            <w:tcW w:type="dxa" w:w="4968"/>
          </w:tcPr>
          <w:p>
            <w:r>
              <w:t>Inaccessible</w:t>
            </w:r>
          </w:p>
        </w:tc>
        <w:tc>
          <w:tcPr>
            <w:tcW w:type="dxa" w:w="4968"/>
          </w:tcPr>
          <w:p>
            <w:r>
              <w:t>A resource exists but cannot be accessed by the intended workload.</w:t>
            </w:r>
          </w:p>
        </w:tc>
      </w:tr>
      <w:tr>
        <w:tc>
          <w:tcPr>
            <w:tcW w:type="dxa" w:w="4968"/>
          </w:tcPr>
          <w:p>
            <w:r>
              <w:t>Prohibited</w:t>
            </w:r>
          </w:p>
        </w:tc>
        <w:tc>
          <w:tcPr>
            <w:tcW w:type="dxa" w:w="4968"/>
          </w:tcPr>
          <w:p>
            <w:r>
              <w:t>Policy or authorization prevents use.</w:t>
            </w:r>
          </w:p>
        </w:tc>
      </w:tr>
    </w:tbl>
    <w:p>
      <w:r>
        <w:t>Topology resolution is not authorization. Resource availability is not proof of compatibility, and compatibility is not proof of deterministic performance.</w:t>
      </w:r>
    </w:p>
    <w:p>
      <w:pPr>
        <w:pStyle w:val="Heading1"/>
      </w:pPr>
      <w:r>
        <w:t>9. Data-Center Qualification Criteria</w:t>
      </w:r>
    </w:p>
    <w:p>
      <w:pPr>
        <w:pStyle w:val="ListBullet"/>
      </w:pPr>
      <w:r>
        <w:t>FPGA availability, interfaces, toolchain, adapters and execution modes.</w:t>
      </w:r>
    </w:p>
    <w:p>
      <w:pPr>
        <w:pStyle w:val="ListBullet"/>
      </w:pPr>
      <w:r>
        <w:t>GPU/CPU/HPC access, topology and data-transfer characteristics.</w:t>
      </w:r>
    </w:p>
    <w:p>
      <w:pPr>
        <w:pStyle w:val="ListBullet"/>
      </w:pPr>
      <w:r>
        <w:t>QPU/QSC modality, interfaces and operating constraints.</w:t>
      </w:r>
    </w:p>
    <w:p>
      <w:pPr>
        <w:pStyle w:val="ListBullet"/>
      </w:pPr>
      <w:r>
        <w:t>Interconnect bandwidth, latency, jitter, reliability and measurement method.</w:t>
      </w:r>
    </w:p>
    <w:p>
      <w:pPr>
        <w:pStyle w:val="ListBullet"/>
      </w:pPr>
      <w:r>
        <w:t>Clock sources, synchronisation capabilities, timing accuracy and evidence.</w:t>
      </w:r>
    </w:p>
    <w:p>
      <w:pPr>
        <w:pStyle w:val="ListBullet"/>
      </w:pPr>
      <w:r>
        <w:t>Facility power, cooling, physical installation and operational access.</w:t>
      </w:r>
    </w:p>
    <w:p>
      <w:pPr>
        <w:pStyle w:val="ListBullet"/>
      </w:pPr>
      <w:r>
        <w:t>Security, isolation, firmware/bitstream management, credentials and audit controls.</w:t>
      </w:r>
    </w:p>
    <w:p>
      <w:pPr>
        <w:pStyle w:val="ListBullet"/>
      </w:pPr>
      <w:r>
        <w:t>Storage, telemetry, reproducibility, configuration records and benchmark evidence.</w:t>
      </w:r>
    </w:p>
    <w:p>
      <w:pPr>
        <w:pStyle w:val="Heading1"/>
      </w:pPr>
      <w:r>
        <w:t>10. Recommended Development Sequence</w:t>
      </w:r>
    </w:p>
    <w:p>
      <w:pPr>
        <w:pStyle w:val="ListNumber"/>
      </w:pPr>
      <w:r>
        <w:t>Document the architecture and boundaries of the Heterogeneous Accelerator Layer.</w:t>
      </w:r>
    </w:p>
    <w:p>
      <w:pPr>
        <w:pStyle w:val="ListNumber"/>
      </w:pPr>
      <w:r>
        <w:t>Review existing resource, workload, environment and deployment contracts; avoid premature schema changes.</w:t>
      </w:r>
    </w:p>
    <w:p>
      <w:pPr>
        <w:pStyle w:val="ListNumber"/>
      </w:pPr>
      <w:r>
        <w:t>Define timing requirements and clock-domain metadata.</w:t>
      </w:r>
    </w:p>
    <w:p>
      <w:pPr>
        <w:pStyle w:val="ListNumber"/>
      </w:pPr>
      <w:r>
        <w:t>Build a read-only capability inventory and resource description model.</w:t>
      </w:r>
    </w:p>
    <w:p>
      <w:pPr>
        <w:pStyle w:val="ListNumber"/>
      </w:pPr>
      <w:r>
        <w:t>Design topology planning and compatibility assessment, including unresolved and insufficient-evidence outcomes.</w:t>
      </w:r>
    </w:p>
    <w:p>
      <w:pPr>
        <w:pStyle w:val="ListNumber"/>
      </w:pPr>
      <w:r>
        <w:t>Evaluate timing and data movement in simulation before selecting physical hardware.</w:t>
      </w:r>
    </w:p>
    <w:p>
      <w:pPr>
        <w:pStyle w:val="ListNumber"/>
      </w:pPr>
      <w:r>
        <w:t>Add selected vendor-neutral adapters only after interfaces and requirements are established.</w:t>
      </w:r>
    </w:p>
    <w:p>
      <w:pPr>
        <w:pStyle w:val="ListNumber"/>
      </w:pPr>
      <w:r>
        <w:t>Validate with hardware-in-the-loop and physical instrumentation when suitable resources are available.</w:t>
      </w:r>
    </w:p>
    <w:p>
      <w:pPr>
        <w:pStyle w:val="ListNumber"/>
      </w:pPr>
      <w:r>
        <w:t>Require explicit approval before supported operations mutate resources or deploy hardware configurations.</w:t>
      </w:r>
    </w:p>
    <w:p>
      <w:pPr>
        <w:pStyle w:val="Heading1"/>
      </w:pPr>
      <w:r>
        <w:t>11. Guardrails and Open Decisions</w:t>
      </w:r>
    </w:p>
    <w:p>
      <w:pPr>
        <w:pStyle w:val="ListBullet"/>
      </w:pPr>
      <w:r>
        <w:t>Do not hardcode physical server paths, vendor device names or assumed topology.</w:t>
      </w:r>
    </w:p>
    <w:p>
      <w:pPr>
        <w:pStyle w:val="ListBullet"/>
      </w:pPr>
      <w:r>
        <w:t>Do not assume every workload needs an FPGA or physical QPU.</w:t>
      </w:r>
    </w:p>
    <w:p>
      <w:pPr>
        <w:pStyle w:val="ListBullet"/>
      </w:pPr>
      <w:r>
        <w:t>Do not claim deterministic timing from device availability or average latency alone.</w:t>
      </w:r>
    </w:p>
    <w:p>
      <w:pPr>
        <w:pStyle w:val="ListBullet"/>
      </w:pPr>
      <w:r>
        <w:t>Do not treat simulation or emulation results as physical validation.</w:t>
      </w:r>
    </w:p>
    <w:p>
      <w:pPr>
        <w:pStyle w:val="ListBullet"/>
      </w:pPr>
      <w:r>
        <w:t>Do not put the central control plane in a deadline-critical feedback path unless the timing requirements and implementation prove it suitable.</w:t>
      </w:r>
    </w:p>
    <w:p>
      <w:pPr>
        <w:pStyle w:val="ListBullet"/>
      </w:pPr>
      <w:r>
        <w:t>Do not treat logical-reference resolution as authorization.</w:t>
      </w:r>
    </w:p>
    <w:p>
      <w:pPr>
        <w:pStyle w:val="ListBullet"/>
      </w:pPr>
      <w:r>
        <w:t>Before implementation, decide how timing evidence is represented, how requirements are versioned, what qualifies as sufficient evidence, and how adapters declare supported execution modes.</w:t>
      </w:r>
    </w:p>
    <w:p>
      <w:pPr>
        <w:pStyle w:val="Heading1"/>
      </w:pPr>
      <w:r>
        <w:t>12. Current Status</w:t>
      </w:r>
    </w:p>
    <w:p>
      <w:r>
        <w:t>This document records proposed architecture and planning decisions for future review. The Heterogeneous Accelerator Layer, Deterministic Control and Timing contracts, and topology resolver are not asserted to be implemented. The current QAI Deployment Operator declarative schema should remain unchanged until reviewed against these requirements.</w:t>
      </w:r>
    </w:p>
    <w:p>
      <w:pPr>
        <w:pStyle w:val="Heading1"/>
      </w:pPr>
      <w:r>
        <w:t>Reference Basis</w:t>
      </w:r>
    </w:p>
    <w:p>
      <w:r>
        <w:t>This working reference consolidates the FAEP/QAI architecture discussion, including the FAEP FPGA Fabric &amp; Quantum Communication Overlay Stack design reference and the subsequent discussion of heterogeneous CPU/GPU/FPGA/HPC/QPU/QSC integration. Specific technology choices must be verified against target equipment, vendor documentation, workload requirements and measured evidence.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FAEP / QAI Architecture Working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