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4E79"/>
          <w:sz w:val="32"/>
        </w:rPr>
        <w:t>QAI DATACENTER</w:t>
      </w:r>
    </w:p>
    <w:p>
      <w:pPr>
        <w:pStyle w:val="Title"/>
        <w:jc w:val="center"/>
      </w:pPr>
      <w:r>
        <w:t>First Blueprint</w:t>
      </w:r>
    </w:p>
    <w:p>
      <w:pPr>
        <w:jc w:val="center"/>
      </w:pPr>
      <w:r>
        <w:rPr>
          <w:color w:val="465564"/>
          <w:sz w:val="26"/>
        </w:rPr>
        <w:t>Features • Configuration • Functions • Post-Pilot Implementation</w:t>
      </w:r>
    </w:p>
    <w:p/>
    <w:p>
      <w:pPr>
        <w:jc w:val="center"/>
      </w:pPr>
      <w:r>
        <w:rPr>
          <w:i/>
        </w:rPr>
        <w:t>A vendor-neutral, incrementally implementable foundation connecting the QAI software IDE, deployment planning, heterogeneous resources, deterministic control and evidence.</w:t>
      </w:r>
    </w:p>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CFE2F3"/>
          </w:tcPr>
          <w:p>
            <w:pPr>
              <w:spacing w:after="0"/>
            </w:pPr>
            <w:r/>
            <w:r>
              <w:rPr>
                <w:b/>
                <w:sz w:val="17"/>
              </w:rPr>
              <w:t>Document field</w:t>
            </w:r>
          </w:p>
        </w:tc>
        <w:tc>
          <w:tcPr>
            <w:tcW w:type="dxa" w:w="8352"/>
            <w:vAlign w:val="center"/>
            <w:shd w:fill="CFE2F3"/>
          </w:tcPr>
          <w:p>
            <w:pPr>
              <w:spacing w:after="0"/>
            </w:pPr>
            <w:r/>
            <w:r>
              <w:rPr>
                <w:b/>
                <w:sz w:val="17"/>
              </w:rPr>
              <w:t>Value</w:t>
            </w:r>
          </w:p>
        </w:tc>
      </w:tr>
      <w:tr>
        <w:tc>
          <w:tcPr>
            <w:tcW w:type="dxa" w:w="2232"/>
            <w:vAlign w:val="center"/>
          </w:tcPr>
          <w:p>
            <w:pPr>
              <w:spacing w:after="0"/>
            </w:pPr>
            <w:r/>
            <w:r>
              <w:rPr>
                <w:b w:val="0"/>
                <w:sz w:val="17"/>
              </w:rPr>
              <w:t>Status</w:t>
            </w:r>
          </w:p>
        </w:tc>
        <w:tc>
          <w:tcPr>
            <w:tcW w:type="dxa" w:w="8352"/>
            <w:vAlign w:val="center"/>
          </w:tcPr>
          <w:p>
            <w:pPr>
              <w:spacing w:after="0"/>
            </w:pPr>
            <w:r/>
            <w:r>
              <w:rPr>
                <w:b w:val="0"/>
                <w:sz w:val="17"/>
              </w:rPr>
              <w:t>First blueprint / working draft</w:t>
            </w:r>
          </w:p>
        </w:tc>
      </w:tr>
      <w:tr>
        <w:tc>
          <w:tcPr>
            <w:tcW w:type="dxa" w:w="2232"/>
            <w:vAlign w:val="center"/>
          </w:tcPr>
          <w:p>
            <w:pPr>
              <w:spacing w:after="0"/>
            </w:pPr>
            <w:r/>
            <w:r>
              <w:rPr>
                <w:b w:val="0"/>
                <w:sz w:val="17"/>
              </w:rPr>
              <w:t>Scope</w:t>
            </w:r>
          </w:p>
        </w:tc>
        <w:tc>
          <w:tcPr>
            <w:tcW w:type="dxa" w:w="8352"/>
            <w:vAlign w:val="center"/>
          </w:tcPr>
          <w:p>
            <w:pPr>
              <w:spacing w:after="0"/>
            </w:pPr>
            <w:r/>
            <w:r>
              <w:rPr>
                <w:b w:val="0"/>
                <w:sz w:val="17"/>
              </w:rPr>
              <w:t>Post-pilot QAI Datacenter baseline and minimum demonstrable workflow</w:t>
            </w:r>
          </w:p>
        </w:tc>
      </w:tr>
      <w:tr>
        <w:tc>
          <w:tcPr>
            <w:tcW w:type="dxa" w:w="2232"/>
            <w:vAlign w:val="center"/>
          </w:tcPr>
          <w:p>
            <w:pPr>
              <w:spacing w:after="0"/>
            </w:pPr>
            <w:r/>
            <w:r>
              <w:rPr>
                <w:b w:val="0"/>
                <w:sz w:val="17"/>
              </w:rPr>
              <w:t>Design stance</w:t>
            </w:r>
          </w:p>
        </w:tc>
        <w:tc>
          <w:tcPr>
            <w:tcW w:type="dxa" w:w="8352"/>
            <w:vAlign w:val="center"/>
          </w:tcPr>
          <w:p>
            <w:pPr>
              <w:spacing w:after="0"/>
            </w:pPr>
            <w:r/>
            <w:r>
              <w:rPr>
                <w:b w:val="0"/>
                <w:sz w:val="17"/>
              </w:rPr>
              <w:t>Plan-first, capability-aware, vendor-neutral, evidence-led</w:t>
            </w:r>
          </w:p>
        </w:tc>
      </w:tr>
      <w:tr>
        <w:tc>
          <w:tcPr>
            <w:tcW w:type="dxa" w:w="2232"/>
            <w:vAlign w:val="center"/>
          </w:tcPr>
          <w:p>
            <w:pPr>
              <w:spacing w:after="0"/>
            </w:pPr>
            <w:r/>
            <w:r>
              <w:rPr>
                <w:b w:val="0"/>
                <w:sz w:val="17"/>
              </w:rPr>
              <w:t>Implementation status</w:t>
            </w:r>
          </w:p>
        </w:tc>
        <w:tc>
          <w:tcPr>
            <w:tcW w:type="dxa" w:w="8352"/>
            <w:vAlign w:val="center"/>
          </w:tcPr>
          <w:p>
            <w:pPr>
              <w:spacing w:after="0"/>
            </w:pPr>
            <w:r/>
            <w:r>
              <w:rPr>
                <w:b w:val="0"/>
                <w:sz w:val="17"/>
              </w:rPr>
              <w:t>Architecture and requirements proposal; individual capabilities require implementation and validation</w:t>
            </w:r>
          </w:p>
        </w:tc>
      </w:tr>
      <w:tr>
        <w:tc>
          <w:tcPr>
            <w:tcW w:type="dxa" w:w="2232"/>
            <w:vAlign w:val="center"/>
          </w:tcPr>
          <w:p>
            <w:pPr>
              <w:spacing w:after="0"/>
            </w:pPr>
            <w:r/>
            <w:r>
              <w:rPr>
                <w:b w:val="0"/>
                <w:sz w:val="17"/>
              </w:rPr>
              <w:t>Owner tag</w:t>
            </w:r>
          </w:p>
        </w:tc>
        <w:tc>
          <w:tcPr>
            <w:tcW w:type="dxa" w:w="8352"/>
            <w:vAlign w:val="center"/>
          </w:tcPr>
          <w:p>
            <w:pPr>
              <w:spacing w:after="0"/>
            </w:pPr>
            <w:r/>
            <w:r>
              <w:rPr>
                <w:b w:val="0"/>
                <w:sz w:val="17"/>
              </w:rPr>
              <w:t>@vijaymohire</w:t>
            </w:r>
          </w:p>
        </w:tc>
      </w:tr>
    </w:tbl>
    <w:p>
      <w:pPr>
        <w:spacing w:after="20"/>
      </w:pPr>
    </w:p>
    <w:p>
      <w:pPr>
        <w:pStyle w:val="Heading1"/>
      </w:pPr>
      <w:r>
        <w:t>1. Executive Summary</w:t>
      </w:r>
    </w:p>
    <w:p>
      <w:r>
        <w:t>This blueprint defines a practical starting point for the post-pilot QAI Datacenter. It connects the earlier QAI software IDE environment to workload definition, resource discovery, compatibility qualification, deployment planning, controlled execution and evidence capture. The first implementation should be useful with ordinary CPU infrastructure and simulated resources; GPU, FPGA, HPC, QPU and QSC integration can be introduced according to availability, workload need and demonstrated capability.</w:t>
      </w:r>
    </w:p>
    <w:p>
      <w:r>
        <w:t>The blueprint deliberately separates supervisory orchestration from deadline-critical device control. A central control plane should not be placed in a real-time feedback path when its latency and jitter cannot meet the workload's requirements. Simulation, host wall-clock time and physical hardware time must remain distinct and explicitly mapped.</w:t>
      </w:r>
    </w:p>
    <w:p>
      <w:pPr>
        <w:pStyle w:val="Heading1"/>
      </w:pPr>
      <w:r>
        <w:t>2. Objectives and Non-Goals</w:t>
      </w:r>
    </w:p>
    <w:p>
      <w:pPr>
        <w:pStyle w:val="Heading2"/>
      </w:pPr>
      <w:r>
        <w:t>2.1 Objectives</w:t>
      </w:r>
    </w:p>
    <w:p>
      <w:pPr>
        <w:pStyle w:val="ListBullet"/>
        <w:spacing w:after="40"/>
      </w:pPr>
      <w:r>
        <w:t>Establish a minimum end-to-end QAI workload lifecycle from IDE to evidence.</w:t>
      </w:r>
    </w:p>
    <w:p>
      <w:pPr>
        <w:pStyle w:val="ListBullet"/>
        <w:spacing w:after="40"/>
      </w:pPr>
      <w:r>
        <w:t>Discover resources through declared capabilities and common interfaces rather than hard-coded vendor assumptions.</w:t>
      </w:r>
    </w:p>
    <w:p>
      <w:pPr>
        <w:pStyle w:val="ListBullet"/>
        <w:spacing w:after="40"/>
      </w:pPr>
      <w:r>
        <w:t>Qualify a target environment against workload, timing, interconnect, security, access, storage and evidence requirements.</w:t>
      </w:r>
    </w:p>
    <w:p>
      <w:pPr>
        <w:pStyle w:val="ListBullet"/>
        <w:spacing w:after="40"/>
      </w:pPr>
      <w:r>
        <w:t>Generate a reviewable deployment plan before changes are made.</w:t>
      </w:r>
    </w:p>
    <w:p>
      <w:pPr>
        <w:pStyle w:val="ListBullet"/>
        <w:spacing w:after="40"/>
      </w:pPr>
      <w:r>
        <w:t>Support classical execution and simulated/emulated modes first, with a staged path to FPGA hardware-in-the-loop and physical quantum resources.</w:t>
      </w:r>
    </w:p>
    <w:p>
      <w:pPr>
        <w:pStyle w:val="ListBullet"/>
        <w:spacing w:after="40"/>
      </w:pPr>
      <w:r>
        <w:t>Record configurations, versions, test results, limitations and validation evidence.</w:t>
      </w:r>
    </w:p>
    <w:p>
      <w:pPr>
        <w:pStyle w:val="Heading2"/>
      </w:pPr>
      <w:r>
        <w:t>2.2 Non-goals for the first baseline</w:t>
      </w:r>
    </w:p>
    <w:p>
      <w:pPr>
        <w:pStyle w:val="ListBullet"/>
        <w:spacing w:after="40"/>
      </w:pPr>
      <w:r>
        <w:t>Do not assume a production-grade quantum datacenter or physical QPU is available.</w:t>
      </w:r>
    </w:p>
    <w:p>
      <w:pPr>
        <w:pStyle w:val="ListBullet"/>
        <w:spacing w:after="40"/>
      </w:pPr>
      <w:r>
        <w:t>Do not promise hard real-time or microsecond-level performance without measurement on the actual end-to-end path.</w:t>
      </w:r>
    </w:p>
    <w:p>
      <w:pPr>
        <w:pStyle w:val="ListBullet"/>
        <w:spacing w:after="40"/>
      </w:pPr>
      <w:r>
        <w:t>Do not make Kubernetes, a cloud provider, a GPU vendor or a particular FPGA vendor mandatory to the core architecture.</w:t>
      </w:r>
    </w:p>
    <w:p>
      <w:pPr>
        <w:pStyle w:val="ListBullet"/>
        <w:spacing w:after="40"/>
      </w:pPr>
      <w:r>
        <w:t>Do not treat resource registration, discovery or compatibility as authorization to execute.</w:t>
      </w:r>
    </w:p>
    <w:p>
      <w:pPr>
        <w:pStyle w:val="ListBullet"/>
        <w:spacing w:after="40"/>
      </w:pPr>
      <w:r>
        <w:t>Do not equate FPGA control/acceleration with simulation of quantum states; these are separate responsibilities.</w:t>
      </w:r>
    </w:p>
    <w:p>
      <w:pPr>
        <w:pStyle w:val="Heading1"/>
      </w:pPr>
      <w:r>
        <w:t>3. Architecture at a Glance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CFE2F3"/>
          </w:tcPr>
          <w:p>
            <w:pPr>
              <w:spacing w:after="0"/>
            </w:pPr>
            <w:r/>
            <w:r>
              <w:rPr>
                <w:b/>
                <w:sz w:val="17"/>
              </w:rPr>
              <w:t>Layer</w:t>
            </w:r>
          </w:p>
        </w:tc>
        <w:tc>
          <w:tcPr>
            <w:tcW w:type="dxa" w:w="5256"/>
            <w:vAlign w:val="center"/>
            <w:shd w:fill="CFE2F3"/>
          </w:tcPr>
          <w:p>
            <w:pPr>
              <w:spacing w:after="0"/>
            </w:pPr>
            <w:r/>
            <w:r>
              <w:rPr>
                <w:b/>
                <w:sz w:val="17"/>
              </w:rPr>
              <w:t>Purpose / core functions</w:t>
            </w:r>
          </w:p>
        </w:tc>
        <w:tc>
          <w:tcPr>
            <w:tcW w:type="dxa" w:w="3312"/>
            <w:vAlign w:val="center"/>
            <w:shd w:fill="CFE2F3"/>
          </w:tcPr>
          <w:p>
            <w:pPr>
              <w:spacing w:after="0"/>
            </w:pPr>
            <w:r/>
            <w:r>
              <w:rPr>
                <w:b/>
                <w:sz w:val="17"/>
              </w:rPr>
              <w:t>Initial baseline</w:t>
            </w:r>
          </w:p>
        </w:tc>
      </w:tr>
      <w:tr>
        <w:tc>
          <w:tcPr>
            <w:tcW w:type="dxa" w:w="2016"/>
            <w:vAlign w:val="center"/>
          </w:tcPr>
          <w:p>
            <w:pPr>
              <w:spacing w:after="0"/>
            </w:pPr>
            <w:r/>
            <w:r>
              <w:rPr>
                <w:b w:val="0"/>
                <w:sz w:val="17"/>
              </w:rPr>
              <w:t>Applications and workloads</w:t>
            </w:r>
          </w:p>
        </w:tc>
        <w:tc>
          <w:tcPr>
            <w:tcW w:type="dxa" w:w="5256"/>
            <w:vAlign w:val="center"/>
          </w:tcPr>
          <w:p>
            <w:pPr>
              <w:spacing w:after="0"/>
            </w:pPr>
            <w:r/>
            <w:r>
              <w:rPr>
                <w:b w:val="0"/>
                <w:sz w:val="17"/>
              </w:rPr>
              <w:t>QAI experiments, AI/ML, simulation, communication/network experiments, hybrid classical–quantum workflows.</w:t>
            </w:r>
          </w:p>
        </w:tc>
        <w:tc>
          <w:tcPr>
            <w:tcW w:type="dxa" w:w="3312"/>
            <w:vAlign w:val="center"/>
          </w:tcPr>
          <w:p>
            <w:pPr>
              <w:spacing w:after="0"/>
            </w:pPr>
            <w:r/>
            <w:r>
              <w:rPr>
                <w:b w:val="0"/>
                <w:sz w:val="17"/>
              </w:rPr>
              <w:t>One or more versioned sample workloads.</w:t>
            </w:r>
          </w:p>
        </w:tc>
      </w:tr>
      <w:tr>
        <w:tc>
          <w:tcPr>
            <w:tcW w:type="dxa" w:w="2016"/>
            <w:vAlign w:val="center"/>
          </w:tcPr>
          <w:p>
            <w:pPr>
              <w:spacing w:after="0"/>
            </w:pPr>
            <w:r/>
            <w:r>
              <w:rPr>
                <w:b w:val="0"/>
                <w:sz w:val="17"/>
              </w:rPr>
              <w:t>QAI Software IDE</w:t>
            </w:r>
          </w:p>
        </w:tc>
        <w:tc>
          <w:tcPr>
            <w:tcW w:type="dxa" w:w="5256"/>
            <w:vAlign w:val="center"/>
          </w:tcPr>
          <w:p>
            <w:pPr>
              <w:spacing w:after="0"/>
            </w:pPr>
            <w:r/>
            <w:r>
              <w:rPr>
                <w:b w:val="0"/>
                <w:sz w:val="17"/>
              </w:rPr>
              <w:t>Author, configure, test, package and inspect workload definitions and experiment inputs.</w:t>
            </w:r>
          </w:p>
        </w:tc>
        <w:tc>
          <w:tcPr>
            <w:tcW w:type="dxa" w:w="3312"/>
            <w:vAlign w:val="center"/>
          </w:tcPr>
          <w:p>
            <w:pPr>
              <w:spacing w:after="0"/>
            </w:pPr>
            <w:r/>
            <w:r>
              <w:rPr>
                <w:b w:val="0"/>
                <w:sz w:val="17"/>
              </w:rPr>
              <w:t>Existing IDE workflow assessed; connect by documented interface or file contract.</w:t>
            </w:r>
          </w:p>
        </w:tc>
      </w:tr>
      <w:tr>
        <w:tc>
          <w:tcPr>
            <w:tcW w:type="dxa" w:w="2016"/>
            <w:vAlign w:val="center"/>
          </w:tcPr>
          <w:p>
            <w:pPr>
              <w:spacing w:after="0"/>
            </w:pPr>
            <w:r/>
            <w:r>
              <w:rPr>
                <w:b w:val="0"/>
                <w:sz w:val="17"/>
              </w:rPr>
              <w:t>FAEP Control Plane</w:t>
            </w:r>
          </w:p>
        </w:tc>
        <w:tc>
          <w:tcPr>
            <w:tcW w:type="dxa" w:w="5256"/>
            <w:vAlign w:val="center"/>
          </w:tcPr>
          <w:p>
            <w:pPr>
              <w:spacing w:after="0"/>
            </w:pPr>
            <w:r/>
            <w:r>
              <w:rPr>
                <w:b w:val="0"/>
                <w:sz w:val="17"/>
              </w:rPr>
              <w:t>Experiment/workload coordination, policy checks, scheduling requests, telemetry, governance and evidence references.</w:t>
            </w:r>
          </w:p>
        </w:tc>
        <w:tc>
          <w:tcPr>
            <w:tcW w:type="dxa" w:w="3312"/>
            <w:vAlign w:val="center"/>
          </w:tcPr>
          <w:p>
            <w:pPr>
              <w:spacing w:after="0"/>
            </w:pPr>
            <w:r/>
            <w:r>
              <w:rPr>
                <w:b w:val="0"/>
                <w:sz w:val="17"/>
              </w:rPr>
              <w:t>Basic request handling and plan review; no claim of full control-plane implementation.</w:t>
            </w:r>
          </w:p>
        </w:tc>
      </w:tr>
      <w:tr>
        <w:tc>
          <w:tcPr>
            <w:tcW w:type="dxa" w:w="2016"/>
            <w:vAlign w:val="center"/>
          </w:tcPr>
          <w:p>
            <w:pPr>
              <w:spacing w:after="0"/>
            </w:pPr>
            <w:r/>
            <w:r>
              <w:rPr>
                <w:b w:val="0"/>
                <w:sz w:val="17"/>
              </w:rPr>
              <w:t>Heterogeneous Accelerator Layer</w:t>
            </w:r>
          </w:p>
        </w:tc>
        <w:tc>
          <w:tcPr>
            <w:tcW w:type="dxa" w:w="5256"/>
            <w:vAlign w:val="center"/>
          </w:tcPr>
          <w:p>
            <w:pPr>
              <w:spacing w:after="0"/>
            </w:pPr>
            <w:r/>
            <w:r>
              <w:rPr>
                <w:b w:val="0"/>
                <w:sz w:val="17"/>
              </w:rPr>
              <w:t>Map workload requirements to CPU/GPU/FPGA/HPC/QPU/QSC capabilities; coordinate sessions and data movement.</w:t>
            </w:r>
          </w:p>
        </w:tc>
        <w:tc>
          <w:tcPr>
            <w:tcW w:type="dxa" w:w="3312"/>
            <w:vAlign w:val="center"/>
          </w:tcPr>
          <w:p>
            <w:pPr>
              <w:spacing w:after="0"/>
            </w:pPr>
            <w:r/>
            <w:r>
              <w:rPr>
                <w:b w:val="0"/>
                <w:sz w:val="17"/>
              </w:rPr>
              <w:t>Capability-aware planning and explicit unsupported/unresolved outcomes.</w:t>
            </w:r>
          </w:p>
        </w:tc>
      </w:tr>
      <w:tr>
        <w:tc>
          <w:tcPr>
            <w:tcW w:type="dxa" w:w="2016"/>
            <w:vAlign w:val="center"/>
          </w:tcPr>
          <w:p>
            <w:pPr>
              <w:spacing w:after="0"/>
            </w:pPr>
            <w:r/>
            <w:r>
              <w:rPr>
                <w:b w:val="0"/>
                <w:sz w:val="17"/>
              </w:rPr>
              <w:t>Fabric services</w:t>
            </w:r>
          </w:p>
        </w:tc>
        <w:tc>
          <w:tcPr>
            <w:tcW w:type="dxa" w:w="5256"/>
            <w:vAlign w:val="center"/>
          </w:tcPr>
          <w:p>
            <w:pPr>
              <w:spacing w:after="0"/>
            </w:pPr>
            <w:r/>
            <w:r>
              <w:rPr>
                <w:b w:val="0"/>
                <w:sz w:val="17"/>
              </w:rPr>
              <w:t>Separate CPU/GPU, FPGA, HPC, network, quantum, storage and memory resource abstractions.</w:t>
            </w:r>
          </w:p>
        </w:tc>
        <w:tc>
          <w:tcPr>
            <w:tcW w:type="dxa" w:w="3312"/>
            <w:vAlign w:val="center"/>
          </w:tcPr>
          <w:p>
            <w:pPr>
              <w:spacing w:after="0"/>
            </w:pPr>
            <w:r/>
            <w:r>
              <w:rPr>
                <w:b w:val="0"/>
                <w:sz w:val="17"/>
              </w:rPr>
              <w:t>CPU/local execution plus simulated descriptors for unavailable resources.</w:t>
            </w:r>
          </w:p>
        </w:tc>
      </w:tr>
      <w:tr>
        <w:tc>
          <w:tcPr>
            <w:tcW w:type="dxa" w:w="2016"/>
            <w:vAlign w:val="center"/>
          </w:tcPr>
          <w:p>
            <w:pPr>
              <w:spacing w:after="0"/>
            </w:pPr>
            <w:r/>
            <w:r>
              <w:rPr>
                <w:b w:val="0"/>
                <w:sz w:val="17"/>
              </w:rPr>
              <w:t>Deterministic Control &amp; Timing</w:t>
            </w:r>
          </w:p>
        </w:tc>
        <w:tc>
          <w:tcPr>
            <w:tcW w:type="dxa" w:w="5256"/>
            <w:vAlign w:val="center"/>
          </w:tcPr>
          <w:p>
            <w:pPr>
              <w:spacing w:after="0"/>
            </w:pPr>
            <w:r/>
            <w:r>
              <w:rPr>
                <w:b w:val="0"/>
                <w:sz w:val="17"/>
              </w:rPr>
              <w:t>Clock domains, timing budgets, synchronization assessment, deadlines and local feedback-loop placement.</w:t>
            </w:r>
          </w:p>
        </w:tc>
        <w:tc>
          <w:tcPr>
            <w:tcW w:type="dxa" w:w="3312"/>
            <w:vAlign w:val="center"/>
          </w:tcPr>
          <w:p>
            <w:pPr>
              <w:spacing w:after="0"/>
            </w:pPr>
            <w:r/>
            <w:r>
              <w:rPr>
                <w:b w:val="0"/>
                <w:sz w:val="17"/>
              </w:rPr>
              <w:t>Declare requirements and capture timing measurements; real-time claims require proof.</w:t>
            </w:r>
          </w:p>
        </w:tc>
      </w:tr>
      <w:tr>
        <w:tc>
          <w:tcPr>
            <w:tcW w:type="dxa" w:w="2016"/>
            <w:vAlign w:val="center"/>
          </w:tcPr>
          <w:p>
            <w:pPr>
              <w:spacing w:after="0"/>
            </w:pPr>
            <w:r/>
            <w:r>
              <w:rPr>
                <w:b w:val="0"/>
                <w:sz w:val="17"/>
              </w:rPr>
              <w:t>Resource environment</w:t>
            </w:r>
          </w:p>
        </w:tc>
        <w:tc>
          <w:tcPr>
            <w:tcW w:type="dxa" w:w="5256"/>
            <w:vAlign w:val="center"/>
          </w:tcPr>
          <w:p>
            <w:pPr>
              <w:spacing w:after="0"/>
            </w:pPr>
            <w:r/>
            <w:r>
              <w:rPr>
                <w:b w:val="0"/>
                <w:sz w:val="17"/>
              </w:rPr>
              <w:t>Local machines, servers, accelerator devices, emulators, simulators, interconnects and storage.</w:t>
            </w:r>
          </w:p>
        </w:tc>
        <w:tc>
          <w:tcPr>
            <w:tcW w:type="dxa" w:w="3312"/>
            <w:vAlign w:val="center"/>
          </w:tcPr>
          <w:p>
            <w:pPr>
              <w:spacing w:after="0"/>
            </w:pPr>
            <w:r/>
            <w:r>
              <w:rPr>
                <w:b w:val="0"/>
                <w:sz w:val="17"/>
              </w:rPr>
              <w:t>Known local resources and test fixtures; inventory only what can be observed or attested.</w:t>
            </w:r>
          </w:p>
        </w:tc>
      </w:tr>
      <w:tr>
        <w:tc>
          <w:tcPr>
            <w:tcW w:type="dxa" w:w="2016"/>
            <w:vAlign w:val="center"/>
          </w:tcPr>
          <w:p>
            <w:pPr>
              <w:spacing w:after="0"/>
            </w:pPr>
            <w:r/>
            <w:r>
              <w:rPr>
                <w:b w:val="0"/>
                <w:sz w:val="17"/>
              </w:rPr>
              <w:t>Evidence and qualification</w:t>
            </w:r>
          </w:p>
        </w:tc>
        <w:tc>
          <w:tcPr>
            <w:tcW w:type="dxa" w:w="5256"/>
            <w:vAlign w:val="center"/>
          </w:tcPr>
          <w:p>
            <w:pPr>
              <w:spacing w:after="0"/>
            </w:pPr>
            <w:r/>
            <w:r>
              <w:rPr>
                <w:b w:val="0"/>
                <w:sz w:val="17"/>
              </w:rPr>
              <w:t>Record compatibility, execution, timing, provenance, test results and limitations.</w:t>
            </w:r>
          </w:p>
        </w:tc>
        <w:tc>
          <w:tcPr>
            <w:tcW w:type="dxa" w:w="3312"/>
            <w:vAlign w:val="center"/>
          </w:tcPr>
          <w:p>
            <w:pPr>
              <w:spacing w:after="0"/>
            </w:pPr>
            <w:r/>
            <w:r>
              <w:rPr>
                <w:b w:val="0"/>
                <w:sz w:val="17"/>
              </w:rPr>
              <w:t>Machine-readable result plus human-readable report.</w:t>
            </w:r>
          </w:p>
        </w:tc>
      </w:tr>
    </w:tbl>
    <w:p>
      <w:pPr>
        <w:spacing w:after="20"/>
      </w:pPr>
    </w:p>
    <w:p>
      <w:pPr>
        <w:pStyle w:val="Heading1"/>
      </w:pPr>
      <w:r>
        <w:t>4. Core Features and Functions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CFE2F3"/>
          </w:tcPr>
          <w:p>
            <w:pPr>
              <w:spacing w:after="0"/>
            </w:pPr>
            <w:r/>
            <w:r>
              <w:rPr>
                <w:b/>
                <w:sz w:val="17"/>
              </w:rPr>
              <w:t>Feature area</w:t>
            </w:r>
          </w:p>
        </w:tc>
        <w:tc>
          <w:tcPr>
            <w:tcW w:type="dxa" w:w="5184"/>
            <w:vAlign w:val="center"/>
            <w:shd w:fill="CFE2F3"/>
          </w:tcPr>
          <w:p>
            <w:pPr>
              <w:spacing w:after="0"/>
            </w:pPr>
            <w:r/>
            <w:r>
              <w:rPr>
                <w:b/>
                <w:sz w:val="17"/>
              </w:rPr>
              <w:t>Required functions</w:t>
            </w:r>
          </w:p>
        </w:tc>
        <w:tc>
          <w:tcPr>
            <w:tcW w:type="dxa" w:w="3312"/>
            <w:vAlign w:val="center"/>
            <w:shd w:fill="CFE2F3"/>
          </w:tcPr>
          <w:p>
            <w:pPr>
              <w:spacing w:after="0"/>
            </w:pPr>
            <w:r/>
            <w:r>
              <w:rPr>
                <w:b/>
                <w:sz w:val="17"/>
              </w:rPr>
              <w:t>Minimum acceptance evidence</w:t>
            </w:r>
          </w:p>
        </w:tc>
      </w:tr>
      <w:tr>
        <w:tc>
          <w:tcPr>
            <w:tcW w:type="dxa" w:w="2088"/>
            <w:vAlign w:val="center"/>
          </w:tcPr>
          <w:p>
            <w:pPr>
              <w:spacing w:after="0"/>
            </w:pPr>
            <w:r/>
            <w:r>
              <w:rPr>
                <w:b w:val="0"/>
                <w:sz w:val="17"/>
              </w:rPr>
              <w:t>Workload definition</w:t>
            </w:r>
          </w:p>
        </w:tc>
        <w:tc>
          <w:tcPr>
            <w:tcW w:type="dxa" w:w="5184"/>
            <w:vAlign w:val="center"/>
          </w:tcPr>
          <w:p>
            <w:pPr>
              <w:spacing w:after="0"/>
            </w:pPr>
            <w:r/>
            <w:r>
              <w:rPr>
                <w:b w:val="0"/>
                <w:sz w:val="17"/>
              </w:rPr>
              <w:t>Describe purpose, inputs, outputs, required capabilities, execution mode, timing needs and policy constraints.</w:t>
            </w:r>
          </w:p>
        </w:tc>
        <w:tc>
          <w:tcPr>
            <w:tcW w:type="dxa" w:w="3312"/>
            <w:vAlign w:val="center"/>
          </w:tcPr>
          <w:p>
            <w:pPr>
              <w:spacing w:after="0"/>
            </w:pPr>
            <w:r/>
            <w:r>
              <w:rPr>
                <w:b w:val="0"/>
                <w:sz w:val="17"/>
              </w:rPr>
              <w:t>A valid sample workload definition passes structural validation.</w:t>
            </w:r>
          </w:p>
        </w:tc>
      </w:tr>
      <w:tr>
        <w:tc>
          <w:tcPr>
            <w:tcW w:type="dxa" w:w="2088"/>
            <w:vAlign w:val="center"/>
          </w:tcPr>
          <w:p>
            <w:pPr>
              <w:spacing w:after="0"/>
            </w:pPr>
            <w:r/>
            <w:r>
              <w:rPr>
                <w:b w:val="0"/>
                <w:sz w:val="17"/>
              </w:rPr>
              <w:t>Resource discovery</w:t>
            </w:r>
          </w:p>
        </w:tc>
        <w:tc>
          <w:tcPr>
            <w:tcW w:type="dxa" w:w="5184"/>
            <w:vAlign w:val="center"/>
          </w:tcPr>
          <w:p>
            <w:pPr>
              <w:spacing w:after="0"/>
            </w:pPr>
            <w:r/>
            <w:r>
              <w:rPr>
                <w:b w:val="0"/>
                <w:sz w:val="17"/>
              </w:rPr>
              <w:t>Enumerate accessible resources and declared capabilities; distinguish observed, declared and inferred facts.</w:t>
            </w:r>
          </w:p>
        </w:tc>
        <w:tc>
          <w:tcPr>
            <w:tcW w:type="dxa" w:w="3312"/>
            <w:vAlign w:val="center"/>
          </w:tcPr>
          <w:p>
            <w:pPr>
              <w:spacing w:after="0"/>
            </w:pPr>
            <w:r/>
            <w:r>
              <w:rPr>
                <w:b w:val="0"/>
                <w:sz w:val="17"/>
              </w:rPr>
              <w:t>Inventory output includes source, timestamp and confidence/provenance.</w:t>
            </w:r>
          </w:p>
        </w:tc>
      </w:tr>
      <w:tr>
        <w:tc>
          <w:tcPr>
            <w:tcW w:type="dxa" w:w="2088"/>
            <w:vAlign w:val="center"/>
          </w:tcPr>
          <w:p>
            <w:pPr>
              <w:spacing w:after="0"/>
            </w:pPr>
            <w:r/>
            <w:r>
              <w:rPr>
                <w:b w:val="0"/>
                <w:sz w:val="17"/>
              </w:rPr>
              <w:t>Capability model</w:t>
            </w:r>
          </w:p>
        </w:tc>
        <w:tc>
          <w:tcPr>
            <w:tcW w:type="dxa" w:w="5184"/>
            <w:vAlign w:val="center"/>
          </w:tcPr>
          <w:p>
            <w:pPr>
              <w:spacing w:after="0"/>
            </w:pPr>
            <w:r/>
            <w:r>
              <w:rPr>
                <w:b w:val="0"/>
                <w:sz w:val="17"/>
              </w:rPr>
              <w:t>Represent processor/accelerator type, memory, interfaces, runtime/driver, supported modes and limits.</w:t>
            </w:r>
          </w:p>
        </w:tc>
        <w:tc>
          <w:tcPr>
            <w:tcW w:type="dxa" w:w="3312"/>
            <w:vAlign w:val="center"/>
          </w:tcPr>
          <w:p>
            <w:pPr>
              <w:spacing w:after="0"/>
            </w:pPr>
            <w:r/>
            <w:r>
              <w:rPr>
                <w:b w:val="0"/>
                <w:sz w:val="17"/>
              </w:rPr>
              <w:t>Missing or unknown fields are explicit, not silently assumed.</w:t>
            </w:r>
          </w:p>
        </w:tc>
      </w:tr>
      <w:tr>
        <w:tc>
          <w:tcPr>
            <w:tcW w:type="dxa" w:w="2088"/>
            <w:vAlign w:val="center"/>
          </w:tcPr>
          <w:p>
            <w:pPr>
              <w:spacing w:after="0"/>
            </w:pPr>
            <w:r/>
            <w:r>
              <w:rPr>
                <w:b w:val="0"/>
                <w:sz w:val="17"/>
              </w:rPr>
              <w:t>Topology and interconnect</w:t>
            </w:r>
          </w:p>
        </w:tc>
        <w:tc>
          <w:tcPr>
            <w:tcW w:type="dxa" w:w="5184"/>
            <w:vAlign w:val="center"/>
          </w:tcPr>
          <w:p>
            <w:pPr>
              <w:spacing w:after="0"/>
            </w:pPr>
            <w:r/>
            <w:r>
              <w:rPr>
                <w:b w:val="0"/>
                <w:sz w:val="17"/>
              </w:rPr>
              <w:t>Describe nodes, links, bandwidth/latency claims, reachability, transfer paths and relevant dependencies.</w:t>
            </w:r>
          </w:p>
        </w:tc>
        <w:tc>
          <w:tcPr>
            <w:tcW w:type="dxa" w:w="3312"/>
            <w:vAlign w:val="center"/>
          </w:tcPr>
          <w:p>
            <w:pPr>
              <w:spacing w:after="0"/>
            </w:pPr>
            <w:r/>
            <w:r>
              <w:rPr>
                <w:b w:val="0"/>
                <w:sz w:val="17"/>
              </w:rPr>
              <w:t>Plan identifies required and unresolved connectivity.</w:t>
            </w:r>
          </w:p>
        </w:tc>
      </w:tr>
      <w:tr>
        <w:tc>
          <w:tcPr>
            <w:tcW w:type="dxa" w:w="2088"/>
            <w:vAlign w:val="center"/>
          </w:tcPr>
          <w:p>
            <w:pPr>
              <w:spacing w:after="0"/>
            </w:pPr>
            <w:r/>
            <w:r>
              <w:rPr>
                <w:b w:val="0"/>
                <w:sz w:val="17"/>
              </w:rPr>
              <w:t>Compatibility qualification</w:t>
            </w:r>
          </w:p>
        </w:tc>
        <w:tc>
          <w:tcPr>
            <w:tcW w:type="dxa" w:w="5184"/>
            <w:vAlign w:val="center"/>
          </w:tcPr>
          <w:p>
            <w:pPr>
              <w:spacing w:after="0"/>
            </w:pPr>
            <w:r/>
            <w:r>
              <w:rPr>
                <w:b w:val="0"/>
                <w:sz w:val="17"/>
              </w:rPr>
              <w:t>Compare verified workload requirements with resource capabilities and topology constraints.</w:t>
            </w:r>
          </w:p>
        </w:tc>
        <w:tc>
          <w:tcPr>
            <w:tcW w:type="dxa" w:w="3312"/>
            <w:vAlign w:val="center"/>
          </w:tcPr>
          <w:p>
            <w:pPr>
              <w:spacing w:after="0"/>
            </w:pPr>
            <w:r/>
            <w:r>
              <w:rPr>
                <w:b w:val="0"/>
                <w:sz w:val="17"/>
              </w:rPr>
              <w:t>One of the defined qualification outcomes is produced with reasons.</w:t>
            </w:r>
          </w:p>
        </w:tc>
      </w:tr>
      <w:tr>
        <w:tc>
          <w:tcPr>
            <w:tcW w:type="dxa" w:w="2088"/>
            <w:vAlign w:val="center"/>
          </w:tcPr>
          <w:p>
            <w:pPr>
              <w:spacing w:after="0"/>
            </w:pPr>
            <w:r/>
            <w:r>
              <w:rPr>
                <w:b w:val="0"/>
                <w:sz w:val="17"/>
              </w:rPr>
              <w:t>Deployment planning</w:t>
            </w:r>
          </w:p>
        </w:tc>
        <w:tc>
          <w:tcPr>
            <w:tcW w:type="dxa" w:w="5184"/>
            <w:vAlign w:val="center"/>
          </w:tcPr>
          <w:p>
            <w:pPr>
              <w:spacing w:after="0"/>
            </w:pPr>
            <w:r/>
            <w:r>
              <w:rPr>
                <w:b w:val="0"/>
                <w:sz w:val="17"/>
              </w:rPr>
              <w:t>Resolve logical references, calculate bindings and emit a proposed plan without mutating resources.</w:t>
            </w:r>
          </w:p>
        </w:tc>
        <w:tc>
          <w:tcPr>
            <w:tcW w:type="dxa" w:w="3312"/>
            <w:vAlign w:val="center"/>
          </w:tcPr>
          <w:p>
            <w:pPr>
              <w:spacing w:after="0"/>
            </w:pPr>
            <w:r/>
            <w:r>
              <w:rPr>
                <w:b w:val="0"/>
                <w:sz w:val="17"/>
              </w:rPr>
              <w:t>Repeatable plan output and clear unresolved/ambiguous items.</w:t>
            </w:r>
          </w:p>
        </w:tc>
      </w:tr>
      <w:tr>
        <w:tc>
          <w:tcPr>
            <w:tcW w:type="dxa" w:w="2088"/>
            <w:vAlign w:val="center"/>
          </w:tcPr>
          <w:p>
            <w:pPr>
              <w:spacing w:after="0"/>
            </w:pPr>
            <w:r/>
            <w:r>
              <w:rPr>
                <w:b w:val="0"/>
                <w:sz w:val="17"/>
              </w:rPr>
              <w:t>Approval and policy gate</w:t>
            </w:r>
          </w:p>
        </w:tc>
        <w:tc>
          <w:tcPr>
            <w:tcW w:type="dxa" w:w="5184"/>
            <w:vAlign w:val="center"/>
          </w:tcPr>
          <w:p>
            <w:pPr>
              <w:spacing w:after="0"/>
            </w:pPr>
            <w:r/>
            <w:r>
              <w:rPr>
                <w:b w:val="0"/>
                <w:sz w:val="17"/>
              </w:rPr>
              <w:t>Check identity/access, policy and explicit approval before any consequential execution or mutation.</w:t>
            </w:r>
          </w:p>
        </w:tc>
        <w:tc>
          <w:tcPr>
            <w:tcW w:type="dxa" w:w="3312"/>
            <w:vAlign w:val="center"/>
          </w:tcPr>
          <w:p>
            <w:pPr>
              <w:spacing w:after="0"/>
            </w:pPr>
            <w:r/>
            <w:r>
              <w:rPr>
                <w:b w:val="0"/>
                <w:sz w:val="17"/>
              </w:rPr>
              <w:t>Execution is blocked when approval or required authorization is absent.</w:t>
            </w:r>
          </w:p>
        </w:tc>
      </w:tr>
      <w:tr>
        <w:tc>
          <w:tcPr>
            <w:tcW w:type="dxa" w:w="2088"/>
            <w:vAlign w:val="center"/>
          </w:tcPr>
          <w:p>
            <w:pPr>
              <w:spacing w:after="0"/>
            </w:pPr>
            <w:r/>
            <w:r>
              <w:rPr>
                <w:b w:val="0"/>
                <w:sz w:val="17"/>
              </w:rPr>
              <w:t>Execution adapters</w:t>
            </w:r>
          </w:p>
        </w:tc>
        <w:tc>
          <w:tcPr>
            <w:tcW w:type="dxa" w:w="5184"/>
            <w:vAlign w:val="center"/>
          </w:tcPr>
          <w:p>
            <w:pPr>
              <w:spacing w:after="0"/>
            </w:pPr>
            <w:r/>
            <w:r>
              <w:rPr>
                <w:b w:val="0"/>
                <w:sz w:val="17"/>
              </w:rPr>
              <w:t>Isolate vendor/runtime-specific operations behind adapter interfaces.</w:t>
            </w:r>
          </w:p>
        </w:tc>
        <w:tc>
          <w:tcPr>
            <w:tcW w:type="dxa" w:w="3312"/>
            <w:vAlign w:val="center"/>
          </w:tcPr>
          <w:p>
            <w:pPr>
              <w:spacing w:after="0"/>
            </w:pPr>
            <w:r/>
            <w:r>
              <w:rPr>
                <w:b w:val="0"/>
                <w:sz w:val="17"/>
              </w:rPr>
              <w:t>Core contract tests run without importing vendor SDKs.</w:t>
            </w:r>
          </w:p>
        </w:tc>
      </w:tr>
      <w:tr>
        <w:tc>
          <w:tcPr>
            <w:tcW w:type="dxa" w:w="2088"/>
            <w:vAlign w:val="center"/>
          </w:tcPr>
          <w:p>
            <w:pPr>
              <w:spacing w:after="0"/>
            </w:pPr>
            <w:r/>
            <w:r>
              <w:rPr>
                <w:b w:val="0"/>
                <w:sz w:val="17"/>
              </w:rPr>
              <w:t>Timing and control</w:t>
            </w:r>
          </w:p>
        </w:tc>
        <w:tc>
          <w:tcPr>
            <w:tcW w:type="dxa" w:w="5184"/>
            <w:vAlign w:val="center"/>
          </w:tcPr>
          <w:p>
            <w:pPr>
              <w:spacing w:after="0"/>
            </w:pPr>
            <w:r/>
            <w:r>
              <w:rPr>
                <w:b w:val="0"/>
                <w:sz w:val="17"/>
              </w:rPr>
              <w:t>Track clock domains, timing budgets, deadline misses, jitter and synchronization evidence.</w:t>
            </w:r>
          </w:p>
        </w:tc>
        <w:tc>
          <w:tcPr>
            <w:tcW w:type="dxa" w:w="3312"/>
            <w:vAlign w:val="center"/>
          </w:tcPr>
          <w:p>
            <w:pPr>
              <w:spacing w:after="0"/>
            </w:pPr>
            <w:r/>
            <w:r>
              <w:rPr>
                <w:b w:val="0"/>
                <w:sz w:val="17"/>
              </w:rPr>
              <w:t>Time domain and units are declared; unsupported guarantees are reported.</w:t>
            </w:r>
          </w:p>
        </w:tc>
      </w:tr>
      <w:tr>
        <w:tc>
          <w:tcPr>
            <w:tcW w:type="dxa" w:w="2088"/>
            <w:vAlign w:val="center"/>
          </w:tcPr>
          <w:p>
            <w:pPr>
              <w:spacing w:after="0"/>
            </w:pPr>
            <w:r/>
            <w:r>
              <w:rPr>
                <w:b w:val="0"/>
                <w:sz w:val="17"/>
              </w:rPr>
              <w:t>Evidence capture</w:t>
            </w:r>
          </w:p>
        </w:tc>
        <w:tc>
          <w:tcPr>
            <w:tcW w:type="dxa" w:w="5184"/>
            <w:vAlign w:val="center"/>
          </w:tcPr>
          <w:p>
            <w:pPr>
              <w:spacing w:after="0"/>
            </w:pPr>
            <w:r/>
            <w:r>
              <w:rPr>
                <w:b w:val="0"/>
                <w:sz w:val="17"/>
              </w:rPr>
              <w:t>Record versions, configuration, workload inputs, outcomes, metrics and known limitations.</w:t>
            </w:r>
          </w:p>
        </w:tc>
        <w:tc>
          <w:tcPr>
            <w:tcW w:type="dxa" w:w="3312"/>
            <w:vAlign w:val="center"/>
          </w:tcPr>
          <w:p>
            <w:pPr>
              <w:spacing w:after="0"/>
            </w:pPr>
            <w:r/>
            <w:r>
              <w:rPr>
                <w:b w:val="0"/>
                <w:sz w:val="17"/>
              </w:rPr>
              <w:t>An execution or simulation produces a linked evidence record.</w:t>
            </w:r>
          </w:p>
        </w:tc>
      </w:tr>
      <w:tr>
        <w:tc>
          <w:tcPr>
            <w:tcW w:type="dxa" w:w="2088"/>
            <w:vAlign w:val="center"/>
          </w:tcPr>
          <w:p>
            <w:pPr>
              <w:spacing w:after="0"/>
            </w:pPr>
            <w:r/>
            <w:r>
              <w:rPr>
                <w:b w:val="0"/>
                <w:sz w:val="17"/>
              </w:rPr>
              <w:t>Lifecycle and recovery</w:t>
            </w:r>
          </w:p>
        </w:tc>
        <w:tc>
          <w:tcPr>
            <w:tcW w:type="dxa" w:w="5184"/>
            <w:vAlign w:val="center"/>
          </w:tcPr>
          <w:p>
            <w:pPr>
              <w:spacing w:after="0"/>
            </w:pPr>
            <w:r/>
            <w:r>
              <w:rPr>
                <w:b w:val="0"/>
                <w:sz w:val="17"/>
              </w:rPr>
              <w:t>Track resource/session states, failures, cancellation and safe recovery boundaries.</w:t>
            </w:r>
          </w:p>
        </w:tc>
        <w:tc>
          <w:tcPr>
            <w:tcW w:type="dxa" w:w="3312"/>
            <w:vAlign w:val="center"/>
          </w:tcPr>
          <w:p>
            <w:pPr>
              <w:spacing w:after="0"/>
            </w:pPr>
            <w:r/>
            <w:r>
              <w:rPr>
                <w:b w:val="0"/>
                <w:sz w:val="17"/>
              </w:rPr>
              <w:t>Failure states are explicit and testable.</w:t>
            </w:r>
          </w:p>
        </w:tc>
      </w:tr>
      <w:tr>
        <w:tc>
          <w:tcPr>
            <w:tcW w:type="dxa" w:w="2088"/>
            <w:vAlign w:val="center"/>
          </w:tcPr>
          <w:p>
            <w:pPr>
              <w:spacing w:after="0"/>
            </w:pPr>
            <w:r/>
            <w:r>
              <w:rPr>
                <w:b w:val="0"/>
                <w:sz w:val="17"/>
              </w:rPr>
              <w:t>Governance and security</w:t>
            </w:r>
          </w:p>
        </w:tc>
        <w:tc>
          <w:tcPr>
            <w:tcW w:type="dxa" w:w="5184"/>
            <w:vAlign w:val="center"/>
          </w:tcPr>
          <w:p>
            <w:pPr>
              <w:spacing w:after="0"/>
            </w:pPr>
            <w:r/>
            <w:r>
              <w:rPr>
                <w:b w:val="0"/>
                <w:sz w:val="17"/>
              </w:rPr>
              <w:t>Apply least privilege, secret handling, isolation, data handling and audit records.</w:t>
            </w:r>
          </w:p>
        </w:tc>
        <w:tc>
          <w:tcPr>
            <w:tcW w:type="dxa" w:w="3312"/>
            <w:vAlign w:val="center"/>
          </w:tcPr>
          <w:p>
            <w:pPr>
              <w:spacing w:after="0"/>
            </w:pPr>
            <w:r/>
            <w:r>
              <w:rPr>
                <w:b w:val="0"/>
                <w:sz w:val="17"/>
              </w:rPr>
              <w:t>Access and policy decisions are auditable; secrets are not placed in evidence.</w:t>
            </w:r>
          </w:p>
        </w:tc>
      </w:tr>
    </w:tbl>
    <w:p>
      <w:pPr>
        <w:spacing w:after="20"/>
      </w:pPr>
    </w:p>
    <w:p>
      <w:pPr>
        <w:pStyle w:val="Heading1"/>
      </w:pPr>
      <w:r>
        <w:t>5. Logical Configuration Model</w:t>
      </w:r>
    </w:p>
    <w:p>
      <w:r>
        <w:t>The following is a proposed configuration inventory for the first blueprint, not a claim that these files or schemas already exist. Before implementation, inspect current QAI deployment, resource, workload, environment and policy contracts and reuse or extend them where appropriate.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CFE2F3"/>
          </w:tcPr>
          <w:p>
            <w:pPr>
              <w:spacing w:after="0"/>
            </w:pPr>
            <w:r/>
            <w:r>
              <w:rPr>
                <w:b/>
                <w:sz w:val="17"/>
              </w:rPr>
              <w:t>Configuration object</w:t>
            </w:r>
          </w:p>
        </w:tc>
        <w:tc>
          <w:tcPr>
            <w:tcW w:type="dxa" w:w="6552"/>
            <w:vAlign w:val="center"/>
            <w:shd w:fill="CFE2F3"/>
          </w:tcPr>
          <w:p>
            <w:pPr>
              <w:spacing w:after="0"/>
            </w:pPr>
            <w:r/>
            <w:r>
              <w:rPr>
                <w:b/>
                <w:sz w:val="17"/>
              </w:rPr>
              <w:t>Key fields / purpose</w:t>
            </w:r>
          </w:p>
        </w:tc>
        <w:tc>
          <w:tcPr>
            <w:tcW w:type="dxa" w:w="1800"/>
            <w:vAlign w:val="center"/>
            <w:shd w:fill="CFE2F3"/>
          </w:tcPr>
          <w:p>
            <w:pPr>
              <w:spacing w:after="0"/>
            </w:pPr>
            <w:r/>
            <w:r>
              <w:rPr>
                <w:b/>
                <w:sz w:val="17"/>
              </w:rPr>
              <w:t>Status</w:t>
            </w:r>
          </w:p>
        </w:tc>
      </w:tr>
      <w:tr>
        <w:tc>
          <w:tcPr>
            <w:tcW w:type="dxa" w:w="2232"/>
            <w:vAlign w:val="center"/>
          </w:tcPr>
          <w:p>
            <w:pPr>
              <w:spacing w:after="0"/>
            </w:pPr>
            <w:r/>
            <w:r>
              <w:rPr>
                <w:b w:val="0"/>
                <w:sz w:val="17"/>
              </w:rPr>
              <w:t>Workload definition</w:t>
            </w:r>
          </w:p>
        </w:tc>
        <w:tc>
          <w:tcPr>
            <w:tcW w:type="dxa" w:w="6552"/>
            <w:vAlign w:val="center"/>
          </w:tcPr>
          <w:p>
            <w:pPr>
              <w:spacing w:after="0"/>
            </w:pPr>
            <w:r/>
            <w:r>
              <w:rPr>
                <w:b w:val="0"/>
                <w:sz w:val="17"/>
              </w:rPr>
              <w:t>Logical ID, version, workload class, inputs/outputs, requirements, execution mode, constraints.</w:t>
            </w:r>
          </w:p>
        </w:tc>
        <w:tc>
          <w:tcPr>
            <w:tcW w:type="dxa" w:w="1800"/>
            <w:vAlign w:val="center"/>
          </w:tcPr>
          <w:p>
            <w:pPr>
              <w:spacing w:after="0"/>
            </w:pPr>
            <w:r/>
            <w:r>
              <w:rPr>
                <w:b w:val="0"/>
                <w:sz w:val="17"/>
              </w:rPr>
              <w:t>Required concept; align with existing workload contracts.</w:t>
            </w:r>
          </w:p>
        </w:tc>
      </w:tr>
      <w:tr>
        <w:tc>
          <w:tcPr>
            <w:tcW w:type="dxa" w:w="2232"/>
            <w:vAlign w:val="center"/>
          </w:tcPr>
          <w:p>
            <w:pPr>
              <w:spacing w:after="0"/>
            </w:pPr>
            <w:r/>
            <w:r>
              <w:rPr>
                <w:b w:val="0"/>
                <w:sz w:val="17"/>
              </w:rPr>
              <w:t>Environment definition</w:t>
            </w:r>
          </w:p>
        </w:tc>
        <w:tc>
          <w:tcPr>
            <w:tcW w:type="dxa" w:w="6552"/>
            <w:vAlign w:val="center"/>
          </w:tcPr>
          <w:p>
            <w:pPr>
              <w:spacing w:after="0"/>
            </w:pPr>
            <w:r/>
            <w:r>
              <w:rPr>
                <w:b w:val="0"/>
                <w:sz w:val="17"/>
              </w:rPr>
              <w:t>Environment identity/type, accessible boundaries, installed runtimes, operating constraints.</w:t>
            </w:r>
          </w:p>
        </w:tc>
        <w:tc>
          <w:tcPr>
            <w:tcW w:type="dxa" w:w="1800"/>
            <w:vAlign w:val="center"/>
          </w:tcPr>
          <w:p>
            <w:pPr>
              <w:spacing w:after="0"/>
            </w:pPr>
            <w:r/>
            <w:r>
              <w:rPr>
                <w:b w:val="0"/>
                <w:sz w:val="17"/>
              </w:rPr>
              <w:t>Required concept; review existing environment contracts.</w:t>
            </w:r>
          </w:p>
        </w:tc>
      </w:tr>
      <w:tr>
        <w:tc>
          <w:tcPr>
            <w:tcW w:type="dxa" w:w="2232"/>
            <w:vAlign w:val="center"/>
          </w:tcPr>
          <w:p>
            <w:pPr>
              <w:spacing w:after="0"/>
            </w:pPr>
            <w:r/>
            <w:r>
              <w:rPr>
                <w:b w:val="0"/>
                <w:sz w:val="17"/>
              </w:rPr>
              <w:t>Resource capability descriptor</w:t>
            </w:r>
          </w:p>
        </w:tc>
        <w:tc>
          <w:tcPr>
            <w:tcW w:type="dxa" w:w="6552"/>
            <w:vAlign w:val="center"/>
          </w:tcPr>
          <w:p>
            <w:pPr>
              <w:spacing w:after="0"/>
            </w:pPr>
            <w:r/>
            <w:r>
              <w:rPr>
                <w:b w:val="0"/>
                <w:sz w:val="17"/>
              </w:rPr>
              <w:t>Resource type, capacity, interfaces, runtime/driver versions, modes, provenance and limits.</w:t>
            </w:r>
          </w:p>
        </w:tc>
        <w:tc>
          <w:tcPr>
            <w:tcW w:type="dxa" w:w="1800"/>
            <w:vAlign w:val="center"/>
          </w:tcPr>
          <w:p>
            <w:pPr>
              <w:spacing w:after="0"/>
            </w:pPr>
            <w:r/>
            <w:r>
              <w:rPr>
                <w:b w:val="0"/>
                <w:sz w:val="17"/>
              </w:rPr>
              <w:t>Required concept; avoid assuming unavailable resources.</w:t>
            </w:r>
          </w:p>
        </w:tc>
      </w:tr>
      <w:tr>
        <w:tc>
          <w:tcPr>
            <w:tcW w:type="dxa" w:w="2232"/>
            <w:vAlign w:val="center"/>
          </w:tcPr>
          <w:p>
            <w:pPr>
              <w:spacing w:after="0"/>
            </w:pPr>
            <w:r/>
            <w:r>
              <w:rPr>
                <w:b w:val="0"/>
                <w:sz w:val="17"/>
              </w:rPr>
              <w:t>Accelerator topology</w:t>
            </w:r>
          </w:p>
        </w:tc>
        <w:tc>
          <w:tcPr>
            <w:tcW w:type="dxa" w:w="6552"/>
            <w:vAlign w:val="center"/>
          </w:tcPr>
          <w:p>
            <w:pPr>
              <w:spacing w:after="0"/>
            </w:pPr>
            <w:r/>
            <w:r>
              <w:rPr>
                <w:b w:val="0"/>
                <w:sz w:val="17"/>
              </w:rPr>
              <w:t>Nodes, resource attachments, interconnects, routes and dependency relationships.</w:t>
            </w:r>
          </w:p>
        </w:tc>
        <w:tc>
          <w:tcPr>
            <w:tcW w:type="dxa" w:w="1800"/>
            <w:vAlign w:val="center"/>
          </w:tcPr>
          <w:p>
            <w:pPr>
              <w:spacing w:after="0"/>
            </w:pPr>
            <w:r/>
            <w:r>
              <w:rPr>
                <w:b w:val="0"/>
                <w:sz w:val="17"/>
              </w:rPr>
              <w:t>Proposed contract or extension.</w:t>
            </w:r>
          </w:p>
        </w:tc>
      </w:tr>
      <w:tr>
        <w:tc>
          <w:tcPr>
            <w:tcW w:type="dxa" w:w="2232"/>
            <w:vAlign w:val="center"/>
          </w:tcPr>
          <w:p>
            <w:pPr>
              <w:spacing w:after="0"/>
            </w:pPr>
            <w:r/>
            <w:r>
              <w:rPr>
                <w:b w:val="0"/>
                <w:sz w:val="17"/>
              </w:rPr>
              <w:t>Interconnect capability</w:t>
            </w:r>
          </w:p>
        </w:tc>
        <w:tc>
          <w:tcPr>
            <w:tcW w:type="dxa" w:w="6552"/>
            <w:vAlign w:val="center"/>
          </w:tcPr>
          <w:p>
            <w:pPr>
              <w:spacing w:after="0"/>
            </w:pPr>
            <w:r/>
            <w:r>
              <w:rPr>
                <w:b w:val="0"/>
                <w:sz w:val="17"/>
              </w:rPr>
              <w:t>Interface/protocol, endpoint compatibility, measured or declared performance, limits.</w:t>
            </w:r>
          </w:p>
        </w:tc>
        <w:tc>
          <w:tcPr>
            <w:tcW w:type="dxa" w:w="1800"/>
            <w:vAlign w:val="center"/>
          </w:tcPr>
          <w:p>
            <w:pPr>
              <w:spacing w:after="0"/>
            </w:pPr>
            <w:r/>
            <w:r>
              <w:rPr>
                <w:b w:val="0"/>
                <w:sz w:val="17"/>
              </w:rPr>
              <w:t>Proposed contract or extension.</w:t>
            </w:r>
          </w:p>
        </w:tc>
      </w:tr>
      <w:tr>
        <w:tc>
          <w:tcPr>
            <w:tcW w:type="dxa" w:w="2232"/>
            <w:vAlign w:val="center"/>
          </w:tcPr>
          <w:p>
            <w:pPr>
              <w:spacing w:after="0"/>
            </w:pPr>
            <w:r/>
            <w:r>
              <w:rPr>
                <w:b w:val="0"/>
                <w:sz w:val="17"/>
              </w:rPr>
              <w:t>Clock domain</w:t>
            </w:r>
          </w:p>
        </w:tc>
        <w:tc>
          <w:tcPr>
            <w:tcW w:type="dxa" w:w="6552"/>
            <w:vAlign w:val="center"/>
          </w:tcPr>
          <w:p>
            <w:pPr>
              <w:spacing w:after="0"/>
            </w:pPr>
            <w:r/>
            <w:r>
              <w:rPr>
                <w:b w:val="0"/>
                <w:sz w:val="17"/>
              </w:rPr>
              <w:t>Domain name, source, units, resolution, offset/drift evidence and mapping to other domains.</w:t>
            </w:r>
          </w:p>
        </w:tc>
        <w:tc>
          <w:tcPr>
            <w:tcW w:type="dxa" w:w="1800"/>
            <w:vAlign w:val="center"/>
          </w:tcPr>
          <w:p>
            <w:pPr>
              <w:spacing w:after="0"/>
            </w:pPr>
            <w:r/>
            <w:r>
              <w:rPr>
                <w:b w:val="0"/>
                <w:sz w:val="17"/>
              </w:rPr>
              <w:t>Proposed contract or extension.</w:t>
            </w:r>
          </w:p>
        </w:tc>
      </w:tr>
      <w:tr>
        <w:tc>
          <w:tcPr>
            <w:tcW w:type="dxa" w:w="2232"/>
            <w:vAlign w:val="center"/>
          </w:tcPr>
          <w:p>
            <w:pPr>
              <w:spacing w:after="0"/>
            </w:pPr>
            <w:r/>
            <w:r>
              <w:rPr>
                <w:b w:val="0"/>
                <w:sz w:val="17"/>
              </w:rPr>
              <w:t>Timing requirement / control loop</w:t>
            </w:r>
          </w:p>
        </w:tc>
        <w:tc>
          <w:tcPr>
            <w:tcW w:type="dxa" w:w="6552"/>
            <w:vAlign w:val="center"/>
          </w:tcPr>
          <w:p>
            <w:pPr>
              <w:spacing w:after="0"/>
            </w:pPr>
            <w:r/>
            <w:r>
              <w:rPr>
                <w:b w:val="0"/>
                <w:sz w:val="17"/>
              </w:rPr>
              <w:t>Deadline, budget, jitter tolerance, measurement method, critical-path components and local-control requirement.</w:t>
            </w:r>
          </w:p>
        </w:tc>
        <w:tc>
          <w:tcPr>
            <w:tcW w:type="dxa" w:w="1800"/>
            <w:vAlign w:val="center"/>
          </w:tcPr>
          <w:p>
            <w:pPr>
              <w:spacing w:after="0"/>
            </w:pPr>
            <w:r/>
            <w:r>
              <w:rPr>
                <w:b w:val="0"/>
                <w:sz w:val="17"/>
              </w:rPr>
              <w:t>Proposed contract or extension.</w:t>
            </w:r>
          </w:p>
        </w:tc>
      </w:tr>
      <w:tr>
        <w:tc>
          <w:tcPr>
            <w:tcW w:type="dxa" w:w="2232"/>
            <w:vAlign w:val="center"/>
          </w:tcPr>
          <w:p>
            <w:pPr>
              <w:spacing w:after="0"/>
            </w:pPr>
            <w:r/>
            <w:r>
              <w:rPr>
                <w:b w:val="0"/>
                <w:sz w:val="17"/>
              </w:rPr>
              <w:t>Execution binding</w:t>
            </w:r>
          </w:p>
        </w:tc>
        <w:tc>
          <w:tcPr>
            <w:tcW w:type="dxa" w:w="6552"/>
            <w:vAlign w:val="center"/>
          </w:tcPr>
          <w:p>
            <w:pPr>
              <w:spacing w:after="0"/>
            </w:pPr>
            <w:r/>
            <w:r>
              <w:rPr>
                <w:b w:val="0"/>
                <w:sz w:val="17"/>
              </w:rPr>
              <w:t>Workload-to-resource mapping, adapter, mode, parameters and unresolved constraints.</w:t>
            </w:r>
          </w:p>
        </w:tc>
        <w:tc>
          <w:tcPr>
            <w:tcW w:type="dxa" w:w="1800"/>
            <w:vAlign w:val="center"/>
          </w:tcPr>
          <w:p>
            <w:pPr>
              <w:spacing w:after="0"/>
            </w:pPr>
            <w:r/>
            <w:r>
              <w:rPr>
                <w:b w:val="0"/>
                <w:sz w:val="17"/>
              </w:rPr>
              <w:t>Proposed contract or extension.</w:t>
            </w:r>
          </w:p>
        </w:tc>
      </w:tr>
      <w:tr>
        <w:tc>
          <w:tcPr>
            <w:tcW w:type="dxa" w:w="2232"/>
            <w:vAlign w:val="center"/>
          </w:tcPr>
          <w:p>
            <w:pPr>
              <w:spacing w:after="0"/>
            </w:pPr>
            <w:r/>
            <w:r>
              <w:rPr>
                <w:b w:val="0"/>
                <w:sz w:val="17"/>
              </w:rPr>
              <w:t>Deployment plan</w:t>
            </w:r>
          </w:p>
        </w:tc>
        <w:tc>
          <w:tcPr>
            <w:tcW w:type="dxa" w:w="6552"/>
            <w:vAlign w:val="center"/>
          </w:tcPr>
          <w:p>
            <w:pPr>
              <w:spacing w:after="0"/>
            </w:pPr>
            <w:r/>
            <w:r>
              <w:rPr>
                <w:b w:val="0"/>
                <w:sz w:val="17"/>
              </w:rPr>
              <w:t>Resolved references, proposed operations, dependencies, preconditions, approvals and rollback/recovery notes.</w:t>
            </w:r>
          </w:p>
        </w:tc>
        <w:tc>
          <w:tcPr>
            <w:tcW w:type="dxa" w:w="1800"/>
            <w:vAlign w:val="center"/>
          </w:tcPr>
          <w:p>
            <w:pPr>
              <w:spacing w:after="0"/>
            </w:pPr>
            <w:r/>
            <w:r>
              <w:rPr>
                <w:b w:val="0"/>
                <w:sz w:val="17"/>
              </w:rPr>
              <w:t>Existing deployment contract should be reviewed first.</w:t>
            </w:r>
          </w:p>
        </w:tc>
      </w:tr>
      <w:tr>
        <w:tc>
          <w:tcPr>
            <w:tcW w:type="dxa" w:w="2232"/>
            <w:vAlign w:val="center"/>
          </w:tcPr>
          <w:p>
            <w:pPr>
              <w:spacing w:after="0"/>
            </w:pPr>
            <w:r/>
            <w:r>
              <w:rPr>
                <w:b w:val="0"/>
                <w:sz w:val="17"/>
              </w:rPr>
              <w:t>Qualification evidence</w:t>
            </w:r>
          </w:p>
        </w:tc>
        <w:tc>
          <w:tcPr>
            <w:tcW w:type="dxa" w:w="6552"/>
            <w:vAlign w:val="center"/>
          </w:tcPr>
          <w:p>
            <w:pPr>
              <w:spacing w:after="0"/>
            </w:pPr>
            <w:r/>
            <w:r>
              <w:rPr>
                <w:b w:val="0"/>
                <w:sz w:val="17"/>
              </w:rPr>
              <w:t>Test ID, configuration/version, method, metrics, provenance, result and limitations.</w:t>
            </w:r>
          </w:p>
        </w:tc>
        <w:tc>
          <w:tcPr>
            <w:tcW w:type="dxa" w:w="1800"/>
            <w:vAlign w:val="center"/>
          </w:tcPr>
          <w:p>
            <w:pPr>
              <w:spacing w:after="0"/>
            </w:pPr>
            <w:r/>
            <w:r>
              <w:rPr>
                <w:b w:val="0"/>
                <w:sz w:val="17"/>
              </w:rPr>
              <w:t>Proposed contract or extension.</w:t>
            </w:r>
          </w:p>
        </w:tc>
      </w:tr>
    </w:tbl>
    <w:p>
      <w:pPr>
        <w:spacing w:after="20"/>
      </w:pPr>
    </w:p>
    <w:p>
      <w:pPr>
        <w:pStyle w:val="Heading1"/>
      </w:pPr>
      <w:r>
        <w:t>6. Resource Fabrics and Execution Modes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CFE2F3"/>
          </w:tcPr>
          <w:p>
            <w:pPr>
              <w:spacing w:after="0"/>
            </w:pPr>
            <w:r/>
            <w:r>
              <w:rPr>
                <w:b/>
                <w:sz w:val="17"/>
              </w:rPr>
              <w:t>Fabric / resource family</w:t>
            </w:r>
          </w:p>
        </w:tc>
        <w:tc>
          <w:tcPr>
            <w:tcW w:type="dxa" w:w="4608"/>
            <w:vAlign w:val="center"/>
            <w:shd w:fill="CFE2F3"/>
          </w:tcPr>
          <w:p>
            <w:pPr>
              <w:spacing w:after="0"/>
            </w:pPr>
            <w:r/>
            <w:r>
              <w:rPr>
                <w:b/>
                <w:sz w:val="17"/>
              </w:rPr>
              <w:t>Role</w:t>
            </w:r>
          </w:p>
        </w:tc>
        <w:tc>
          <w:tcPr>
            <w:tcW w:type="dxa" w:w="3888"/>
            <w:vAlign w:val="center"/>
            <w:shd w:fill="CFE2F3"/>
          </w:tcPr>
          <w:p>
            <w:pPr>
              <w:spacing w:after="0"/>
            </w:pPr>
            <w:r/>
            <w:r>
              <w:rPr>
                <w:b/>
                <w:sz w:val="17"/>
              </w:rPr>
              <w:t>Initial approach</w:t>
            </w:r>
          </w:p>
        </w:tc>
      </w:tr>
      <w:tr>
        <w:tc>
          <w:tcPr>
            <w:tcW w:type="dxa" w:w="2088"/>
            <w:vAlign w:val="center"/>
          </w:tcPr>
          <w:p>
            <w:pPr>
              <w:spacing w:after="0"/>
            </w:pPr>
            <w:r/>
            <w:r>
              <w:rPr>
                <w:b w:val="0"/>
                <w:sz w:val="17"/>
              </w:rPr>
              <w:t>CPU / host</w:t>
            </w:r>
          </w:p>
        </w:tc>
        <w:tc>
          <w:tcPr>
            <w:tcW w:type="dxa" w:w="4608"/>
            <w:vAlign w:val="center"/>
          </w:tcPr>
          <w:p>
            <w:pPr>
              <w:spacing w:after="0"/>
            </w:pPr>
            <w:r/>
            <w:r>
              <w:rPr>
                <w:b w:val="0"/>
                <w:sz w:val="17"/>
              </w:rPr>
              <w:t>General-purpose orchestration, control services and classical workload execution.</w:t>
            </w:r>
          </w:p>
        </w:tc>
        <w:tc>
          <w:tcPr>
            <w:tcW w:type="dxa" w:w="3888"/>
            <w:vAlign w:val="center"/>
          </w:tcPr>
          <w:p>
            <w:pPr>
              <w:spacing w:after="0"/>
            </w:pPr>
            <w:r/>
            <w:r>
              <w:rPr>
                <w:b w:val="0"/>
                <w:sz w:val="17"/>
              </w:rPr>
              <w:t>First execution target where available.</w:t>
            </w:r>
          </w:p>
        </w:tc>
      </w:tr>
      <w:tr>
        <w:tc>
          <w:tcPr>
            <w:tcW w:type="dxa" w:w="2088"/>
            <w:vAlign w:val="center"/>
          </w:tcPr>
          <w:p>
            <w:pPr>
              <w:spacing w:after="0"/>
            </w:pPr>
            <w:r/>
            <w:r>
              <w:rPr>
                <w:b w:val="0"/>
                <w:sz w:val="17"/>
              </w:rPr>
              <w:t>GPU</w:t>
            </w:r>
          </w:p>
        </w:tc>
        <w:tc>
          <w:tcPr>
            <w:tcW w:type="dxa" w:w="4608"/>
            <w:vAlign w:val="center"/>
          </w:tcPr>
          <w:p>
            <w:pPr>
              <w:spacing w:after="0"/>
            </w:pPr>
            <w:r/>
            <w:r>
              <w:rPr>
                <w:b w:val="0"/>
                <w:sz w:val="17"/>
              </w:rPr>
              <w:t>Parallel compute, AI/ML and suitable simulation workloads.</w:t>
            </w:r>
          </w:p>
        </w:tc>
        <w:tc>
          <w:tcPr>
            <w:tcW w:type="dxa" w:w="3888"/>
            <w:vAlign w:val="center"/>
          </w:tcPr>
          <w:p>
            <w:pPr>
              <w:spacing w:after="0"/>
            </w:pPr>
            <w:r/>
            <w:r>
              <w:rPr>
                <w:b w:val="0"/>
                <w:sz w:val="17"/>
              </w:rPr>
              <w:t>Optional adapter; validate runtime, memory and data-transfer assumptions.</w:t>
            </w:r>
          </w:p>
        </w:tc>
      </w:tr>
      <w:tr>
        <w:tc>
          <w:tcPr>
            <w:tcW w:type="dxa" w:w="2088"/>
            <w:vAlign w:val="center"/>
          </w:tcPr>
          <w:p>
            <w:pPr>
              <w:spacing w:after="0"/>
            </w:pPr>
            <w:r/>
            <w:r>
              <w:rPr>
                <w:b w:val="0"/>
                <w:sz w:val="17"/>
              </w:rPr>
              <w:t>FPGA Fabric</w:t>
            </w:r>
          </w:p>
        </w:tc>
        <w:tc>
          <w:tcPr>
            <w:tcW w:type="dxa" w:w="4608"/>
            <w:vAlign w:val="center"/>
          </w:tcPr>
          <w:p>
            <w:pPr>
              <w:spacing w:after="0"/>
            </w:pPr>
            <w:r/>
            <w:r>
              <w:rPr>
                <w:b w:val="0"/>
                <w:sz w:val="17"/>
              </w:rPr>
              <w:t>Device abstraction, bitstream lifecycle, streaming/DMA, event processing, timing integration, monitoring and recovery.</w:t>
            </w:r>
          </w:p>
        </w:tc>
        <w:tc>
          <w:tcPr>
            <w:tcW w:type="dxa" w:w="3888"/>
            <w:vAlign w:val="center"/>
          </w:tcPr>
          <w:p>
            <w:pPr>
              <w:spacing w:after="0"/>
            </w:pPr>
            <w:r/>
            <w:r>
              <w:rPr>
                <w:b w:val="0"/>
                <w:sz w:val="17"/>
              </w:rPr>
              <w:t>Start with descriptor and simulated/emulated adapter; add physical hardware when available.</w:t>
            </w:r>
          </w:p>
        </w:tc>
      </w:tr>
      <w:tr>
        <w:tc>
          <w:tcPr>
            <w:tcW w:type="dxa" w:w="2088"/>
            <w:vAlign w:val="center"/>
          </w:tcPr>
          <w:p>
            <w:pPr>
              <w:spacing w:after="0"/>
            </w:pPr>
            <w:r/>
            <w:r>
              <w:rPr>
                <w:b w:val="0"/>
                <w:sz w:val="17"/>
              </w:rPr>
              <w:t>HPC</w:t>
            </w:r>
          </w:p>
        </w:tc>
        <w:tc>
          <w:tcPr>
            <w:tcW w:type="dxa" w:w="4608"/>
            <w:vAlign w:val="center"/>
          </w:tcPr>
          <w:p>
            <w:pPr>
              <w:spacing w:after="0"/>
            </w:pPr>
            <w:r/>
            <w:r>
              <w:rPr>
                <w:b w:val="0"/>
                <w:sz w:val="17"/>
              </w:rPr>
              <w:t>Multi-node compute and scheduled batch workloads.</w:t>
            </w:r>
          </w:p>
        </w:tc>
        <w:tc>
          <w:tcPr>
            <w:tcW w:type="dxa" w:w="3888"/>
            <w:vAlign w:val="center"/>
          </w:tcPr>
          <w:p>
            <w:pPr>
              <w:spacing w:after="0"/>
            </w:pPr>
            <w:r/>
            <w:r>
              <w:rPr>
                <w:b w:val="0"/>
                <w:sz w:val="17"/>
              </w:rPr>
              <w:t>Represent scheduler and access requirements; integrate only when an actual target is available.</w:t>
            </w:r>
          </w:p>
        </w:tc>
      </w:tr>
      <w:tr>
        <w:tc>
          <w:tcPr>
            <w:tcW w:type="dxa" w:w="2088"/>
            <w:vAlign w:val="center"/>
          </w:tcPr>
          <w:p>
            <w:pPr>
              <w:spacing w:after="0"/>
            </w:pPr>
            <w:r/>
            <w:r>
              <w:rPr>
                <w:b w:val="0"/>
                <w:sz w:val="17"/>
              </w:rPr>
              <w:t>Quantum resources (QPU/QSC)</w:t>
            </w:r>
          </w:p>
        </w:tc>
        <w:tc>
          <w:tcPr>
            <w:tcW w:type="dxa" w:w="4608"/>
            <w:vAlign w:val="center"/>
          </w:tcPr>
          <w:p>
            <w:pPr>
              <w:spacing w:after="0"/>
            </w:pPr>
            <w:r/>
            <w:r>
              <w:rPr>
                <w:b w:val="0"/>
                <w:sz w:val="17"/>
              </w:rPr>
              <w:t>Quantum-native execution and/or quantum control systems, depending on the resource.</w:t>
            </w:r>
          </w:p>
        </w:tc>
        <w:tc>
          <w:tcPr>
            <w:tcW w:type="dxa" w:w="3888"/>
            <w:vAlign w:val="center"/>
          </w:tcPr>
          <w:p>
            <w:pPr>
              <w:spacing w:after="0"/>
            </w:pPr>
            <w:r/>
            <w:r>
              <w:rPr>
                <w:b w:val="0"/>
                <w:sz w:val="17"/>
              </w:rPr>
              <w:t>Simulation or declared placeholder first; physical integration only with a verified interface and evidence.</w:t>
            </w:r>
          </w:p>
        </w:tc>
      </w:tr>
      <w:tr>
        <w:tc>
          <w:tcPr>
            <w:tcW w:type="dxa" w:w="2088"/>
            <w:vAlign w:val="center"/>
          </w:tcPr>
          <w:p>
            <w:pPr>
              <w:spacing w:after="0"/>
            </w:pPr>
            <w:r/>
            <w:r>
              <w:rPr>
                <w:b w:val="0"/>
                <w:sz w:val="17"/>
              </w:rPr>
              <w:t>Network / interconnect</w:t>
            </w:r>
          </w:p>
        </w:tc>
        <w:tc>
          <w:tcPr>
            <w:tcW w:type="dxa" w:w="4608"/>
            <w:vAlign w:val="center"/>
          </w:tcPr>
          <w:p>
            <w:pPr>
              <w:spacing w:after="0"/>
            </w:pPr>
            <w:r/>
            <w:r>
              <w:rPr>
                <w:b w:val="0"/>
                <w:sz w:val="17"/>
              </w:rPr>
              <w:t>Connect compute, accelerator and quantum-control resources; describe relevant transfer and timing characteristics.</w:t>
            </w:r>
          </w:p>
        </w:tc>
        <w:tc>
          <w:tcPr>
            <w:tcW w:type="dxa" w:w="3888"/>
            <w:vAlign w:val="center"/>
          </w:tcPr>
          <w:p>
            <w:pPr>
              <w:spacing w:after="0"/>
            </w:pPr>
            <w:r/>
            <w:r>
              <w:rPr>
                <w:b w:val="0"/>
                <w:sz w:val="17"/>
              </w:rPr>
              <w:t>Model topology and known capabilities; measure rather than assume.</w:t>
            </w:r>
          </w:p>
        </w:tc>
      </w:tr>
      <w:tr>
        <w:tc>
          <w:tcPr>
            <w:tcW w:type="dxa" w:w="2088"/>
            <w:vAlign w:val="center"/>
          </w:tcPr>
          <w:p>
            <w:pPr>
              <w:spacing w:after="0"/>
            </w:pPr>
            <w:r/>
            <w:r>
              <w:rPr>
                <w:b w:val="0"/>
                <w:sz w:val="17"/>
              </w:rPr>
              <w:t>Storage / memory</w:t>
            </w:r>
          </w:p>
        </w:tc>
        <w:tc>
          <w:tcPr>
            <w:tcW w:type="dxa" w:w="4608"/>
            <w:vAlign w:val="center"/>
          </w:tcPr>
          <w:p>
            <w:pPr>
              <w:spacing w:after="0"/>
            </w:pPr>
            <w:r/>
            <w:r>
              <w:rPr>
                <w:b w:val="0"/>
                <w:sz w:val="17"/>
              </w:rPr>
              <w:t>Workload data, intermediate state, models, artifacts and evidence.</w:t>
            </w:r>
          </w:p>
        </w:tc>
        <w:tc>
          <w:tcPr>
            <w:tcW w:type="dxa" w:w="3888"/>
            <w:vAlign w:val="center"/>
          </w:tcPr>
          <w:p>
            <w:pPr>
              <w:spacing w:after="0"/>
            </w:pPr>
            <w:r/>
            <w:r>
              <w:rPr>
                <w:b w:val="0"/>
                <w:sz w:val="17"/>
              </w:rPr>
              <w:t>Define access boundaries, data references, retention and provenance.</w:t>
            </w:r>
          </w:p>
        </w:tc>
      </w:tr>
      <w:tr>
        <w:tc>
          <w:tcPr>
            <w:tcW w:type="dxa" w:w="2088"/>
            <w:vAlign w:val="center"/>
          </w:tcPr>
          <w:p>
            <w:pPr>
              <w:spacing w:after="0"/>
            </w:pPr>
            <w:r/>
            <w:r>
              <w:rPr>
                <w:b w:val="0"/>
                <w:sz w:val="17"/>
              </w:rPr>
              <w:t>Simulation / emulation</w:t>
            </w:r>
          </w:p>
        </w:tc>
        <w:tc>
          <w:tcPr>
            <w:tcW w:type="dxa" w:w="4608"/>
            <w:vAlign w:val="center"/>
          </w:tcPr>
          <w:p>
            <w:pPr>
              <w:spacing w:after="0"/>
            </w:pPr>
            <w:r/>
            <w:r>
              <w:rPr>
                <w:b w:val="0"/>
                <w:sz w:val="17"/>
              </w:rPr>
              <w:t>Test scenarios and interfaces when hardware is unavailable or unsafe to use.</w:t>
            </w:r>
          </w:p>
        </w:tc>
        <w:tc>
          <w:tcPr>
            <w:tcW w:type="dxa" w:w="3888"/>
            <w:vAlign w:val="center"/>
          </w:tcPr>
          <w:p>
            <w:pPr>
              <w:spacing w:after="0"/>
            </w:pPr>
            <w:r/>
            <w:r>
              <w:rPr>
                <w:b w:val="0"/>
                <w:sz w:val="17"/>
              </w:rPr>
              <w:t>First-class mode with explicit separation from physical validation.</w:t>
            </w:r>
          </w:p>
        </w:tc>
      </w:tr>
    </w:tbl>
    <w:p>
      <w:pPr>
        <w:spacing w:after="20"/>
      </w:pPr>
    </w:p>
    <w:p>
      <w:r>
        <w:t>Supported execution modes should be explicit, for example:</w:t>
      </w:r>
    </w:p>
    <w:p>
      <w:pPr>
        <w:pStyle w:val="ListBullet"/>
        <w:spacing w:after="40"/>
      </w:pPr>
      <w:r>
        <w:t>Planning-only: resolve references and emit a plan; no execution or resource mutation.</w:t>
      </w:r>
    </w:p>
    <w:p>
      <w:pPr>
        <w:pStyle w:val="ListBullet"/>
        <w:spacing w:after="40"/>
      </w:pPr>
      <w:r>
        <w:t>Simulation: use modelled resources and simulation time.</w:t>
      </w:r>
    </w:p>
    <w:p>
      <w:pPr>
        <w:pStyle w:val="ListBullet"/>
        <w:spacing w:after="40"/>
      </w:pPr>
      <w:r>
        <w:t>Emulation: exercise software interfaces or emulated device behavior.</w:t>
      </w:r>
    </w:p>
    <w:p>
      <w:pPr>
        <w:pStyle w:val="ListBullet"/>
        <w:spacing w:after="40"/>
      </w:pPr>
      <w:r>
        <w:t>Hardware-in-the-loop: connect selected physical components while preserving clear boundaries between simulated and physical elements.</w:t>
      </w:r>
    </w:p>
    <w:p>
      <w:pPr>
        <w:pStyle w:val="ListBullet"/>
        <w:spacing w:after="40"/>
      </w:pPr>
      <w:r>
        <w:t>Physical execution: run against verified hardware under approved access, safety and operational controls.</w:t>
      </w:r>
    </w:p>
    <w:p>
      <w:pPr>
        <w:pStyle w:val="Heading1"/>
      </w:pPr>
      <w:r>
        <w:t>7. FPGA-Aware Datacenter Selection and Qualification</w:t>
      </w:r>
    </w:p>
    <w:p>
      <w:r>
        <w:t>Datacenter qualification is workload-specific. It must not be based solely on whether a site advertises FPGA or GPU availability. The evaluation should consider:</w:t>
      </w:r>
    </w:p>
    <w:p>
      <w:pPr>
        <w:pStyle w:val="ListBullet"/>
        <w:spacing w:after="40"/>
      </w:pPr>
      <w:r>
        <w:t>Verified workload requirements and resource capabilities.</w:t>
      </w:r>
    </w:p>
    <w:p>
      <w:pPr>
        <w:pStyle w:val="ListBullet"/>
        <w:spacing w:after="40"/>
      </w:pPr>
      <w:r>
        <w:t>FPGA type, interface, bitstream/firmware lifecycle, compatibility and required adapters.</w:t>
      </w:r>
    </w:p>
    <w:p>
      <w:pPr>
        <w:pStyle w:val="ListBullet"/>
        <w:spacing w:after="40"/>
      </w:pPr>
      <w:r>
        <w:t>CPU/GPU/HPC/QPU/QSC availability where relevant to the workload.</w:t>
      </w:r>
    </w:p>
    <w:p>
      <w:pPr>
        <w:pStyle w:val="ListBullet"/>
        <w:spacing w:after="40"/>
      </w:pPr>
      <w:r>
        <w:t>Interconnect topology, data-movement path, throughput/latency evidence and failure boundaries.</w:t>
      </w:r>
    </w:p>
    <w:p>
      <w:pPr>
        <w:pStyle w:val="ListBullet"/>
        <w:spacing w:after="40"/>
      </w:pPr>
      <w:r>
        <w:t>Clock sources, synchronization support, timestamping, measured offset/drift, jitter and deadline behavior.</w:t>
      </w:r>
    </w:p>
    <w:p>
      <w:pPr>
        <w:pStyle w:val="ListBullet"/>
        <w:spacing w:after="40"/>
      </w:pPr>
      <w:r>
        <w:t>Runtime/driver/toolchain compatibility and supported execution modes.</w:t>
      </w:r>
    </w:p>
    <w:p>
      <w:pPr>
        <w:pStyle w:val="ListBullet"/>
        <w:spacing w:after="40"/>
      </w:pPr>
      <w:r>
        <w:t>Access approval, security boundaries, isolation, data sovereignty and operational access.</w:t>
      </w:r>
    </w:p>
    <w:p>
      <w:pPr>
        <w:pStyle w:val="ListBullet"/>
        <w:spacing w:after="40"/>
      </w:pPr>
      <w:r>
        <w:t>Storage capacity/access, evidence retention, observability and reproducibility.</w:t>
      </w:r>
    </w:p>
    <w:p>
      <w:pPr>
        <w:pStyle w:val="ListBullet"/>
        <w:spacing w:after="40"/>
      </w:pPr>
      <w:r>
        <w:t>Facility and operational constraints that are actually applicable to the selected hardware.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CFE2F3"/>
          </w:tcPr>
          <w:p>
            <w:pPr>
              <w:spacing w:after="0"/>
            </w:pPr>
            <w:r/>
            <w:r>
              <w:rPr>
                <w:b/>
                <w:sz w:val="17"/>
              </w:rPr>
              <w:t>Outcome</w:t>
            </w:r>
          </w:p>
        </w:tc>
        <w:tc>
          <w:tcPr>
            <w:tcW w:type="dxa" w:w="8352"/>
            <w:vAlign w:val="center"/>
            <w:shd w:fill="CFE2F3"/>
          </w:tcPr>
          <w:p>
            <w:pPr>
              <w:spacing w:after="0"/>
            </w:pPr>
            <w:r/>
            <w:r>
              <w:rPr>
                <w:b/>
                <w:sz w:val="17"/>
              </w:rPr>
              <w:t>Meaning</w:t>
            </w:r>
          </w:p>
        </w:tc>
      </w:tr>
      <w:tr>
        <w:tc>
          <w:tcPr>
            <w:tcW w:type="dxa" w:w="2448"/>
            <w:vAlign w:val="center"/>
          </w:tcPr>
          <w:p>
            <w:pPr>
              <w:spacing w:after="0"/>
            </w:pPr>
            <w:r/>
            <w:r>
              <w:rPr>
                <w:b w:val="0"/>
                <w:sz w:val="17"/>
              </w:rPr>
              <w:t>Qualified</w:t>
            </w:r>
          </w:p>
        </w:tc>
        <w:tc>
          <w:tcPr>
            <w:tcW w:type="dxa" w:w="8352"/>
            <w:vAlign w:val="center"/>
          </w:tcPr>
          <w:p>
            <w:pPr>
              <w:spacing w:after="0"/>
            </w:pPr>
            <w:r/>
            <w:r>
              <w:rPr>
                <w:b w:val="0"/>
                <w:sz w:val="17"/>
              </w:rPr>
              <w:t>Required capabilities and constraints are evidenced for the specified workload and mode.</w:t>
            </w:r>
          </w:p>
        </w:tc>
      </w:tr>
      <w:tr>
        <w:tc>
          <w:tcPr>
            <w:tcW w:type="dxa" w:w="2448"/>
            <w:vAlign w:val="center"/>
          </w:tcPr>
          <w:p>
            <w:pPr>
              <w:spacing w:after="0"/>
            </w:pPr>
            <w:r/>
            <w:r>
              <w:rPr>
                <w:b w:val="0"/>
                <w:sz w:val="17"/>
              </w:rPr>
              <w:t>Conditionally qualified</w:t>
            </w:r>
          </w:p>
        </w:tc>
        <w:tc>
          <w:tcPr>
            <w:tcW w:type="dxa" w:w="8352"/>
            <w:vAlign w:val="center"/>
          </w:tcPr>
          <w:p>
            <w:pPr>
              <w:spacing w:after="0"/>
            </w:pPr>
            <w:r/>
            <w:r>
              <w:rPr>
                <w:b w:val="0"/>
                <w:sz w:val="17"/>
              </w:rPr>
              <w:t>Usable only with named limitations, mitigations or additional prerequisites.</w:t>
            </w:r>
          </w:p>
        </w:tc>
      </w:tr>
      <w:tr>
        <w:tc>
          <w:tcPr>
            <w:tcW w:type="dxa" w:w="2448"/>
            <w:vAlign w:val="center"/>
          </w:tcPr>
          <w:p>
            <w:pPr>
              <w:spacing w:after="0"/>
            </w:pPr>
            <w:r/>
            <w:r>
              <w:rPr>
                <w:b w:val="0"/>
                <w:sz w:val="17"/>
              </w:rPr>
              <w:t>Simulation-only</w:t>
            </w:r>
          </w:p>
        </w:tc>
        <w:tc>
          <w:tcPr>
            <w:tcW w:type="dxa" w:w="8352"/>
            <w:vAlign w:val="center"/>
          </w:tcPr>
          <w:p>
            <w:pPr>
              <w:spacing w:after="0"/>
            </w:pPr>
            <w:r/>
            <w:r>
              <w:rPr>
                <w:b w:val="0"/>
                <w:sz w:val="17"/>
              </w:rPr>
              <w:t>The workflow can be tested in simulation/emulation, but physical execution is not qualified.</w:t>
            </w:r>
          </w:p>
        </w:tc>
      </w:tr>
      <w:tr>
        <w:tc>
          <w:tcPr>
            <w:tcW w:type="dxa" w:w="2448"/>
            <w:vAlign w:val="center"/>
          </w:tcPr>
          <w:p>
            <w:pPr>
              <w:spacing w:after="0"/>
            </w:pPr>
            <w:r/>
            <w:r>
              <w:rPr>
                <w:b w:val="0"/>
                <w:sz w:val="17"/>
              </w:rPr>
              <w:t>Not qualified</w:t>
            </w:r>
          </w:p>
        </w:tc>
        <w:tc>
          <w:tcPr>
            <w:tcW w:type="dxa" w:w="8352"/>
            <w:vAlign w:val="center"/>
          </w:tcPr>
          <w:p>
            <w:pPr>
              <w:spacing w:after="0"/>
            </w:pPr>
            <w:r/>
            <w:r>
              <w:rPr>
                <w:b w:val="0"/>
                <w:sz w:val="17"/>
              </w:rPr>
              <w:t>A required capability is absent, incompatible, inaccessible, prohibited or insufficiently evidenced.</w:t>
            </w:r>
          </w:p>
        </w:tc>
      </w:tr>
    </w:tbl>
    <w:p>
      <w:pPr>
        <w:spacing w:after="20"/>
      </w:pPr>
    </w:p>
    <w:p>
      <w:pPr>
        <w:pStyle w:val="Heading1"/>
      </w:pPr>
      <w:r>
        <w:t>8. Deterministic Control and Timing</w:t>
      </w:r>
    </w:p>
    <w:p>
      <w:r>
        <w:t>The control plane supervises and coordinates; it should not automatically carry every deadline-critical operation. Pulse generation, acquisition, trigger handling and fast feedback should execute close to the device in FPGA logic, a suitable real-time controller or other validated local mechanism when the deadline requires it.</w:t>
      </w:r>
    </w:p>
    <w:p>
      <w:r>
        <w:rPr>
          <w:b/>
        </w:rPr>
        <w:t xml:space="preserve">Illustrative end-to-end loop budget: </w:t>
      </w:r>
      <w:r>
        <w:t>T_loop = T_acquisition + T_transfer + T_processing + T_decision + T_control</w:t>
      </w:r>
    </w:p>
    <w:p>
      <w:r>
        <w:rPr>
          <w:b/>
        </w:rPr>
        <w:t xml:space="preserve">Acceptance principle: </w:t>
      </w:r>
      <w:r>
        <w:t>T_loop must be within the workload's deadline with an explicitly justified margin, based on measurements appropriate to the target environment.</w:t>
      </w:r>
    </w:p>
    <w:p>
      <w:pPr>
        <w:pStyle w:val="ListBullet"/>
        <w:spacing w:after="40"/>
      </w:pPr>
      <w:r>
        <w:t>Keep simulation time, host wall-clock time and physical hardware time separate; define mappings explicitly.</w:t>
      </w:r>
    </w:p>
    <w:p>
      <w:pPr>
        <w:pStyle w:val="ListBullet"/>
        <w:spacing w:after="40"/>
      </w:pPr>
      <w:r>
        <w:t>Represent CPU host, GPU events, FPGA reference/device, QSC, QPU, network timestamp and simulator clock domains as applicable.</w:t>
      </w:r>
    </w:p>
    <w:p>
      <w:pPr>
        <w:pStyle w:val="ListBullet"/>
        <w:spacing w:after="40"/>
      </w:pPr>
      <w:r>
        <w:t>Use PTP, shared reference clocks or hardware timestamping only where the relevant devices/network support them and the achieved accuracy is verified.</w:t>
      </w:r>
    </w:p>
    <w:p>
      <w:pPr>
        <w:pStyle w:val="ListBullet"/>
        <w:spacing w:after="40"/>
      </w:pPr>
      <w:r>
        <w:t>Measure end-to-end latency, jitter, clock offset/drift, timestamp error and missed deadlines; record test conditions and limitations.</w:t>
      </w:r>
    </w:p>
    <w:p>
      <w:pPr>
        <w:pStyle w:val="ListBullet"/>
        <w:spacing w:after="40"/>
      </w:pPr>
      <w:r>
        <w:t>Buffer or asynchronously export telemetry/evidence when synchronous capture could disturb a critical loop.</w:t>
      </w:r>
    </w:p>
    <w:p>
      <w:pPr>
        <w:pStyle w:val="ListBullet"/>
        <w:spacing w:after="40"/>
      </w:pPr>
      <w:r>
        <w:t>Treat microsecond-level figures as workload- and configuration-specific evidence, not universal platform guarantees.</w:t>
      </w:r>
    </w:p>
    <w:p>
      <w:pPr>
        <w:pStyle w:val="Heading1"/>
      </w:pPr>
      <w:r>
        <w:t>9. Minimum End-to-End Demonstration</w:t>
      </w:r>
    </w:p>
    <w:p>
      <w:pPr>
        <w:pStyle w:val="ListNumber"/>
        <w:spacing w:after="40"/>
      </w:pPr>
      <w:r>
        <w:t>Author or select a small sample workload in the QAI software IDE.</w:t>
      </w:r>
    </w:p>
    <w:p>
      <w:pPr>
        <w:pStyle w:val="ListNumber"/>
        <w:spacing w:after="40"/>
      </w:pPr>
      <w:r>
        <w:t>Validate the workload definition and required fields.</w:t>
      </w:r>
    </w:p>
    <w:p>
      <w:pPr>
        <w:pStyle w:val="ListNumber"/>
        <w:spacing w:after="40"/>
      </w:pPr>
      <w:r>
        <w:t>Run read-only discovery for accessible resources and load simulated descriptors for unavailable resource classes.</w:t>
      </w:r>
    </w:p>
    <w:p>
      <w:pPr>
        <w:pStyle w:val="ListNumber"/>
        <w:spacing w:after="40"/>
      </w:pPr>
      <w:r>
        <w:t>Compare requirements with declared/verified capabilities and produce a qualification result.</w:t>
      </w:r>
    </w:p>
    <w:p>
      <w:pPr>
        <w:pStyle w:val="ListNumber"/>
        <w:spacing w:after="40"/>
      </w:pPr>
      <w:r>
        <w:t>Generate a deployment plan with bindings, preconditions, unresolved items and execution mode.</w:t>
      </w:r>
    </w:p>
    <w:p>
      <w:pPr>
        <w:pStyle w:val="ListNumber"/>
        <w:spacing w:after="40"/>
      </w:pPr>
      <w:r>
        <w:t>Require explicit approval before any operation that changes resources or launches consequential execution.</w:t>
      </w:r>
    </w:p>
    <w:p>
      <w:pPr>
        <w:pStyle w:val="ListNumber"/>
        <w:spacing w:after="40"/>
      </w:pPr>
      <w:r>
        <w:t>Execute the approved sample on an available classical target or run it in simulation/emulation.</w:t>
      </w:r>
    </w:p>
    <w:p>
      <w:pPr>
        <w:pStyle w:val="ListNumber"/>
        <w:spacing w:after="40"/>
      </w:pPr>
      <w:r>
        <w:t>Capture logs, versions, configuration, metrics, test outcome and limitations in an evidence record.</w:t>
      </w:r>
    </w:p>
    <w:p>
      <w:pPr>
        <w:pStyle w:val="ListNumber"/>
        <w:spacing w:after="40"/>
      </w:pPr>
      <w:r>
        <w:t>Re-run the same scenario and compare outputs for reproducibility.</w:t>
      </w:r>
    </w:p>
    <w:p>
      <w:pPr>
        <w:pStyle w:val="Heading1"/>
      </w:pPr>
      <w:r>
        <w:t>10. Proposed Acceptance Criteria for Baseline v0</w:t>
      </w:r>
    </w:p>
    <w:tbl>
      <w:tblPr>
        <w:tblStyle w:val="TableGrid"/>
        <w:tblW w:type="auto" w:w="0"/>
        <w:jc w:val="center"/>
        <w:tblLook w:firstColumn="1" w:firstRow="1" w:lastColumn="0" w:lastRow="0" w:noHBand="0" w:noVBand="1" w:val="04A0"/>
      </w:tblPr>
      <w:tblGrid>
        <w:gridCol w:w="3389"/>
        <w:gridCol w:w="3389"/>
        <w:gridCol w:w="3389"/>
      </w:tblGrid>
      <w:tr>
        <w:tc>
          <w:tcPr>
            <w:tcW w:type="dxa" w:w="936"/>
            <w:vAlign w:val="center"/>
            <w:shd w:fill="CFE2F3"/>
          </w:tcPr>
          <w:p>
            <w:pPr>
              <w:spacing w:after="0"/>
            </w:pPr>
            <w:r/>
            <w:r>
              <w:rPr>
                <w:b/>
                <w:sz w:val="17"/>
              </w:rPr>
              <w:t>ID</w:t>
            </w:r>
          </w:p>
        </w:tc>
        <w:tc>
          <w:tcPr>
            <w:tcW w:type="dxa" w:w="5904"/>
            <w:vAlign w:val="center"/>
            <w:shd w:fill="CFE2F3"/>
          </w:tcPr>
          <w:p>
            <w:pPr>
              <w:spacing w:after="0"/>
            </w:pPr>
            <w:r/>
            <w:r>
              <w:rPr>
                <w:b/>
                <w:sz w:val="17"/>
              </w:rPr>
              <w:t>Acceptance criterion</w:t>
            </w:r>
          </w:p>
        </w:tc>
        <w:tc>
          <w:tcPr>
            <w:tcW w:type="dxa" w:w="3960"/>
            <w:vAlign w:val="center"/>
            <w:shd w:fill="CFE2F3"/>
          </w:tcPr>
          <w:p>
            <w:pPr>
              <w:spacing w:after="0"/>
            </w:pPr>
            <w:r/>
            <w:r>
              <w:rPr>
                <w:b/>
                <w:sz w:val="17"/>
              </w:rPr>
              <w:t>Evidence</w:t>
            </w:r>
          </w:p>
        </w:tc>
      </w:tr>
      <w:tr>
        <w:tc>
          <w:tcPr>
            <w:tcW w:type="dxa" w:w="936"/>
            <w:vAlign w:val="center"/>
          </w:tcPr>
          <w:p>
            <w:pPr>
              <w:spacing w:after="0"/>
            </w:pPr>
            <w:r/>
            <w:r>
              <w:rPr>
                <w:b w:val="0"/>
                <w:sz w:val="17"/>
              </w:rPr>
              <w:t>AC-01</w:t>
            </w:r>
          </w:p>
        </w:tc>
        <w:tc>
          <w:tcPr>
            <w:tcW w:type="dxa" w:w="5904"/>
            <w:vAlign w:val="center"/>
          </w:tcPr>
          <w:p>
            <w:pPr>
              <w:spacing w:after="0"/>
            </w:pPr>
            <w:r/>
            <w:r>
              <w:rPr>
                <w:b w:val="0"/>
                <w:sz w:val="17"/>
              </w:rPr>
              <w:t>A workload can be represented and structurally validated.</w:t>
            </w:r>
          </w:p>
        </w:tc>
        <w:tc>
          <w:tcPr>
            <w:tcW w:type="dxa" w:w="3960"/>
            <w:vAlign w:val="center"/>
          </w:tcPr>
          <w:p>
            <w:pPr>
              <w:spacing w:after="0"/>
            </w:pPr>
            <w:r/>
            <w:r>
              <w:rPr>
                <w:b w:val="0"/>
                <w:sz w:val="17"/>
              </w:rPr>
              <w:t>Valid/invalid fixtures and test output.</w:t>
            </w:r>
          </w:p>
        </w:tc>
      </w:tr>
      <w:tr>
        <w:tc>
          <w:tcPr>
            <w:tcW w:type="dxa" w:w="936"/>
            <w:vAlign w:val="center"/>
          </w:tcPr>
          <w:p>
            <w:pPr>
              <w:spacing w:after="0"/>
            </w:pPr>
            <w:r/>
            <w:r>
              <w:rPr>
                <w:b w:val="0"/>
                <w:sz w:val="17"/>
              </w:rPr>
              <w:t>AC-02</w:t>
            </w:r>
          </w:p>
        </w:tc>
        <w:tc>
          <w:tcPr>
            <w:tcW w:type="dxa" w:w="5904"/>
            <w:vAlign w:val="center"/>
          </w:tcPr>
          <w:p>
            <w:pPr>
              <w:spacing w:after="0"/>
            </w:pPr>
            <w:r/>
            <w:r>
              <w:rPr>
                <w:b w:val="0"/>
                <w:sz w:val="17"/>
              </w:rPr>
              <w:t>Discovery reports accessible resources and marks unknown fields explicitly.</w:t>
            </w:r>
          </w:p>
        </w:tc>
        <w:tc>
          <w:tcPr>
            <w:tcW w:type="dxa" w:w="3960"/>
            <w:vAlign w:val="center"/>
          </w:tcPr>
          <w:p>
            <w:pPr>
              <w:spacing w:after="0"/>
            </w:pPr>
            <w:r/>
            <w:r>
              <w:rPr>
                <w:b w:val="0"/>
                <w:sz w:val="17"/>
              </w:rPr>
              <w:t>Inventory report with provenance.</w:t>
            </w:r>
          </w:p>
        </w:tc>
      </w:tr>
      <w:tr>
        <w:tc>
          <w:tcPr>
            <w:tcW w:type="dxa" w:w="936"/>
            <w:vAlign w:val="center"/>
          </w:tcPr>
          <w:p>
            <w:pPr>
              <w:spacing w:after="0"/>
            </w:pPr>
            <w:r/>
            <w:r>
              <w:rPr>
                <w:b w:val="0"/>
                <w:sz w:val="17"/>
              </w:rPr>
              <w:t>AC-03</w:t>
            </w:r>
          </w:p>
        </w:tc>
        <w:tc>
          <w:tcPr>
            <w:tcW w:type="dxa" w:w="5904"/>
            <w:vAlign w:val="center"/>
          </w:tcPr>
          <w:p>
            <w:pPr>
              <w:spacing w:after="0"/>
            </w:pPr>
            <w:r/>
            <w:r>
              <w:rPr>
                <w:b w:val="0"/>
                <w:sz w:val="17"/>
              </w:rPr>
              <w:t>Qualification returns Qualified, Conditionally qualified, Simulation-only or Not qualified with reasons.</w:t>
            </w:r>
          </w:p>
        </w:tc>
        <w:tc>
          <w:tcPr>
            <w:tcW w:type="dxa" w:w="3960"/>
            <w:vAlign w:val="center"/>
          </w:tcPr>
          <w:p>
            <w:pPr>
              <w:spacing w:after="0"/>
            </w:pPr>
            <w:r/>
            <w:r>
              <w:rPr>
                <w:b w:val="0"/>
                <w:sz w:val="17"/>
              </w:rPr>
              <w:t>Positive and negative test cases.</w:t>
            </w:r>
          </w:p>
        </w:tc>
      </w:tr>
      <w:tr>
        <w:tc>
          <w:tcPr>
            <w:tcW w:type="dxa" w:w="936"/>
            <w:vAlign w:val="center"/>
          </w:tcPr>
          <w:p>
            <w:pPr>
              <w:spacing w:after="0"/>
            </w:pPr>
            <w:r/>
            <w:r>
              <w:rPr>
                <w:b w:val="0"/>
                <w:sz w:val="17"/>
              </w:rPr>
              <w:t>AC-04</w:t>
            </w:r>
          </w:p>
        </w:tc>
        <w:tc>
          <w:tcPr>
            <w:tcW w:type="dxa" w:w="5904"/>
            <w:vAlign w:val="center"/>
          </w:tcPr>
          <w:p>
            <w:pPr>
              <w:spacing w:after="0"/>
            </w:pPr>
            <w:r/>
            <w:r>
              <w:rPr>
                <w:b w:val="0"/>
                <w:sz w:val="17"/>
              </w:rPr>
              <w:t>Planning produces a stable, reviewable plan without performing deployment mutations.</w:t>
            </w:r>
          </w:p>
        </w:tc>
        <w:tc>
          <w:tcPr>
            <w:tcW w:type="dxa" w:w="3960"/>
            <w:vAlign w:val="center"/>
          </w:tcPr>
          <w:p>
            <w:pPr>
              <w:spacing w:after="0"/>
            </w:pPr>
            <w:r/>
            <w:r>
              <w:rPr>
                <w:b w:val="0"/>
                <w:sz w:val="17"/>
              </w:rPr>
              <w:t>Plan artifact and before/after state check.</w:t>
            </w:r>
          </w:p>
        </w:tc>
      </w:tr>
      <w:tr>
        <w:tc>
          <w:tcPr>
            <w:tcW w:type="dxa" w:w="936"/>
            <w:vAlign w:val="center"/>
          </w:tcPr>
          <w:p>
            <w:pPr>
              <w:spacing w:after="0"/>
            </w:pPr>
            <w:r/>
            <w:r>
              <w:rPr>
                <w:b w:val="0"/>
                <w:sz w:val="17"/>
              </w:rPr>
              <w:t>AC-05</w:t>
            </w:r>
          </w:p>
        </w:tc>
        <w:tc>
          <w:tcPr>
            <w:tcW w:type="dxa" w:w="5904"/>
            <w:vAlign w:val="center"/>
          </w:tcPr>
          <w:p>
            <w:pPr>
              <w:spacing w:after="0"/>
            </w:pPr>
            <w:r/>
            <w:r>
              <w:rPr>
                <w:b w:val="0"/>
                <w:sz w:val="17"/>
              </w:rPr>
              <w:t>Unresolved, ambiguous, incompatible, inaccessible and prohibited cases are distinct.</w:t>
            </w:r>
          </w:p>
        </w:tc>
        <w:tc>
          <w:tcPr>
            <w:tcW w:type="dxa" w:w="3960"/>
            <w:vAlign w:val="center"/>
          </w:tcPr>
          <w:p>
            <w:pPr>
              <w:spacing w:after="0"/>
            </w:pPr>
            <w:r/>
            <w:r>
              <w:rPr>
                <w:b w:val="0"/>
                <w:sz w:val="17"/>
              </w:rPr>
              <w:t>Resolver test matrix.</w:t>
            </w:r>
          </w:p>
        </w:tc>
      </w:tr>
      <w:tr>
        <w:tc>
          <w:tcPr>
            <w:tcW w:type="dxa" w:w="936"/>
            <w:vAlign w:val="center"/>
          </w:tcPr>
          <w:p>
            <w:pPr>
              <w:spacing w:after="0"/>
            </w:pPr>
            <w:r/>
            <w:r>
              <w:rPr>
                <w:b w:val="0"/>
                <w:sz w:val="17"/>
              </w:rPr>
              <w:t>AC-06</w:t>
            </w:r>
          </w:p>
        </w:tc>
        <w:tc>
          <w:tcPr>
            <w:tcW w:type="dxa" w:w="5904"/>
            <w:vAlign w:val="center"/>
          </w:tcPr>
          <w:p>
            <w:pPr>
              <w:spacing w:after="0"/>
            </w:pPr>
            <w:r/>
            <w:r>
              <w:rPr>
                <w:b w:val="0"/>
                <w:sz w:val="17"/>
              </w:rPr>
              <w:t>Execution is blocked if required approval/authorization is missing.</w:t>
            </w:r>
          </w:p>
        </w:tc>
        <w:tc>
          <w:tcPr>
            <w:tcW w:type="dxa" w:w="3960"/>
            <w:vAlign w:val="center"/>
          </w:tcPr>
          <w:p>
            <w:pPr>
              <w:spacing w:after="0"/>
            </w:pPr>
            <w:r/>
            <w:r>
              <w:rPr>
                <w:b w:val="0"/>
                <w:sz w:val="17"/>
              </w:rPr>
              <w:t>Negative authorization test.</w:t>
            </w:r>
          </w:p>
        </w:tc>
      </w:tr>
      <w:tr>
        <w:tc>
          <w:tcPr>
            <w:tcW w:type="dxa" w:w="936"/>
            <w:vAlign w:val="center"/>
          </w:tcPr>
          <w:p>
            <w:pPr>
              <w:spacing w:after="0"/>
            </w:pPr>
            <w:r/>
            <w:r>
              <w:rPr>
                <w:b w:val="0"/>
                <w:sz w:val="17"/>
              </w:rPr>
              <w:t>AC-07</w:t>
            </w:r>
          </w:p>
        </w:tc>
        <w:tc>
          <w:tcPr>
            <w:tcW w:type="dxa" w:w="5904"/>
            <w:vAlign w:val="center"/>
          </w:tcPr>
          <w:p>
            <w:pPr>
              <w:spacing w:after="0"/>
            </w:pPr>
            <w:r/>
            <w:r>
              <w:rPr>
                <w:b w:val="0"/>
                <w:sz w:val="17"/>
              </w:rPr>
              <w:t>Simulation/emulation results are clearly labelled and not presented as physical validation.</w:t>
            </w:r>
          </w:p>
        </w:tc>
        <w:tc>
          <w:tcPr>
            <w:tcW w:type="dxa" w:w="3960"/>
            <w:vAlign w:val="center"/>
          </w:tcPr>
          <w:p>
            <w:pPr>
              <w:spacing w:after="0"/>
            </w:pPr>
            <w:r/>
            <w:r>
              <w:rPr>
                <w:b w:val="0"/>
                <w:sz w:val="17"/>
              </w:rPr>
              <w:t>Evidence record includes execution mode.</w:t>
            </w:r>
          </w:p>
        </w:tc>
      </w:tr>
      <w:tr>
        <w:tc>
          <w:tcPr>
            <w:tcW w:type="dxa" w:w="936"/>
            <w:vAlign w:val="center"/>
          </w:tcPr>
          <w:p>
            <w:pPr>
              <w:spacing w:after="0"/>
            </w:pPr>
            <w:r/>
            <w:r>
              <w:rPr>
                <w:b w:val="0"/>
                <w:sz w:val="17"/>
              </w:rPr>
              <w:t>AC-08</w:t>
            </w:r>
          </w:p>
        </w:tc>
        <w:tc>
          <w:tcPr>
            <w:tcW w:type="dxa" w:w="5904"/>
            <w:vAlign w:val="center"/>
          </w:tcPr>
          <w:p>
            <w:pPr>
              <w:spacing w:after="0"/>
            </w:pPr>
            <w:r/>
            <w:r>
              <w:rPr>
                <w:b w:val="0"/>
                <w:sz w:val="17"/>
              </w:rPr>
              <w:t>Timing requirements identify clock domain, units, budget and measurement method.</w:t>
            </w:r>
          </w:p>
        </w:tc>
        <w:tc>
          <w:tcPr>
            <w:tcW w:type="dxa" w:w="3960"/>
            <w:vAlign w:val="center"/>
          </w:tcPr>
          <w:p>
            <w:pPr>
              <w:spacing w:after="0"/>
            </w:pPr>
            <w:r/>
            <w:r>
              <w:rPr>
                <w:b w:val="0"/>
                <w:sz w:val="17"/>
              </w:rPr>
              <w:t>Timing descriptor and sample report.</w:t>
            </w:r>
          </w:p>
        </w:tc>
      </w:tr>
      <w:tr>
        <w:tc>
          <w:tcPr>
            <w:tcW w:type="dxa" w:w="936"/>
            <w:vAlign w:val="center"/>
          </w:tcPr>
          <w:p>
            <w:pPr>
              <w:spacing w:after="0"/>
            </w:pPr>
            <w:r/>
            <w:r>
              <w:rPr>
                <w:b w:val="0"/>
                <w:sz w:val="17"/>
              </w:rPr>
              <w:t>AC-09</w:t>
            </w:r>
          </w:p>
        </w:tc>
        <w:tc>
          <w:tcPr>
            <w:tcW w:type="dxa" w:w="5904"/>
            <w:vAlign w:val="center"/>
          </w:tcPr>
          <w:p>
            <w:pPr>
              <w:spacing w:after="0"/>
            </w:pPr>
            <w:r/>
            <w:r>
              <w:rPr>
                <w:b w:val="0"/>
                <w:sz w:val="17"/>
              </w:rPr>
              <w:t>Evidence links to the workload/configuration versions and states limitations.</w:t>
            </w:r>
          </w:p>
        </w:tc>
        <w:tc>
          <w:tcPr>
            <w:tcW w:type="dxa" w:w="3960"/>
            <w:vAlign w:val="center"/>
          </w:tcPr>
          <w:p>
            <w:pPr>
              <w:spacing w:after="0"/>
            </w:pPr>
            <w:r/>
            <w:r>
              <w:rPr>
                <w:b w:val="0"/>
                <w:sz w:val="17"/>
              </w:rPr>
              <w:t>Reproducible evidence bundle.</w:t>
            </w:r>
          </w:p>
        </w:tc>
      </w:tr>
      <w:tr>
        <w:tc>
          <w:tcPr>
            <w:tcW w:type="dxa" w:w="936"/>
            <w:vAlign w:val="center"/>
          </w:tcPr>
          <w:p>
            <w:pPr>
              <w:spacing w:after="0"/>
            </w:pPr>
            <w:r/>
            <w:r>
              <w:rPr>
                <w:b w:val="0"/>
                <w:sz w:val="17"/>
              </w:rPr>
              <w:t>AC-10</w:t>
            </w:r>
          </w:p>
        </w:tc>
        <w:tc>
          <w:tcPr>
            <w:tcW w:type="dxa" w:w="5904"/>
            <w:vAlign w:val="center"/>
          </w:tcPr>
          <w:p>
            <w:pPr>
              <w:spacing w:after="0"/>
            </w:pPr>
            <w:r/>
            <w:r>
              <w:rPr>
                <w:b w:val="0"/>
                <w:sz w:val="17"/>
              </w:rPr>
              <w:t>Core contracts and tests do not require a vendor SDK.</w:t>
            </w:r>
          </w:p>
        </w:tc>
        <w:tc>
          <w:tcPr>
            <w:tcW w:type="dxa" w:w="3960"/>
            <w:vAlign w:val="center"/>
          </w:tcPr>
          <w:p>
            <w:pPr>
              <w:spacing w:after="0"/>
            </w:pPr>
            <w:r/>
            <w:r>
              <w:rPr>
                <w:b w:val="0"/>
                <w:sz w:val="17"/>
              </w:rPr>
              <w:t>Contract/unit tests in a vendor-neutral environment.</w:t>
            </w:r>
          </w:p>
        </w:tc>
      </w:tr>
    </w:tbl>
    <w:p>
      <w:pPr>
        <w:spacing w:after="20"/>
      </w:pPr>
    </w:p>
    <w:p>
      <w:pPr>
        <w:pStyle w:val="Heading1"/>
      </w:pPr>
      <w:r>
        <w:t>11.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CFE2F3"/>
          </w:tcPr>
          <w:p>
            <w:pPr>
              <w:spacing w:after="0"/>
            </w:pPr>
            <w:r/>
            <w:r>
              <w:rPr>
                <w:b/>
                <w:sz w:val="17"/>
              </w:rPr>
              <w:t>Stage</w:t>
            </w:r>
          </w:p>
        </w:tc>
        <w:tc>
          <w:tcPr>
            <w:tcW w:type="dxa" w:w="4320"/>
            <w:vAlign w:val="center"/>
            <w:shd w:fill="CFE2F3"/>
          </w:tcPr>
          <w:p>
            <w:pPr>
              <w:spacing w:after="0"/>
            </w:pPr>
            <w:r/>
            <w:r>
              <w:rPr>
                <w:b/>
                <w:sz w:val="17"/>
              </w:rPr>
              <w:t>Focus</w:t>
            </w:r>
          </w:p>
        </w:tc>
        <w:tc>
          <w:tcPr>
            <w:tcW w:type="dxa" w:w="4680"/>
            <w:vAlign w:val="center"/>
            <w:shd w:fill="CFE2F3"/>
          </w:tcPr>
          <w:p>
            <w:pPr>
              <w:spacing w:after="0"/>
            </w:pPr>
            <w:r/>
            <w:r>
              <w:rPr>
                <w:b/>
                <w:sz w:val="17"/>
              </w:rPr>
              <w:t>Deliverable / exit condition</w:t>
            </w:r>
          </w:p>
        </w:tc>
      </w:tr>
      <w:tr>
        <w:tc>
          <w:tcPr>
            <w:tcW w:type="dxa" w:w="1800"/>
            <w:vAlign w:val="center"/>
          </w:tcPr>
          <w:p>
            <w:pPr>
              <w:spacing w:after="0"/>
            </w:pPr>
            <w:r/>
            <w:r>
              <w:rPr>
                <w:b w:val="0"/>
                <w:sz w:val="17"/>
              </w:rPr>
              <w:t>0 — Baseline review</w:t>
            </w:r>
          </w:p>
        </w:tc>
        <w:tc>
          <w:tcPr>
            <w:tcW w:type="dxa" w:w="4320"/>
            <w:vAlign w:val="center"/>
          </w:tcPr>
          <w:p>
            <w:pPr>
              <w:spacing w:after="0"/>
            </w:pPr>
            <w:r/>
            <w:r>
              <w:rPr>
                <w:b w:val="0"/>
                <w:sz w:val="17"/>
              </w:rPr>
              <w:t>Inspect existing IDE, deployment operator, contracts, manifests and repository status.</w:t>
            </w:r>
          </w:p>
        </w:tc>
        <w:tc>
          <w:tcPr>
            <w:tcW w:type="dxa" w:w="4680"/>
            <w:vAlign w:val="center"/>
          </w:tcPr>
          <w:p>
            <w:pPr>
              <w:spacing w:after="0"/>
            </w:pPr>
            <w:r/>
            <w:r>
              <w:rPr>
                <w:b w:val="0"/>
                <w:sz w:val="17"/>
              </w:rPr>
              <w:t>Inventory of implemented capabilities, placeholders, gaps and reused contracts.</w:t>
            </w:r>
          </w:p>
        </w:tc>
      </w:tr>
      <w:tr>
        <w:tc>
          <w:tcPr>
            <w:tcW w:type="dxa" w:w="1800"/>
            <w:vAlign w:val="center"/>
          </w:tcPr>
          <w:p>
            <w:pPr>
              <w:spacing w:after="0"/>
            </w:pPr>
            <w:r/>
            <w:r>
              <w:rPr>
                <w:b w:val="0"/>
                <w:sz w:val="17"/>
              </w:rPr>
              <w:t>1 — Contract alignment</w:t>
            </w:r>
          </w:p>
        </w:tc>
        <w:tc>
          <w:tcPr>
            <w:tcW w:type="dxa" w:w="4320"/>
            <w:vAlign w:val="center"/>
          </w:tcPr>
          <w:p>
            <w:pPr>
              <w:spacing w:after="0"/>
            </w:pPr>
            <w:r/>
            <w:r>
              <w:rPr>
                <w:b w:val="0"/>
                <w:sz w:val="17"/>
              </w:rPr>
              <w:t>Agree workload/environment/resource/qualification/deployment-plan fields and reference semantics.</w:t>
            </w:r>
          </w:p>
        </w:tc>
        <w:tc>
          <w:tcPr>
            <w:tcW w:type="dxa" w:w="4680"/>
            <w:vAlign w:val="center"/>
          </w:tcPr>
          <w:p>
            <w:pPr>
              <w:spacing w:after="0"/>
            </w:pPr>
            <w:r/>
            <w:r>
              <w:rPr>
                <w:b w:val="0"/>
                <w:sz w:val="17"/>
              </w:rPr>
              <w:t>Contract map and validation tests; avoid duplicate schemas.</w:t>
            </w:r>
          </w:p>
        </w:tc>
      </w:tr>
      <w:tr>
        <w:tc>
          <w:tcPr>
            <w:tcW w:type="dxa" w:w="1800"/>
            <w:vAlign w:val="center"/>
          </w:tcPr>
          <w:p>
            <w:pPr>
              <w:spacing w:after="0"/>
            </w:pPr>
            <w:r/>
            <w:r>
              <w:rPr>
                <w:b w:val="0"/>
                <w:sz w:val="17"/>
              </w:rPr>
              <w:t>2 — Read-only discovery</w:t>
            </w:r>
          </w:p>
        </w:tc>
        <w:tc>
          <w:tcPr>
            <w:tcW w:type="dxa" w:w="4320"/>
            <w:vAlign w:val="center"/>
          </w:tcPr>
          <w:p>
            <w:pPr>
              <w:spacing w:after="0"/>
            </w:pPr>
            <w:r/>
            <w:r>
              <w:rPr>
                <w:b w:val="0"/>
                <w:sz w:val="17"/>
              </w:rPr>
              <w:t>Implement or document local discovery and resource descriptors.</w:t>
            </w:r>
          </w:p>
        </w:tc>
        <w:tc>
          <w:tcPr>
            <w:tcW w:type="dxa" w:w="4680"/>
            <w:vAlign w:val="center"/>
          </w:tcPr>
          <w:p>
            <w:pPr>
              <w:spacing w:after="0"/>
            </w:pPr>
            <w:r/>
            <w:r>
              <w:rPr>
                <w:b w:val="0"/>
                <w:sz w:val="17"/>
              </w:rPr>
              <w:t>Repeatable inventory with provenance and explicit unknowns.</w:t>
            </w:r>
          </w:p>
        </w:tc>
      </w:tr>
      <w:tr>
        <w:tc>
          <w:tcPr>
            <w:tcW w:type="dxa" w:w="1800"/>
            <w:vAlign w:val="center"/>
          </w:tcPr>
          <w:p>
            <w:pPr>
              <w:spacing w:after="0"/>
            </w:pPr>
            <w:r/>
            <w:r>
              <w:rPr>
                <w:b w:val="0"/>
                <w:sz w:val="17"/>
              </w:rPr>
              <w:t>3 — Resolver and qualification</w:t>
            </w:r>
          </w:p>
        </w:tc>
        <w:tc>
          <w:tcPr>
            <w:tcW w:type="dxa" w:w="4320"/>
            <w:vAlign w:val="center"/>
          </w:tcPr>
          <w:p>
            <w:pPr>
              <w:spacing w:after="0"/>
            </w:pPr>
            <w:r/>
            <w:r>
              <w:rPr>
                <w:b w:val="0"/>
                <w:sz w:val="17"/>
              </w:rPr>
              <w:t>Match workload requirements to resource capabilities/topology.</w:t>
            </w:r>
          </w:p>
        </w:tc>
        <w:tc>
          <w:tcPr>
            <w:tcW w:type="dxa" w:w="4680"/>
            <w:vAlign w:val="center"/>
          </w:tcPr>
          <w:p>
            <w:pPr>
              <w:spacing w:after="0"/>
            </w:pPr>
            <w:r/>
            <w:r>
              <w:rPr>
                <w:b w:val="0"/>
                <w:sz w:val="17"/>
              </w:rPr>
              <w:t>Decision outcomes and negative-case tests.</w:t>
            </w:r>
          </w:p>
        </w:tc>
      </w:tr>
      <w:tr>
        <w:tc>
          <w:tcPr>
            <w:tcW w:type="dxa" w:w="1800"/>
            <w:vAlign w:val="center"/>
          </w:tcPr>
          <w:p>
            <w:pPr>
              <w:spacing w:after="0"/>
            </w:pPr>
            <w:r/>
            <w:r>
              <w:rPr>
                <w:b w:val="0"/>
                <w:sz w:val="17"/>
              </w:rPr>
              <w:t>4 — Planning-only workflow</w:t>
            </w:r>
          </w:p>
        </w:tc>
        <w:tc>
          <w:tcPr>
            <w:tcW w:type="dxa" w:w="4320"/>
            <w:vAlign w:val="center"/>
          </w:tcPr>
          <w:p>
            <w:pPr>
              <w:spacing w:after="0"/>
            </w:pPr>
            <w:r/>
            <w:r>
              <w:rPr>
                <w:b w:val="0"/>
                <w:sz w:val="17"/>
              </w:rPr>
              <w:t>Generate deployment plan and expose approval boundary.</w:t>
            </w:r>
          </w:p>
        </w:tc>
        <w:tc>
          <w:tcPr>
            <w:tcW w:type="dxa" w:w="4680"/>
            <w:vAlign w:val="center"/>
          </w:tcPr>
          <w:p>
            <w:pPr>
              <w:spacing w:after="0"/>
            </w:pPr>
            <w:r/>
            <w:r>
              <w:rPr>
                <w:b w:val="0"/>
                <w:sz w:val="17"/>
              </w:rPr>
              <w:t>No-mutation plan demonstration.</w:t>
            </w:r>
          </w:p>
        </w:tc>
      </w:tr>
      <w:tr>
        <w:tc>
          <w:tcPr>
            <w:tcW w:type="dxa" w:w="1800"/>
            <w:vAlign w:val="center"/>
          </w:tcPr>
          <w:p>
            <w:pPr>
              <w:spacing w:after="0"/>
            </w:pPr>
            <w:r/>
            <w:r>
              <w:rPr>
                <w:b w:val="0"/>
                <w:sz w:val="17"/>
              </w:rPr>
              <w:t>5 — Classical/simulated execution</w:t>
            </w:r>
          </w:p>
        </w:tc>
        <w:tc>
          <w:tcPr>
            <w:tcW w:type="dxa" w:w="4320"/>
            <w:vAlign w:val="center"/>
          </w:tcPr>
          <w:p>
            <w:pPr>
              <w:spacing w:after="0"/>
            </w:pPr>
            <w:r/>
            <w:r>
              <w:rPr>
                <w:b w:val="0"/>
                <w:sz w:val="17"/>
              </w:rPr>
              <w:t>Run a small workload on available CPU and/or simulation.</w:t>
            </w:r>
          </w:p>
        </w:tc>
        <w:tc>
          <w:tcPr>
            <w:tcW w:type="dxa" w:w="4680"/>
            <w:vAlign w:val="center"/>
          </w:tcPr>
          <w:p>
            <w:pPr>
              <w:spacing w:after="0"/>
            </w:pPr>
            <w:r/>
            <w:r>
              <w:rPr>
                <w:b w:val="0"/>
                <w:sz w:val="17"/>
              </w:rPr>
              <w:t>Evidence-backed end-to-end demonstration.</w:t>
            </w:r>
          </w:p>
        </w:tc>
      </w:tr>
      <w:tr>
        <w:tc>
          <w:tcPr>
            <w:tcW w:type="dxa" w:w="1800"/>
            <w:vAlign w:val="center"/>
          </w:tcPr>
          <w:p>
            <w:pPr>
              <w:spacing w:after="0"/>
            </w:pPr>
            <w:r/>
            <w:r>
              <w:rPr>
                <w:b w:val="0"/>
                <w:sz w:val="17"/>
              </w:rPr>
              <w:t>6 — FPGA emulation / adapter</w:t>
            </w:r>
          </w:p>
        </w:tc>
        <w:tc>
          <w:tcPr>
            <w:tcW w:type="dxa" w:w="4320"/>
            <w:vAlign w:val="center"/>
          </w:tcPr>
          <w:p>
            <w:pPr>
              <w:spacing w:after="0"/>
            </w:pPr>
            <w:r/>
            <w:r>
              <w:rPr>
                <w:b w:val="0"/>
                <w:sz w:val="17"/>
              </w:rPr>
              <w:t>Introduce reusable FPGA Fabric interfaces and simulated/emulated adapter.</w:t>
            </w:r>
          </w:p>
        </w:tc>
        <w:tc>
          <w:tcPr>
            <w:tcW w:type="dxa" w:w="4680"/>
            <w:vAlign w:val="center"/>
          </w:tcPr>
          <w:p>
            <w:pPr>
              <w:spacing w:after="0"/>
            </w:pPr>
            <w:r/>
            <w:r>
              <w:rPr>
                <w:b w:val="0"/>
                <w:sz w:val="17"/>
              </w:rPr>
              <w:t>Contract tests and clearly labelled results.</w:t>
            </w:r>
          </w:p>
        </w:tc>
      </w:tr>
      <w:tr>
        <w:tc>
          <w:tcPr>
            <w:tcW w:type="dxa" w:w="1800"/>
            <w:vAlign w:val="center"/>
          </w:tcPr>
          <w:p>
            <w:pPr>
              <w:spacing w:after="0"/>
            </w:pPr>
            <w:r/>
            <w:r>
              <w:rPr>
                <w:b w:val="0"/>
                <w:sz w:val="17"/>
              </w:rPr>
              <w:t>7 — Hardware-in-the-loop</w:t>
            </w:r>
          </w:p>
        </w:tc>
        <w:tc>
          <w:tcPr>
            <w:tcW w:type="dxa" w:w="4320"/>
            <w:vAlign w:val="center"/>
          </w:tcPr>
          <w:p>
            <w:pPr>
              <w:spacing w:after="0"/>
            </w:pPr>
            <w:r/>
            <w:r>
              <w:rPr>
                <w:b w:val="0"/>
                <w:sz w:val="17"/>
              </w:rPr>
              <w:t>Add physical FPGA or other hardware only after interface, access and timing prerequisites are verified.</w:t>
            </w:r>
          </w:p>
        </w:tc>
        <w:tc>
          <w:tcPr>
            <w:tcW w:type="dxa" w:w="4680"/>
            <w:vAlign w:val="center"/>
          </w:tcPr>
          <w:p>
            <w:pPr>
              <w:spacing w:after="0"/>
            </w:pPr>
            <w:r/>
            <w:r>
              <w:rPr>
                <w:b w:val="0"/>
                <w:sz w:val="17"/>
              </w:rPr>
              <w:t>Measured integration evidence and safety/rollback plan.</w:t>
            </w:r>
          </w:p>
        </w:tc>
      </w:tr>
      <w:tr>
        <w:tc>
          <w:tcPr>
            <w:tcW w:type="dxa" w:w="1800"/>
            <w:vAlign w:val="center"/>
          </w:tcPr>
          <w:p>
            <w:pPr>
              <w:spacing w:after="0"/>
            </w:pPr>
            <w:r/>
            <w:r>
              <w:rPr>
                <w:b w:val="0"/>
                <w:sz w:val="17"/>
              </w:rPr>
              <w:t>8 — Expanded heterogeneous resources</w:t>
            </w:r>
          </w:p>
        </w:tc>
        <w:tc>
          <w:tcPr>
            <w:tcW w:type="dxa" w:w="4320"/>
            <w:vAlign w:val="center"/>
          </w:tcPr>
          <w:p>
            <w:pPr>
              <w:spacing w:after="0"/>
            </w:pPr>
            <w:r/>
            <w:r>
              <w:rPr>
                <w:b w:val="0"/>
                <w:sz w:val="17"/>
              </w:rPr>
              <w:t>Integrate optional GPU/HPC/QSC/QPU resources as justified.</w:t>
            </w:r>
          </w:p>
        </w:tc>
        <w:tc>
          <w:tcPr>
            <w:tcW w:type="dxa" w:w="4680"/>
            <w:vAlign w:val="center"/>
          </w:tcPr>
          <w:p>
            <w:pPr>
              <w:spacing w:after="0"/>
            </w:pPr>
            <w:r/>
            <w:r>
              <w:rPr>
                <w:b w:val="0"/>
                <w:sz w:val="17"/>
              </w:rPr>
              <w:t>Per-target qualification; no blanket support claim.</w:t>
            </w:r>
          </w:p>
        </w:tc>
      </w:tr>
    </w:tbl>
    <w:p>
      <w:pPr>
        <w:spacing w:after="20"/>
      </w:pPr>
    </w:p>
    <w:p>
      <w:pPr>
        <w:pStyle w:val="Heading1"/>
      </w:pPr>
      <w:r>
        <w:t>12. Security, Governance and Operational Guardrails</w:t>
      </w:r>
    </w:p>
    <w:p>
      <w:pPr>
        <w:pStyle w:val="ListBullet"/>
        <w:spacing w:after="40"/>
      </w:pPr>
      <w:r>
        <w:t>Read-only discovery and planning are the default starting points.</w:t>
      </w:r>
    </w:p>
    <w:p>
      <w:pPr>
        <w:pStyle w:val="ListBullet"/>
        <w:spacing w:after="40"/>
      </w:pPr>
      <w:r>
        <w:t>Resolution and compatibility are not authorization; approval and policy checks remain separate.</w:t>
      </w:r>
    </w:p>
    <w:p>
      <w:pPr>
        <w:pStyle w:val="ListBullet"/>
        <w:spacing w:after="40"/>
      </w:pPr>
      <w:r>
        <w:t>Use least-privilege credentials, explicit access boundaries and secret references; never embed secrets in workload files or evidence.</w:t>
      </w:r>
    </w:p>
    <w:p>
      <w:pPr>
        <w:pStyle w:val="ListBullet"/>
        <w:spacing w:after="40"/>
      </w:pPr>
      <w:r>
        <w:t>Do not mutate deployment targets, install drivers, flash bitstreams or access physical devices without explicit approval and a documented recovery path.</w:t>
      </w:r>
    </w:p>
    <w:p>
      <w:pPr>
        <w:pStyle w:val="ListBullet"/>
        <w:spacing w:after="40"/>
      </w:pPr>
      <w:r>
        <w:t>Record provenance for discovered facts and distinguish declared capability from measured capability.</w:t>
      </w:r>
    </w:p>
    <w:p>
      <w:pPr>
        <w:pStyle w:val="ListBullet"/>
        <w:spacing w:after="40"/>
      </w:pPr>
      <w:r>
        <w:t>Keep simulator results, emulation results, hardware-in-the-loop results and physical results clearly differentiated.</w:t>
      </w:r>
    </w:p>
    <w:p>
      <w:pPr>
        <w:pStyle w:val="ListBullet"/>
        <w:spacing w:after="40"/>
      </w:pPr>
      <w:r>
        <w:t>Version contracts and adapters; record versions used by each evidence record.</w:t>
      </w:r>
    </w:p>
    <w:p>
      <w:pPr>
        <w:pStyle w:val="ListBullet"/>
        <w:spacing w:after="40"/>
      </w:pPr>
      <w:r>
        <w:t>Treat cloud, network and host scheduling as non-deterministic unless the required end-to-end behavior is measured and qualified.</w:t>
      </w:r>
    </w:p>
    <w:p>
      <w:pPr>
        <w:pStyle w:val="Heading1"/>
      </w:pPr>
      <w:r>
        <w:t>13. Decisions to Confirm Before Detailed Design</w:t>
      </w:r>
    </w:p>
    <w:p>
      <w:pPr>
        <w:pStyle w:val="ListBullet"/>
        <w:spacing w:after="40"/>
      </w:pPr>
      <w:r>
        <w:t>Canonical workload, environment and resource descriptor contracts to reuse or extend.</w:t>
      </w:r>
    </w:p>
    <w:p>
      <w:pPr>
        <w:pStyle w:val="ListBullet"/>
        <w:spacing w:after="40"/>
      </w:pPr>
      <w:r>
        <w:t>Logical identifier grammar, uniqueness scope and version semantics.</w:t>
      </w:r>
    </w:p>
    <w:p>
      <w:pPr>
        <w:pStyle w:val="ListBullet"/>
        <w:spacing w:after="40"/>
      </w:pPr>
      <w:r>
        <w:t>Initial target for the minimum demo: local CPU, a specific accessible server, or a purely simulated environment.</w:t>
      </w:r>
    </w:p>
    <w:p>
      <w:pPr>
        <w:pStyle w:val="ListBullet"/>
        <w:spacing w:after="40"/>
      </w:pPr>
      <w:r>
        <w:t>First workload and measurable success criteria.</w:t>
      </w:r>
    </w:p>
    <w:p>
      <w:pPr>
        <w:pStyle w:val="ListBullet"/>
        <w:spacing w:after="40"/>
      </w:pPr>
      <w:r>
        <w:t>Which discovery facts can be observed directly versus supplied as administrator-declared descriptors.</w:t>
      </w:r>
    </w:p>
    <w:p>
      <w:pPr>
        <w:pStyle w:val="ListBullet"/>
        <w:spacing w:after="40"/>
      </w:pPr>
      <w:r>
        <w:t>Minimum evidence fields and storage/retention location.</w:t>
      </w:r>
    </w:p>
    <w:p>
      <w:pPr>
        <w:pStyle w:val="ListBullet"/>
        <w:spacing w:after="40"/>
      </w:pPr>
      <w:r>
        <w:t>Approval mechanism and exact boundary between planning and execution.</w:t>
      </w:r>
    </w:p>
    <w:p>
      <w:pPr>
        <w:pStyle w:val="ListBullet"/>
        <w:spacing w:after="40"/>
      </w:pPr>
      <w:r>
        <w:t>Which FPGA simulator/emulator or adapter is suitable for the initial test, based on an explicit evaluation.</w:t>
      </w:r>
    </w:p>
    <w:p>
      <w:pPr>
        <w:pStyle w:val="Heading1"/>
      </w:pPr>
      <w:r>
        <w:t>14. Status and Interpretation</w:t>
      </w:r>
    </w:p>
    <w:p>
      <w:r>
        <w:t>This document is the first blueprint for discussion and repository planning. It consolidates the agreed direction and proposes an implementation sequence; it does not certify that the listed functions are implemented, that a datacenter has been qualified, or that any timing target has been achieved. Existing deployment contracts and the QAI software IDE should be inspected before changing schemas or introducing adapters.</w:t>
      </w:r>
    </w:p>
    <w:p/>
    <w:p>
      <w:pPr>
        <w:jc w:val="center"/>
      </w:pPr>
      <w:r>
        <w:rPr>
          <w:b/>
          <w:color w:val="1F4E79"/>
          <w:sz w:val="20"/>
        </w:rPr>
        <w:t>@vijaymohire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Bhadale IT / QAI  •  Proposed baseline — not a claim of implemented capability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QAI DATACENTER  |  FIRST BLUEPRINT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