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8"/>
          <w:sz w:val="56"/>
        </w:rPr>
        <w:t>QAI DATACENTER</w:t>
      </w:r>
    </w:p>
    <w:p>
      <w:pPr>
        <w:jc w:val="center"/>
      </w:pPr>
      <w:r>
        <w:rPr>
          <w:b/>
          <w:sz w:val="36"/>
        </w:rPr>
        <w:t>Single Source of Truth — Architecture Baseline v1.0</w:t>
      </w:r>
    </w:p>
    <w:p>
      <w:pPr>
        <w:jc w:val="center"/>
      </w:pPr>
      <w:r>
        <w:t>Virtual-first • Topology-independent • Heterogeneous • Evidence-driven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Consolidated proposed architecture; implementation status requires evidence</w:t>
            </w:r>
          </w:p>
        </w:tc>
      </w:tr>
      <w:tr>
        <w:tc>
          <w:tcPr>
            <w:tcW w:type="dxa" w:w="5040"/>
          </w:tcPr>
          <w:p>
            <w:r>
              <w:t>Scope</w:t>
            </w:r>
          </w:p>
        </w:tc>
        <w:tc>
          <w:tcPr>
            <w:tcW w:type="dxa" w:w="5040"/>
          </w:tcPr>
          <w:p>
            <w:r>
              <w:t>QAI Datacenter, QAI Lab, virtual assets, fabrics, simulation/emulation, deployment interfaces and evolution</w:t>
            </w:r>
          </w:p>
        </w:tc>
      </w:tr>
      <w:tr>
        <w:tc>
          <w:tcPr>
            <w:tcW w:type="dxa" w:w="5040"/>
          </w:tcPr>
          <w:p>
            <w:r>
              <w:t>Primary principle</w:t>
            </w:r>
          </w:p>
        </w:tc>
        <w:tc>
          <w:tcPr>
            <w:tcW w:type="dxa" w:w="5040"/>
          </w:tcPr>
          <w:p>
            <w:r>
              <w:t>Define logical workload and topology first; qualify resources and bind only to supported execution environments.</w:t>
            </w:r>
          </w:p>
        </w:tc>
      </w:tr>
      <w:tr>
        <w:tc>
          <w:tcPr>
            <w:tcW w:type="dxa" w:w="5040"/>
          </w:tcPr>
          <w:p>
            <w:r>
              <w:t>Owner tag</w:t>
            </w:r>
          </w:p>
        </w:tc>
        <w:tc>
          <w:tcPr>
            <w:tcW w:type="dxa" w:w="5040"/>
          </w:tcPr>
          <w:p>
            <w:r>
              <w:t>@vijaymohire</w:t>
            </w:r>
          </w:p>
        </w:tc>
      </w:tr>
    </w:tbl>
    <w:p/>
    <w:p>
      <w:pPr>
        <w:pStyle w:val="Heading1"/>
      </w:pPr>
      <w:r>
        <w:t>Purpose</w:t>
      </w:r>
    </w:p>
    <w:p>
      <w:r>
        <w:t>This document consolidates the available QAI Datacenter blueprint, operating-mode notes and image-heavy FPGA Design reference into one authoritative architecture baseline. Repeated diagrams are treated as supporting illustrations; the normalized architecture and interface definitions here govern. This is a design document, not proof that every capability is implemented.</w:t>
      </w:r>
    </w:p>
    <w:p>
      <w:r>
        <w:br w:type="page"/>
      </w:r>
    </w:p>
    <w:p>
      <w:pPr>
        <w:pStyle w:val="Heading1"/>
      </w:pPr>
      <w:r>
        <w:t>1. Executive design</w:t>
      </w:r>
    </w:p>
    <w:p>
      <w:r>
        <w:t>The QAI Datacenter is a configurable cyber-physical computing environment for defining, validating, simulating, emulating, executing and comparing workloads across classical computing, AI, quantum and quantum-inspired approaches, communication systems, storage/memory, control and domain models. The QAI Lab is its experimentation capability. FAEP provides the broader federation, orchestration, governance and resource-mapping context.</w:t>
      </w:r>
    </w:p>
    <w:p>
      <w:pPr>
        <w:pStyle w:val="ListBullet"/>
      </w:pPr>
      <w:r>
        <w:t>Virtual-first: design and exercise supported workflows before physical hardware is available.</w:t>
      </w:r>
    </w:p>
    <w:p>
      <w:pPr>
        <w:pStyle w:val="ListBullet"/>
      </w:pPr>
      <w:r>
        <w:t>Topology-independent: represent a datacenter as a graph of logical nodes and typed edges; leaf–root is one pattern, not a universal topology.</w:t>
      </w:r>
    </w:p>
    <w:p>
      <w:pPr>
        <w:pStyle w:val="ListBullet"/>
      </w:pPr>
      <w:r>
        <w:t>Declarative and versioned: topology, workloads, constraints, asset requirements and policies are configuration.</w:t>
      </w:r>
    </w:p>
    <w:p>
      <w:pPr>
        <w:pStyle w:val="ListBullet"/>
      </w:pPr>
      <w:r>
        <w:t>Separate logical design from environment-specific execution bindings.</w:t>
      </w:r>
    </w:p>
    <w:p>
      <w:pPr>
        <w:pStyle w:val="ListBullet"/>
      </w:pPr>
      <w:r>
        <w:t>Vendor-neutral core; provider- and device-specific behavior stays behind adapters.</w:t>
      </w:r>
    </w:p>
    <w:p>
      <w:pPr>
        <w:pStyle w:val="ListBullet"/>
      </w:pPr>
      <w:r>
        <w:t>Evidence-driven: each result identifies configuration, versions, execution mode, metrics, provenance and limitations.</w:t>
      </w:r>
    </w:p>
    <w:p>
      <w:pPr>
        <w:pStyle w:val="ListBullet"/>
      </w:pPr>
      <w:r>
        <w:t>Safe operation: reference resolution, compatibility, authorization, planning and execution are separate decisions.</w:t>
      </w:r>
    </w:p>
    <w:p>
      <w:pPr>
        <w:pStyle w:val="ListBullet"/>
      </w:pPr>
      <w:r>
        <w:t>Quantum advantage is an experimental question requiring suitable baselines and evidence, not an assumed property.</w:t>
      </w:r>
    </w:p>
    <w:p>
      <w:pPr>
        <w:pStyle w:val="Heading1"/>
      </w:pPr>
      <w:r>
        <w:t>2. Logical architecture</w:t>
      </w:r>
    </w:p>
    <w:p>
      <w:r>
        <w:t>Users / domain applications → QAI Solution &amp; Topology Gallery → QAI Workflow Designer / QAI Software IDE → Versioned workload + logical topology + constraints → QAI Configuration Model + Asset Registry / Capability Catalog → Topology &amp; Compatibility Engine → QAI Experiment Manager + Virtual Execution Environment → Deployment Operator / adapters + authorization gate → selected execution targets → telemetry, results and evidence → experiment comparison → optional later closed-loop recommendations.</w:t>
      </w:r>
    </w:p>
    <w:p>
      <w:r>
        <w:t>This is a logical architecture. Components may initially be modules or scripts rather than separate services.</w:t>
      </w:r>
    </w:p>
    <w:p>
      <w:pPr>
        <w:pStyle w:val="Heading1"/>
      </w:pPr>
      <w:r>
        <w:t>3.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 / output</w:t>
            </w:r>
          </w:p>
        </w:tc>
      </w:tr>
      <w:tr>
        <w:tc>
          <w:tcPr>
            <w:tcW w:type="dxa" w:w="5040"/>
          </w:tcPr>
          <w:p>
            <w:r>
              <w:t>Solution &amp; Topology Gallery</w:t>
            </w:r>
          </w:p>
        </w:tc>
        <w:tc>
          <w:tcPr>
            <w:tcW w:type="dxa" w:w="5040"/>
          </w:tcPr>
          <w:p>
            <w:r>
              <w:t>Examples, templates, reusable solution packages, guides and validation status.</w:t>
            </w:r>
          </w:p>
        </w:tc>
      </w:tr>
      <w:tr>
        <w:tc>
          <w:tcPr>
            <w:tcW w:type="dxa" w:w="5040"/>
          </w:tcPr>
          <w:p>
            <w:r>
              <w:t>Workflow Designer</w:t>
            </w:r>
          </w:p>
        </w:tc>
        <w:tc>
          <w:tcPr>
            <w:tcW w:type="dxa" w:w="5040"/>
          </w:tcPr>
          <w:p>
            <w:r>
              <w:t>Nodes, typed links, workload stages, asset associations and constraints; outputs a versioned topology/workflow.</w:t>
            </w:r>
          </w:p>
        </w:tc>
      </w:tr>
      <w:tr>
        <w:tc>
          <w:tcPr>
            <w:tcW w:type="dxa" w:w="5040"/>
          </w:tcPr>
          <w:p>
            <w:r>
              <w:t>QAI Software IDE</w:t>
            </w:r>
          </w:p>
        </w:tc>
        <w:tc>
          <w:tcPr>
            <w:tcW w:type="dxa" w:w="5040"/>
          </w:tcPr>
          <w:p>
            <w:r>
              <w:t>Develop, configure, test and package workload software and experiment artifacts.</w:t>
            </w:r>
          </w:p>
        </w:tc>
      </w:tr>
      <w:tr>
        <w:tc>
          <w:tcPr>
            <w:tcW w:type="dxa" w:w="5040"/>
          </w:tcPr>
          <w:p>
            <w:r>
              <w:t>Configuration Model</w:t>
            </w:r>
          </w:p>
        </w:tc>
        <w:tc>
          <w:tcPr>
            <w:tcW w:type="dxa" w:w="5040"/>
          </w:tcPr>
          <w:p>
            <w:r>
              <w:t>Versioned topology, workloads, constraints, modes and logical references.</w:t>
            </w:r>
          </w:p>
        </w:tc>
      </w:tr>
      <w:tr>
        <w:tc>
          <w:tcPr>
            <w:tcW w:type="dxa" w:w="5040"/>
          </w:tcPr>
          <w:p>
            <w:r>
              <w:t>Asset Registry / Capability Catalog</w:t>
            </w:r>
          </w:p>
        </w:tc>
        <w:tc>
          <w:tcPr>
            <w:tcW w:type="dxa" w:w="5040"/>
          </w:tcPr>
          <w:p>
            <w:r>
              <w:t>Virtual/physical resource descriptors, interfaces, capabilities, dependencies, provenance and access conditions.</w:t>
            </w:r>
          </w:p>
        </w:tc>
      </w:tr>
      <w:tr>
        <w:tc>
          <w:tcPr>
            <w:tcW w:type="dxa" w:w="5040"/>
          </w:tcPr>
          <w:p>
            <w:r>
              <w:t>Topology &amp; Compatibility Engine</w:t>
            </w:r>
          </w:p>
        </w:tc>
        <w:tc>
          <w:tcPr>
            <w:tcW w:type="dxa" w:w="5040"/>
          </w:tcPr>
          <w:p>
            <w:r>
              <w:t>Validate graph, references, connectivity, constraints and workload-to-capability compatibility; return findings and qualification outcome.</w:t>
            </w:r>
          </w:p>
        </w:tc>
      </w:tr>
      <w:tr>
        <w:tc>
          <w:tcPr>
            <w:tcW w:type="dxa" w:w="5040"/>
          </w:tcPr>
          <w:p>
            <w:r>
              <w:t>Virtual Execution Environment</w:t>
            </w:r>
          </w:p>
        </w:tc>
        <w:tc>
          <w:tcPr>
            <w:tcW w:type="dxa" w:w="5040"/>
          </w:tcPr>
          <w:p>
            <w:r>
              <w:t>Run supported simulation/emulation workflows; record model assumptions and telemetry.</w:t>
            </w:r>
          </w:p>
        </w:tc>
      </w:tr>
      <w:tr>
        <w:tc>
          <w:tcPr>
            <w:tcW w:type="dxa" w:w="5040"/>
          </w:tcPr>
          <w:p>
            <w:r>
              <w:t>Experiment Manager / Pipeline</w:t>
            </w:r>
          </w:p>
        </w:tc>
        <w:tc>
          <w:tcPr>
            <w:tcW w:type="dxa" w:w="5040"/>
          </w:tcPr>
          <w:p>
            <w:r>
              <w:t>Coordinate runs, capture evidence and compare configurations.</w:t>
            </w:r>
          </w:p>
        </w:tc>
      </w:tr>
      <w:tr>
        <w:tc>
          <w:tcPr>
            <w:tcW w:type="dxa" w:w="5040"/>
          </w:tcPr>
          <w:p>
            <w:r>
              <w:t>Deployment Operator &amp; adapters</w:t>
            </w:r>
          </w:p>
        </w:tc>
        <w:tc>
          <w:tcPr>
            <w:tcW w:type="dxa" w:w="5040"/>
          </w:tcPr>
          <w:p>
            <w:r>
              <w:t>Resolve logical references, propose bindings and plans, and invoke supported interfaces only after authorization.</w:t>
            </w:r>
          </w:p>
        </w:tc>
      </w:tr>
      <w:tr>
        <w:tc>
          <w:tcPr>
            <w:tcW w:type="dxa" w:w="5040"/>
          </w:tcPr>
          <w:p>
            <w:r>
              <w:t>QAI OS / Runtime / Memory / RTOS integration</w:t>
            </w:r>
          </w:p>
        </w:tc>
        <w:tc>
          <w:tcPr>
            <w:tcW w:type="dxa" w:w="5040"/>
          </w:tcPr>
          <w:p>
            <w:r>
              <w:t>Applicable runtime, state/data services, workload execution and local real-time coordination within verified capabilities.</w:t>
            </w:r>
          </w:p>
        </w:tc>
      </w:tr>
      <w:tr>
        <w:tc>
          <w:tcPr>
            <w:tcW w:type="dxa" w:w="5040"/>
          </w:tcPr>
          <w:p>
            <w:r>
              <w:t>Closed-Loop QAI Pipeline</w:t>
            </w:r>
          </w:p>
        </w:tc>
        <w:tc>
          <w:tcPr>
            <w:tcW w:type="dxa" w:w="5040"/>
          </w:tcPr>
          <w:p>
            <w:r>
              <w:t>Later stage: evaluate evidence and recommend/select bounded changes with traceability and guardrails.</w:t>
            </w:r>
          </w:p>
        </w:tc>
      </w:tr>
      <w:tr>
        <w:tc>
          <w:tcPr>
            <w:tcW w:type="dxa" w:w="5040"/>
          </w:tcPr>
          <w:p>
            <w:r>
              <w:t>Final Solution Assembler</w:t>
            </w:r>
          </w:p>
        </w:tc>
        <w:tc>
          <w:tcPr>
            <w:tcW w:type="dxa" w:w="5040"/>
          </w:tcPr>
          <w:p>
            <w:r>
              <w:t>Combine partial results only where workload semantics define valid combination rules.</w:t>
            </w:r>
          </w:p>
        </w:tc>
      </w:tr>
    </w:tbl>
    <w:p/>
    <w:p>
      <w:pPr>
        <w:pStyle w:val="Heading1"/>
      </w:pPr>
      <w:r>
        <w:t>4. Logical topology and configuration</w:t>
      </w:r>
    </w:p>
    <w:p>
      <w:pPr>
        <w:pStyle w:val="ListBullet"/>
      </w:pPr>
      <w:r>
        <w:t>Nodes represent compute, accelerator, control, communication, memory, storage, quantum, software or domain roles.</w:t>
      </w:r>
    </w:p>
    <w:p>
      <w:pPr>
        <w:pStyle w:val="ListBullet"/>
      </w:pPr>
      <w:r>
        <w:t>Typed edges represent data paths, classical network links, quantum-channel models, control/synchronization relations or dependencies.</w:t>
      </w:r>
    </w:p>
    <w:p>
      <w:pPr>
        <w:pStyle w:val="ListBullet"/>
      </w:pPr>
      <w:r>
        <w:t>Logical asset requirements state capabilities needed without naming a vendor unless necessary.</w:t>
      </w:r>
    </w:p>
    <w:p>
      <w:pPr>
        <w:pStyle w:val="ListBullet"/>
      </w:pPr>
      <w:r>
        <w:t>Workloads specify tasks, inputs/outputs, dependencies, algorithms, partitioning and objectives.</w:t>
      </w:r>
    </w:p>
    <w:p>
      <w:pPr>
        <w:pStyle w:val="ListBullet"/>
      </w:pPr>
      <w:r>
        <w:t>Constraints describe capacity, locality, latency/jitter, synchronization, security, data handling, cost and other limits.</w:t>
      </w:r>
    </w:p>
    <w:p>
      <w:pPr>
        <w:pStyle w:val="ListBullet"/>
      </w:pPr>
      <w:r>
        <w:t>Policies define permitted resources/operations and approvals. Execution mode is explicit.</w:t>
      </w:r>
    </w:p>
    <w:p>
      <w:pPr>
        <w:pStyle w:val="ListBullet"/>
      </w:pPr>
      <w:r>
        <w:t>Execution bindings map logical requirements to resources in a specific environment; evidence records connect configuration to results.</w:t>
      </w:r>
    </w:p>
    <w:p>
      <w:pPr>
        <w:pStyle w:val="ListBullet"/>
      </w:pPr>
      <w:r>
        <w:t>If a target lacks a mandatory capability, report incompatibility or require an explicit approved alternative—never silently substitute.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Topology pattern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 / consideration</w:t>
            </w:r>
          </w:p>
        </w:tc>
      </w:tr>
      <w:tr>
        <w:tc>
          <w:tcPr>
            <w:tcW w:type="dxa" w:w="5040"/>
          </w:tcPr>
          <w:p>
            <w:r>
              <w:t>Single node</w:t>
            </w:r>
          </w:p>
        </w:tc>
        <w:tc>
          <w:tcPr>
            <w:tcW w:type="dxa" w:w="5040"/>
          </w:tcPr>
          <w:p>
            <w:r>
              <w:t>Beginner lab and reproducible baseline.</w:t>
            </w:r>
          </w:p>
        </w:tc>
      </w:tr>
      <w:tr>
        <w:tc>
          <w:tcPr>
            <w:tcW w:type="dxa" w:w="5040"/>
          </w:tcPr>
          <w:p>
            <w:r>
              <w:t>Star</w:t>
            </w:r>
          </w:p>
        </w:tc>
        <w:tc>
          <w:tcPr>
            <w:tcW w:type="dxa" w:w="5040"/>
          </w:tcPr>
          <w:p>
            <w:r>
              <w:t>Central coordination; watch bottlenecks and single points of failure.</w:t>
            </w:r>
          </w:p>
        </w:tc>
      </w:tr>
      <w:tr>
        <w:tc>
          <w:tcPr>
            <w:tcW w:type="dxa" w:w="5040"/>
          </w:tcPr>
          <w:p>
            <w:r>
              <w:t>Tree / leaf–root</w:t>
            </w:r>
          </w:p>
        </w:tc>
        <w:tc>
          <w:tcPr>
            <w:tcW w:type="dxa" w:w="5040"/>
          </w:tcPr>
          <w:p>
            <w:r>
              <w:t>Hierarchical aggregation/control; account for depth and synchronization.</w:t>
            </w:r>
          </w:p>
        </w:tc>
      </w:tr>
      <w:tr>
        <w:tc>
          <w:tcPr>
            <w:tcW w:type="dxa" w:w="5040"/>
          </w:tcPr>
          <w:p>
            <w:r>
              <w:t>Mesh</w:t>
            </w:r>
          </w:p>
        </w:tc>
        <w:tc>
          <w:tcPr>
            <w:tcW w:type="dxa" w:w="5040"/>
          </w:tcPr>
          <w:p>
            <w:r>
              <w:t>Peer communication; account for routing, link count and congestion.</w:t>
            </w:r>
          </w:p>
        </w:tc>
      </w:tr>
      <w:tr>
        <w:tc>
          <w:tcPr>
            <w:tcW w:type="dxa" w:w="5040"/>
          </w:tcPr>
          <w:p>
            <w:r>
              <w:t>Ring</w:t>
            </w:r>
          </w:p>
        </w:tc>
        <w:tc>
          <w:tcPr>
            <w:tcW w:type="dxa" w:w="5040"/>
          </w:tcPr>
          <w:p>
            <w:r>
              <w:t>Cyclic/ordered workflows; assess path length and failure behavior.</w:t>
            </w:r>
          </w:p>
        </w:tc>
      </w:tr>
      <w:tr>
        <w:tc>
          <w:tcPr>
            <w:tcW w:type="dxa" w:w="5040"/>
          </w:tcPr>
          <w:p>
            <w:r>
              <w:t>Pipeline</w:t>
            </w:r>
          </w:p>
        </w:tc>
        <w:tc>
          <w:tcPr>
            <w:tcW w:type="dxa" w:w="5040"/>
          </w:tcPr>
          <w:p>
            <w:r>
              <w:t>Sequential processing; balance stages and manage buffering/back-pressure.</w:t>
            </w:r>
          </w:p>
        </w:tc>
      </w:tr>
      <w:tr>
        <w:tc>
          <w:tcPr>
            <w:tcW w:type="dxa" w:w="5040"/>
          </w:tcPr>
          <w:p>
            <w:r>
              <w:t>Cluster</w:t>
            </w:r>
          </w:p>
        </w:tc>
        <w:tc>
          <w:tcPr>
            <w:tcW w:type="dxa" w:w="5040"/>
          </w:tcPr>
          <w:p>
            <w:r>
              <w:t>Grouped compute/shared services; assess placement and contention.</w:t>
            </w:r>
          </w:p>
        </w:tc>
      </w:tr>
      <w:tr>
        <w:tc>
          <w:tcPr>
            <w:tcW w:type="dxa" w:w="5040"/>
          </w:tcPr>
          <w:p>
            <w:r>
              <w:t>Hybrid graph</w:t>
            </w:r>
          </w:p>
        </w:tc>
        <w:tc>
          <w:tcPr>
            <w:tcW w:type="dxa" w:w="5040"/>
          </w:tcPr>
          <w:p>
            <w:r>
              <w:t>Domain-specific combinations; validate all cross-pattern relationships.</w:t>
            </w:r>
          </w:p>
        </w:tc>
      </w:tr>
    </w:tbl>
    <w:p/>
    <w:p>
      <w:pPr>
        <w:pStyle w:val="Heading1"/>
      </w:pPr>
      <w:r>
        <w:t>5. Resource fabrics and device abstractions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Fabric / resource class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Scope and descriptor concerns</w:t>
            </w:r>
          </w:p>
        </w:tc>
      </w:tr>
      <w:tr>
        <w:tc>
          <w:tcPr>
            <w:tcW w:type="dxa" w:w="5040"/>
          </w:tcPr>
          <w:p>
            <w:r>
              <w:t>CPU / GPU / HPC</w:t>
            </w:r>
          </w:p>
        </w:tc>
        <w:tc>
          <w:tcPr>
            <w:tcW w:type="dxa" w:w="5040"/>
          </w:tcPr>
          <w:p>
            <w:r>
              <w:t>General and parallel compute; architecture, capacity, runtime/driver, memory, access and measured behavior.</w:t>
            </w:r>
          </w:p>
        </w:tc>
      </w:tr>
      <w:tr>
        <w:tc>
          <w:tcPr>
            <w:tcW w:type="dxa" w:w="5040"/>
          </w:tcPr>
          <w:p>
            <w:r>
              <w:t>FPGA Fabric</w:t>
            </w:r>
          </w:p>
        </w:tc>
        <w:tc>
          <w:tcPr>
            <w:tcW w:type="dxa" w:w="5040"/>
          </w:tcPr>
          <w:p>
            <w:r>
              <w:t>Vendor-neutral abstraction for simulated FPGA, local FPGA/RFSoC, network-attached or cloud FPGA where accessible; toolchain, firmware/bitstream, I/O, memory, interfaces, timing and adapter status.</w:t>
            </w:r>
          </w:p>
        </w:tc>
      </w:tr>
      <w:tr>
        <w:tc>
          <w:tcPr>
            <w:tcW w:type="dxa" w:w="5040"/>
          </w:tcPr>
          <w:p>
            <w:r>
              <w:t>Classical Network Fabric</w:t>
            </w:r>
          </w:p>
        </w:tc>
        <w:tc>
          <w:tcPr>
            <w:tcW w:type="dxa" w:w="5040"/>
          </w:tcPr>
          <w:p>
            <w:r>
              <w:t>IP traffic, topology, routing, bandwidth, latency, jitter, contention and failures; record model assumptions and measurement method.</w:t>
            </w:r>
          </w:p>
        </w:tc>
      </w:tr>
      <w:tr>
        <w:tc>
          <w:tcPr>
            <w:tcW w:type="dxa" w:w="5040"/>
          </w:tcPr>
          <w:p>
            <w:r>
              <w:t>Quantum Fabric</w:t>
            </w:r>
          </w:p>
        </w:tc>
        <w:tc>
          <w:tcPr>
            <w:tcW w:type="dxa" w:w="5040"/>
          </w:tcPr>
          <w:p>
            <w:r>
              <w:t>Quantum circuit/protocol simulation and supported QPU interfaces; supported operations, noise/device assumptions, access and provenance.</w:t>
            </w:r>
          </w:p>
        </w:tc>
      </w:tr>
      <w:tr>
        <w:tc>
          <w:tcPr>
            <w:tcW w:type="dxa" w:w="5040"/>
          </w:tcPr>
          <w:p>
            <w:r>
              <w:t>QSC / quantum control</w:t>
            </w:r>
          </w:p>
        </w:tc>
        <w:tc>
          <w:tcPr>
            <w:tcW w:type="dxa" w:w="5040"/>
          </w:tcPr>
          <w:p>
            <w:r>
              <w:t>Control sequences, triggers, waveform, acquisition, readout and feedback interfaces where supported; device-specific timing evidence.</w:t>
            </w:r>
          </w:p>
        </w:tc>
      </w:tr>
      <w:tr>
        <w:tc>
          <w:tcPr>
            <w:tcW w:type="dxa" w:w="5040"/>
          </w:tcPr>
          <w:p>
            <w:r>
              <w:t>Quantum communication overlay</w:t>
            </w:r>
          </w:p>
        </w:tc>
        <w:tc>
          <w:tcPr>
            <w:tcW w:type="dxa" w:w="5040"/>
          </w:tcPr>
          <w:p>
            <w:r>
              <w:t>Models for quantum channels, loss, detection, memory and entanglement plus classical coordination; distinguish simulated links from physical quantum-state transmission.</w:t>
            </w:r>
          </w:p>
        </w:tc>
      </w:tr>
      <w:tr>
        <w:tc>
          <w:tcPr>
            <w:tcW w:type="dxa" w:w="5040"/>
          </w:tcPr>
          <w:p>
            <w:r>
              <w:t>Storage / Memory Fabric</w:t>
            </w:r>
          </w:p>
        </w:tc>
        <w:tc>
          <w:tcPr>
            <w:tcW w:type="dxa" w:w="5040"/>
          </w:tcPr>
          <w:p>
            <w:r>
              <w:t>Buffers, host/accelerator memory, state services, datasets and evidence stores; capacity, locality, consistency, retention and provenance.</w:t>
            </w:r>
          </w:p>
        </w:tc>
      </w:tr>
      <w:tr>
        <w:tc>
          <w:tcPr>
            <w:tcW w:type="dxa" w:w="5040"/>
          </w:tcPr>
          <w:p>
            <w:r>
              <w:t>Timing / synchronization</w:t>
            </w:r>
          </w:p>
        </w:tc>
        <w:tc>
          <w:tcPr>
            <w:tcW w:type="dxa" w:w="5040"/>
          </w:tcPr>
          <w:p>
            <w:r>
              <w:t>Clock references, timestamps, offset/drift, event ordering and local real-time control; units, domain, resolution and measured accuracy.</w:t>
            </w:r>
          </w:p>
        </w:tc>
      </w:tr>
      <w:tr>
        <w:tc>
          <w:tcPr>
            <w:tcW w:type="dxa" w:w="5040"/>
          </w:tcPr>
          <w:p>
            <w:r>
              <w:t>Software / domain assets</w:t>
            </w:r>
          </w:p>
        </w:tc>
        <w:tc>
          <w:tcPr>
            <w:tcW w:type="dxa" w:w="5040"/>
          </w:tcPr>
          <w:p>
            <w:r>
              <w:t>Algorithms, data structures, decoders, simulators and domain models; versions, dependencies, interfaces, access and test status.</w:t>
            </w:r>
          </w:p>
        </w:tc>
      </w:tr>
    </w:tbl>
    <w:p/>
    <w:p>
      <w:r>
        <w:t>FPGA, QSC and QPU are distinct. FPGA logic can process classical control and measurement data; a QSC provides quantum-system control functionality; a QPU performs quantum operations. Classical FPGA logic does not itself transmit an unknown quantum state over an ordinary network.</w:t>
      </w:r>
    </w:p>
    <w:p>
      <w:pPr>
        <w:pStyle w:val="Heading1"/>
      </w:pPr>
      <w:r>
        <w:t>6. Execution modes and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 and evidence boundary</w:t>
            </w:r>
          </w:p>
        </w:tc>
      </w:tr>
      <w:tr>
        <w:tc>
          <w:tcPr>
            <w:tcW w:type="dxa" w:w="5040"/>
          </w:tcPr>
          <w:p>
            <w:r>
              <w:t>Planning-only</w:t>
            </w:r>
          </w:p>
        </w:tc>
        <w:tc>
          <w:tcPr>
            <w:tcW w:type="dxa" w:w="5040"/>
          </w:tcPr>
          <w:p>
            <w:r>
              <w:t>Resolve references, qualify requirements and create a plan; no execution or mutation.</w:t>
            </w:r>
          </w:p>
        </w:tc>
      </w:tr>
      <w:tr>
        <w:tc>
          <w:tcPr>
            <w:tcW w:type="dxa" w:w="5040"/>
          </w:tcPr>
          <w:p>
            <w:r>
              <w:t>Classical execution</w:t>
            </w:r>
          </w:p>
        </w:tc>
        <w:tc>
          <w:tcPr>
            <w:tcW w:type="dxa" w:w="5040"/>
          </w:tcPr>
          <w:p>
            <w:r>
              <w:t>Run on available CPU/compatible classical accelerators; claims apply to the declared target/configuration.</w:t>
            </w:r>
          </w:p>
        </w:tc>
      </w:tr>
      <w:tr>
        <w:tc>
          <w:tcPr>
            <w:tcW w:type="dxa" w:w="5040"/>
          </w:tcPr>
          <w:p>
            <w:r>
              <w:t>Simulation</w:t>
            </w:r>
          </w:p>
        </w:tc>
        <w:tc>
          <w:tcPr>
            <w:tcW w:type="dxa" w:w="5040"/>
          </w:tcPr>
          <w:p>
            <w:r>
              <w:t>Evaluate supported models; results are modelled, not physical validation.</w:t>
            </w:r>
          </w:p>
        </w:tc>
      </w:tr>
      <w:tr>
        <w:tc>
          <w:tcPr>
            <w:tcW w:type="dxa" w:w="5040"/>
          </w:tcPr>
          <w:p>
            <w:r>
              <w:t>Emulation</w:t>
            </w:r>
          </w:p>
        </w:tc>
        <w:tc>
          <w:tcPr>
            <w:tcW w:type="dxa" w:w="5040"/>
          </w:tcPr>
          <w:p>
            <w:r>
              <w:t>Exercise supported interfaces with emulated behavior; not automatically equivalent to hardware.</w:t>
            </w:r>
          </w:p>
        </w:tc>
      </w:tr>
      <w:tr>
        <w:tc>
          <w:tcPr>
            <w:tcW w:type="dxa" w:w="5040"/>
          </w:tcPr>
          <w:p>
            <w:r>
              <w:t>Hardware-in-the-loop</w:t>
            </w:r>
          </w:p>
        </w:tc>
        <w:tc>
          <w:tcPr>
            <w:tcW w:type="dxa" w:w="5040"/>
          </w:tcPr>
          <w:p>
            <w:r>
              <w:t>Combine physical and simulated/controlled components; label each boundary.</w:t>
            </w:r>
          </w:p>
        </w:tc>
      </w:tr>
      <w:tr>
        <w:tc>
          <w:tcPr>
            <w:tcW w:type="dxa" w:w="5040"/>
          </w:tcPr>
          <w:p>
            <w:r>
              <w:t>Physical execution</w:t>
            </w:r>
          </w:p>
        </w:tc>
        <w:tc>
          <w:tcPr>
            <w:tcW w:type="dxa" w:w="5040"/>
          </w:tcPr>
          <w:p>
            <w:r>
              <w:t>Run on verified hardware under approved controls; claims limited to measured conditions.</w:t>
            </w:r>
          </w:p>
        </w:tc>
      </w:tr>
      <w:tr>
        <w:tc>
          <w:tcPr>
            <w:tcW w:type="dxa" w:w="5040"/>
          </w:tcPr>
          <w:p>
            <w:r>
              <w:t>Feedback-assisted</w:t>
            </w:r>
          </w:p>
        </w:tc>
        <w:tc>
          <w:tcPr>
            <w:tcW w:type="dxa" w:w="5040"/>
          </w:tcPr>
          <w:p>
            <w:r>
              <w:t>Use evidence to recommend a later strategy; recommendation must be qualified before execution.</w:t>
            </w:r>
          </w:p>
        </w:tc>
      </w:tr>
      <w:tr>
        <w:tc>
          <w:tcPr>
            <w:tcW w:type="dxa" w:w="5040"/>
          </w:tcPr>
          <w:p>
            <w:r>
              <w:t>Closed-loop</w:t>
            </w:r>
          </w:p>
        </w:tc>
        <w:tc>
          <w:tcPr>
            <w:tcW w:type="dxa" w:w="5040"/>
          </w:tcPr>
          <w:p>
            <w:r>
              <w:t>Iterative observe/evaluate/learn/adapt with monitored stop conditions, audit trail and authorization.</w:t>
            </w:r>
          </w:p>
        </w:tc>
      </w:tr>
    </w:tbl>
    <w:p/>
    <w:p>
      <w:r>
        <w:t>Keep simulation time, wall-clock time and physical hardware time separate. Discrete-event simulation can model nanosecond events without operating in real time. Cloud APIs do not imply deterministic sub-microsecond end-to-end control.</w:t>
      </w:r>
    </w:p>
    <w:p>
      <w:pPr>
        <w:pStyle w:val="Heading1"/>
      </w:pPr>
      <w:r>
        <w:t>7. QAI Lab and federated simulation</w:t>
      </w:r>
    </w:p>
    <w:p>
      <w:r>
        <w:t>The QAI Lab manages scenarios, configuration versions, tool coordination, metrics and evidence. Specialist simulators/adapters provide domain-specific behavior. Candidate tools named in the raw notes include ns-3 and ComNetsEmu for classical networking; NetSquid, SeQUeNCe, QuNetSim, SimulaQron and Q2NS for quantum-network research; and FPGA Fabric adapters or actual FPGA/RFSoC systems for timing/data-path experiments. These are candidates from the source material, not a mandatory finalized stack. Verify versions, maturity, licenses/access and interoperability with a small proof of concept before selection.</w:t>
      </w:r>
    </w:p>
    <w:p>
      <w:r>
        <w:t>Keep distinct: clock synchronization and drift; real-time processing; quantum communication/device models; communication QEC; and classical/quantum bridging. Simulation results do not prove physical quantum performance.</w:t>
      </w:r>
    </w:p>
    <w:p>
      <w:pPr>
        <w:pStyle w:val="Heading1"/>
      </w:pPr>
      <w:r>
        <w:t>8. Workload experiment lifecycle</w:t>
      </w:r>
    </w:p>
    <w:p>
      <w:pPr>
        <w:pStyle w:val="ListNumber"/>
      </w:pPr>
      <w:r>
        <w:t>Define the domain problem, objective, inputs/outputs, constraints and success criteria.</w:t>
      </w:r>
    </w:p>
    <w:p>
      <w:pPr>
        <w:pStyle w:val="ListNumber"/>
      </w:pPr>
      <w:r>
        <w:t>Choose a baseline and candidate classical, AI, quantum-inspired, quantum or hybrid approaches as appropriate.</w:t>
      </w:r>
    </w:p>
    <w:p>
      <w:pPr>
        <w:pStyle w:val="ListNumber"/>
      </w:pPr>
      <w:r>
        <w:t>Describe workload and logical topology declaratively; version the configuration.</w:t>
      </w:r>
    </w:p>
    <w:p>
      <w:pPr>
        <w:pStyle w:val="ListNumber"/>
      </w:pPr>
      <w:r>
        <w:t>Discover resources and record declared/observed capabilities and provenance.</w:t>
      </w:r>
    </w:p>
    <w:p>
      <w:pPr>
        <w:pStyle w:val="ListNumber"/>
      </w:pPr>
      <w:r>
        <w:t>Validate references, graph, compatibility, access constraints and evidence requirements.</w:t>
      </w:r>
    </w:p>
    <w:p>
      <w:pPr>
        <w:pStyle w:val="ListNumber"/>
      </w:pPr>
      <w:r>
        <w:t>Produce a reviewable plan and proposed bindings; planning is read-only by default.</w:t>
      </w:r>
    </w:p>
    <w:p>
      <w:pPr>
        <w:pStyle w:val="ListNumber"/>
      </w:pPr>
      <w:r>
        <w:t>Obtain policy/human authorization before consequential execution or resource mutation.</w:t>
      </w:r>
    </w:p>
    <w:p>
      <w:pPr>
        <w:pStyle w:val="ListNumber"/>
      </w:pPr>
      <w:r>
        <w:t>Execute in the declared mode using supported resources/tools.</w:t>
      </w:r>
    </w:p>
    <w:p>
      <w:pPr>
        <w:pStyle w:val="ListNumber"/>
      </w:pPr>
      <w:r>
        <w:t>Capture outputs, configuration/software versions, mode, assumptions, metrics, failures and limitations.</w:t>
      </w:r>
    </w:p>
    <w:p>
      <w:pPr>
        <w:pStyle w:val="ListNumber"/>
      </w:pPr>
      <w:r>
        <w:t>Compare against baseline and other configurations; preserve both configurations and evidence.</w:t>
      </w:r>
    </w:p>
    <w:p>
      <w:pPr>
        <w:pStyle w:val="ListNumber"/>
      </w:pPr>
      <w:r>
        <w:t>Later, recommend a next experiment or bounded update; revalidate and authorize before execution.</w:t>
      </w:r>
    </w:p>
    <w:p>
      <w:r>
        <w:t>Potential metrics: correctness/output quality, latency distribution, jitter, throughput, resource use, cost, reliability, energy where measurable, protocol success, failure rate and domain-specific objective value. Units, collection method and provenance must accompany each metric.</w:t>
      </w:r>
    </w:p>
    <w:p>
      <w:pPr>
        <w:pStyle w:val="Heading1"/>
      </w:pPr>
      <w:r>
        <w:t>9. Open-loop first; closed-loop later</w:t>
      </w:r>
    </w:p>
    <w:p>
      <w:r>
        <w:t>Stage 1 — Open-loop operational baseline: workload definition → resource discovery → compatibility assessment → deployment plan → approval → execution → evidence capture. Begin with CPU execution and simulated/emulated descriptors where hardware is unavailable. Record evidence without automatically changing the next execution.</w:t>
      </w:r>
    </w:p>
    <w:p>
      <w:r>
        <w:t>Stage 2 — Closed-loop QAI: observe outcomes; evaluate against objectives and valid baselines; learn from permitted evidence; recommend/select algorithms, parameters, data structures, resource mappings or topologies; then revalidate and authorize. Learning does not itself authorize a protected change.</w:t>
      </w:r>
    </w:p>
    <w:p>
      <w:pPr>
        <w:pStyle w:val="Heading1"/>
      </w:pPr>
      <w:r>
        <w:t>10. Governance and qualification</w:t>
      </w:r>
    </w:p>
    <w:p>
      <w:pPr>
        <w:pStyle w:val="ListBullet"/>
      </w:pPr>
      <w:r>
        <w:t>Resource discovery is not authorization; reference resolution does not grant resource access.</w:t>
      </w:r>
    </w:p>
    <w:p>
      <w:pPr>
        <w:pStyle w:val="ListBullet"/>
      </w:pPr>
      <w:r>
        <w:t>Use least privilege, isolation, credential protection, controlled device/bitstream deployment and audit records where applicable.</w:t>
      </w:r>
    </w:p>
    <w:p>
      <w:pPr>
        <w:pStyle w:val="ListBullet"/>
      </w:pPr>
      <w:r>
        <w:t>Separate control plane from data plane; time-critical paths execute locally where required and supported.</w:t>
      </w:r>
    </w:p>
    <w:p>
      <w:pPr>
        <w:pStyle w:val="ListBullet"/>
      </w:pPr>
      <w:r>
        <w:t>Define stop conditions, failure handling and safe termination for physical operations.</w:t>
      </w:r>
    </w:p>
    <w:p>
      <w:pPr>
        <w:pStyle w:val="ListBullet"/>
      </w:pPr>
      <w:r>
        <w:t>Record provenance for configuration, workload, model, tool, adapter, firmware/bitstream and target versions.</w:t>
      </w:r>
    </w:p>
    <w:p>
      <w:pPr>
        <w:pStyle w:val="ListBullet"/>
      </w:pPr>
      <w:r>
        <w:t>Label evidence class: design assertion, declared capability, simulation, emulation, benchmark, HIL or physical measurement.</w:t>
      </w:r>
    </w:p>
    <w:p>
      <w:pPr>
        <w:pStyle w:val="ListBullet"/>
      </w:pPr>
      <w:r>
        <w:t>Protect confidential data and experimental IP; define retention and sharing rules.</w:t>
      </w:r>
    </w:p>
    <w:p>
      <w:r>
        <w:t>Qualify a datacenter for a workload—not by the presence of a named device alone. Check compute/access, network behavior, timing/synchronization, runtime/toolchain compatibility, storage/data movement, security, cost and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Qualification outcome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Qualified</w:t>
            </w:r>
          </w:p>
        </w:tc>
        <w:tc>
          <w:tcPr>
            <w:tcW w:type="dxa" w:w="5040"/>
          </w:tcPr>
          <w:p>
            <w:r>
              <w:t>Verified capabilities meet all mandatory requirements for the defined workload.</w:t>
            </w:r>
          </w:p>
        </w:tc>
      </w:tr>
      <w:tr>
        <w:tc>
          <w:tcPr>
            <w:tcW w:type="dxa" w:w="5040"/>
          </w:tcPr>
          <w:p>
            <w:r>
              <w:t>Conditionally qualified</w:t>
            </w:r>
          </w:p>
        </w:tc>
        <w:tc>
          <w:tcPr>
            <w:tcW w:type="dxa" w:w="5040"/>
          </w:tcPr>
          <w:p>
            <w:r>
              <w:t>Requirements are met subject to documented limits or controls.</w:t>
            </w:r>
          </w:p>
        </w:tc>
      </w:tr>
      <w:tr>
        <w:tc>
          <w:tcPr>
            <w:tcW w:type="dxa" w:w="5040"/>
          </w:tcPr>
          <w:p>
            <w:r>
              <w:t>Simulation-only</w:t>
            </w:r>
          </w:p>
        </w:tc>
        <w:tc>
          <w:tcPr>
            <w:tcW w:type="dxa" w:w="5040"/>
          </w:tcPr>
          <w:p>
            <w:r>
              <w:t>Modelled workflow is supported; relevant physical capability has not been demonstrated.</w:t>
            </w:r>
          </w:p>
        </w:tc>
      </w:tr>
      <w:tr>
        <w:tc>
          <w:tcPr>
            <w:tcW w:type="dxa" w:w="5040"/>
          </w:tcPr>
          <w:p>
            <w:r>
              <w:t>Not qualified</w:t>
            </w:r>
          </w:p>
        </w:tc>
        <w:tc>
          <w:tcPr>
            <w:tcW w:type="dxa" w:w="5040"/>
          </w:tcPr>
          <w:p>
            <w:r>
              <w:t>A mandatory requirement is unmet, unsupported, inaccessible or insufficiently evidenced.</w:t>
            </w:r>
          </w:p>
        </w:tc>
      </w:tr>
    </w:tbl>
    <w:p/>
    <w:p>
      <w:pPr>
        <w:pStyle w:val="Heading1"/>
      </w:pPr>
      <w:r>
        <w:t>11. First demonstrator and acceptance criteria</w:t>
      </w:r>
    </w:p>
    <w:p>
      <w:pPr>
        <w:pStyle w:val="ListNumber"/>
      </w:pPr>
      <w:r>
        <w:t>Create a versioned two-node topology with compute resources and a configurable classical link; optionally add a separate simulated quantum channel.</w:t>
      </w:r>
    </w:p>
    <w:p>
      <w:pPr>
        <w:pStyle w:val="ListNumber"/>
      </w:pPr>
      <w:r>
        <w:t>Describe resource capabilities and logical references in configuration files.</w:t>
      </w:r>
    </w:p>
    <w:p>
      <w:pPr>
        <w:pStyle w:val="ListNumber"/>
      </w:pPr>
      <w:r>
        <w:t>Validate references, connectivity, constraints and workload/resource compatibility.</w:t>
      </w:r>
    </w:p>
    <w:p>
      <w:pPr>
        <w:pStyle w:val="ListNumber"/>
      </w:pPr>
      <w:r>
        <w:t>Generate a planning-only report with proposed bindings and explicit unresolved/incompatible findings.</w:t>
      </w:r>
    </w:p>
    <w:p>
      <w:pPr>
        <w:pStyle w:val="ListNumber"/>
      </w:pPr>
      <w:r>
        <w:t>Run a supported CPU or simulation workflow and capture a reproducible evidence record.</w:t>
      </w:r>
    </w:p>
    <w:p>
      <w:pPr>
        <w:pStyle w:val="ListNumber"/>
      </w:pPr>
      <w:r>
        <w:t>Change one variable (topology, node count, link delay, resource allocation or algorithm), rerun and compare.</w:t>
      </w:r>
    </w:p>
    <w:p>
      <w:pPr>
        <w:pStyle w:val="ListNumber"/>
      </w:pPr>
      <w:r>
        <w:t>Preserve both configuration versions and evidence; label execution mode and limitations.</w:t>
      </w:r>
    </w:p>
    <w:p>
      <w:r>
        <w:t>Acceptance: valid configurations pass; invalid/unresolved references are explicit; incompatible resources are not silently substituted; planning causes no mutation; results link to configuration and versions; execution mode and limitations are visible; timing claims are not made without measurement.</w:t>
      </w:r>
    </w:p>
    <w:p>
      <w:pPr>
        <w:pStyle w:val="Heading1"/>
      </w:pPr>
      <w:r>
        <w:t>12.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Exit evidence</w:t>
            </w:r>
          </w:p>
        </w:tc>
      </w:tr>
      <w:tr>
        <w:tc>
          <w:tcPr>
            <w:tcW w:type="dxa" w:w="3360"/>
          </w:tcPr>
          <w:p>
            <w:r>
              <w:t>0 — Discover</w:t>
            </w:r>
          </w:p>
        </w:tc>
        <w:tc>
          <w:tcPr>
            <w:tcW w:type="dxa" w:w="3360"/>
          </w:tcPr>
          <w:p>
            <w:r>
              <w:t>Workload needs, current assets, constraints, security and operating conditions.</w:t>
            </w:r>
          </w:p>
        </w:tc>
        <w:tc>
          <w:tcPr>
            <w:tcW w:type="dxa" w:w="3360"/>
          </w:tcPr>
          <w:p>
            <w:r>
              <w:t>Approved requirements and current-state inventory.</w:t>
            </w:r>
          </w:p>
        </w:tc>
      </w:tr>
      <w:tr>
        <w:tc>
          <w:tcPr>
            <w:tcW w:type="dxa" w:w="3360"/>
          </w:tcPr>
          <w:p>
            <w:r>
              <w:t>1 — Model</w:t>
            </w:r>
          </w:p>
        </w:tc>
        <w:tc>
          <w:tcPr>
            <w:tcW w:type="dxa" w:w="3360"/>
          </w:tcPr>
          <w:p>
            <w:r>
              <w:t>Versioned topology/workload/resource descriptors; reuse existing contracts where compatible.</w:t>
            </w:r>
          </w:p>
        </w:tc>
        <w:tc>
          <w:tcPr>
            <w:tcW w:type="dxa" w:w="3360"/>
          </w:tcPr>
          <w:p>
            <w:r>
              <w:t>Contract/schema tests and sample configuration.</w:t>
            </w:r>
          </w:p>
        </w:tc>
      </w:tr>
      <w:tr>
        <w:tc>
          <w:tcPr>
            <w:tcW w:type="dxa" w:w="3360"/>
          </w:tcPr>
          <w:p>
            <w:r>
              <w:t>2 — Virtual experiment</w:t>
            </w:r>
          </w:p>
        </w:tc>
        <w:tc>
          <w:tcPr>
            <w:tcW w:type="dxa" w:w="3360"/>
          </w:tcPr>
          <w:p>
            <w:r>
              <w:t>Topology validation, planning-only bindings, CPU/simulation and evidence capture.</w:t>
            </w:r>
          </w:p>
        </w:tc>
        <w:tc>
          <w:tcPr>
            <w:tcW w:type="dxa" w:w="3360"/>
          </w:tcPr>
          <w:p>
            <w:r>
              <w:t>Reproducible end-to-end demonstrator.</w:t>
            </w:r>
          </w:p>
        </w:tc>
      </w:tr>
      <w:tr>
        <w:tc>
          <w:tcPr>
            <w:tcW w:type="dxa" w:w="3360"/>
          </w:tcPr>
          <w:p>
            <w:r>
              <w:t>3 — Federated simulation</w:t>
            </w:r>
          </w:p>
        </w:tc>
        <w:tc>
          <w:tcPr>
            <w:tcW w:type="dxa" w:w="3360"/>
          </w:tcPr>
          <w:p>
            <w:r>
              <w:t>Integrate selected classical-network, quantum-network and FPGA models/adapters.</w:t>
            </w:r>
          </w:p>
        </w:tc>
        <w:tc>
          <w:tcPr>
            <w:tcW w:type="dxa" w:w="3360"/>
          </w:tcPr>
          <w:p>
            <w:r>
              <w:t>Compatibility report and repeatable scenario.</w:t>
            </w:r>
          </w:p>
        </w:tc>
      </w:tr>
      <w:tr>
        <w:tc>
          <w:tcPr>
            <w:tcW w:type="dxa" w:w="3360"/>
          </w:tcPr>
          <w:p>
            <w:r>
              <w:t>4 — Qualified acceleration</w:t>
            </w:r>
          </w:p>
        </w:tc>
        <w:tc>
          <w:tcPr>
            <w:tcW w:type="dxa" w:w="3360"/>
          </w:tcPr>
          <w:p>
            <w:r>
              <w:t>Benchmark candidate GPU/FPGA/RFSoC against defined requirements.</w:t>
            </w:r>
          </w:p>
        </w:tc>
        <w:tc>
          <w:tcPr>
            <w:tcW w:type="dxa" w:w="3360"/>
          </w:tcPr>
          <w:p>
            <w:r>
              <w:t>Measured benchmark and environment qualification.</w:t>
            </w:r>
          </w:p>
        </w:tc>
      </w:tr>
      <w:tr>
        <w:tc>
          <w:tcPr>
            <w:tcW w:type="dxa" w:w="3360"/>
          </w:tcPr>
          <w:p>
            <w:r>
              <w:t>5 — HIL / hybrid</w:t>
            </w:r>
          </w:p>
        </w:tc>
        <w:tc>
          <w:tcPr>
            <w:tcW w:type="dxa" w:w="3360"/>
          </w:tcPr>
          <w:p>
            <w:r>
              <w:t>Integrate accessible physical devices with controlled timing and authorization.</w:t>
            </w:r>
          </w:p>
        </w:tc>
        <w:tc>
          <w:tcPr>
            <w:tcW w:type="dxa" w:w="3360"/>
          </w:tcPr>
          <w:p>
            <w:r>
              <w:t>Evidence stating physical/simulated boundaries.</w:t>
            </w:r>
          </w:p>
        </w:tc>
      </w:tr>
      <w:tr>
        <w:tc>
          <w:tcPr>
            <w:tcW w:type="dxa" w:w="3360"/>
          </w:tcPr>
          <w:p>
            <w:r>
              <w:t>6 — Closed-loop QAI</w:t>
            </w:r>
          </w:p>
        </w:tc>
        <w:tc>
          <w:tcPr>
            <w:tcW w:type="dxa" w:w="3360"/>
          </w:tcPr>
          <w:p>
            <w:r>
              <w:t>Recommend/select bounded follow-on experiments from evidence.</w:t>
            </w:r>
          </w:p>
        </w:tc>
        <w:tc>
          <w:tcPr>
            <w:tcW w:type="dxa" w:w="3360"/>
          </w:tcPr>
          <w:p>
            <w:r>
              <w:t>Traceable recommendations and guardrails.</w:t>
            </w:r>
          </w:p>
        </w:tc>
      </w:tr>
      <w:tr>
        <w:tc>
          <w:tcPr>
            <w:tcW w:type="dxa" w:w="3360"/>
          </w:tcPr>
          <w:p>
            <w:r>
              <w:t>7 — Scale</w:t>
            </w:r>
          </w:p>
        </w:tc>
        <w:tc>
          <w:tcPr>
            <w:tcW w:type="dxa" w:w="3360"/>
          </w:tcPr>
          <w:p>
            <w:r>
              <w:t>Multi-site federation, resilience, interoperability and optimization.</w:t>
            </w:r>
          </w:p>
        </w:tc>
        <w:tc>
          <w:tcPr>
            <w:tcW w:type="dxa" w:w="3360"/>
          </w:tcPr>
          <w:p>
            <w:r>
              <w:t>Security, recovery and performance evidence.</w:t>
            </w:r>
          </w:p>
        </w:tc>
      </w:tr>
    </w:tbl>
    <w:p/>
    <w:p>
      <w:r>
        <w:t>Stages are capability-led, not a requirement to buy every hardware type. Advance only when requirements and evidence justify it.</w:t>
      </w:r>
    </w:p>
    <w:p>
      <w:pPr>
        <w:pStyle w:val="Heading1"/>
      </w:pPr>
      <w:r>
        <w:t>13. Contract and interface rules</w:t>
      </w:r>
    </w:p>
    <w:p>
      <w:pPr>
        <w:pStyle w:val="ListBullet"/>
      </w:pPr>
      <w:r>
        <w:t>Use stable logical references; do not confuse display labels with identity.</w:t>
      </w:r>
    </w:p>
    <w:p>
      <w:pPr>
        <w:pStyle w:val="ListBullet"/>
      </w:pPr>
      <w:r>
        <w:t>Keep logical topology separate from environment-specific bindings.</w:t>
      </w:r>
    </w:p>
    <w:p>
      <w:pPr>
        <w:pStyle w:val="ListBullet"/>
      </w:pPr>
      <w:r>
        <w:t>Capability descriptors state supported behavior, evidence and limitations.</w:t>
      </w:r>
    </w:p>
    <w:p>
      <w:pPr>
        <w:pStyle w:val="ListBullet"/>
      </w:pPr>
      <w:r>
        <w:t>Resolver outcomes explicitly include invalid, unresolved, ambiguous and incompatible cases.</w:t>
      </w:r>
    </w:p>
    <w:p>
      <w:pPr>
        <w:pStyle w:val="ListBullet"/>
      </w:pPr>
      <w:r>
        <w:t>Review and reuse existing QAI Deployment Operator/resource-profile contracts before adding schemas; avoid duplicate resource definitions.</w:t>
      </w:r>
    </w:p>
    <w:p>
      <w:pPr>
        <w:pStyle w:val="ListBullet"/>
      </w:pPr>
      <w:r>
        <w:t>Deployment plans list selected resources, unmet requirements, assumptions, limitations, required approvals and proposed operations.</w:t>
      </w:r>
    </w:p>
    <w:p>
      <w:pPr>
        <w:pStyle w:val="ListBullet"/>
      </w:pPr>
      <w:r>
        <w:t>Schema validity does not prove a resource exists, is accessible, qualified or authorized.</w:t>
      </w:r>
    </w:p>
    <w:p>
      <w:pPr>
        <w:pStyle w:val="Heading1"/>
      </w:pPr>
      <w:r>
        <w:t>14. Diagram consolidation policy</w:t>
      </w:r>
    </w:p>
    <w:p>
      <w:r>
        <w:t>Do not reproduce every image from the raw source. Keep a canonical set of diagrams with distinct purposes:</w:t>
      </w:r>
    </w:p>
    <w:p>
      <w:pPr>
        <w:pStyle w:val="ListBullet"/>
      </w:pPr>
      <w:r>
        <w:t>A. Logical architecture: workflow/configuration/registry → validation → virtual execution → deployment/adapters → fabrics → evidence.</w:t>
      </w:r>
    </w:p>
    <w:p>
      <w:pPr>
        <w:pStyle w:val="ListBullet"/>
      </w:pPr>
      <w:r>
        <w:t>B. Execution-mode progression: planning → classical/simulation/emulation → HIL → physical → optional feedback/closed loop.</w:t>
      </w:r>
    </w:p>
    <w:p>
      <w:pPr>
        <w:pStyle w:val="ListBullet"/>
      </w:pPr>
      <w:r>
        <w:t>C. Logical topology versus environment-specific execution bindings.</w:t>
      </w:r>
    </w:p>
    <w:p>
      <w:pPr>
        <w:pStyle w:val="ListBullet"/>
      </w:pPr>
      <w:r>
        <w:t>D. Federated QAI Lab: classical network, quantum network, FPGA/timing and application/domain models coordinated by experiment management.</w:t>
      </w:r>
    </w:p>
    <w:p>
      <w:pPr>
        <w:pStyle w:val="ListBullet"/>
      </w:pPr>
      <w:r>
        <w:t>E. Optional hardware reference images only when they explain a real interface; mark vendor products as examples, not requirements.</w:t>
      </w:r>
    </w:p>
    <w:p>
      <w:r>
        <w:t>Where diagrams differ, this normalized architecture and the implementation contracts govern. Each retained diagram must be labelled conceptual, implemented or measured, and include version/date.</w:t>
      </w:r>
    </w:p>
    <w:p>
      <w:pPr>
        <w:pStyle w:val="Heading1"/>
      </w:pPr>
      <w:r>
        <w:t>15. Source-of-truth governance</w:t>
      </w:r>
    </w:p>
    <w:p>
      <w:pPr>
        <w:pStyle w:val="ListBullet"/>
      </w:pPr>
      <w:r>
        <w:t>This document is the authoritative conceptual architecture baseline for QAI Datacenter.</w:t>
      </w:r>
    </w:p>
    <w:p>
      <w:pPr>
        <w:pStyle w:val="ListBullet"/>
      </w:pPr>
      <w:r>
        <w:t>Executable schemas and implementation contracts remain authoritative for their own field-level interfaces; this document does not silently override them.</w:t>
      </w:r>
    </w:p>
    <w:p>
      <w:pPr>
        <w:pStyle w:val="ListBullet"/>
      </w:pPr>
      <w:r>
        <w:t>FPGA Design becomes a supporting engineering archive; Operating Modes and Evolution becomes a supporting roadmap/reference.</w:t>
      </w:r>
    </w:p>
    <w:p>
      <w:pPr>
        <w:pStyle w:val="ListBullet"/>
      </w:pPr>
      <w:r>
        <w:t>Change decisions here first, record rationale, then align downstream diagrams, schemas, tests and implementation.</w:t>
      </w:r>
    </w:p>
    <w:p>
      <w:pPr>
        <w:pStyle w:val="ListBullet"/>
      </w:pPr>
      <w:r>
        <w:t>Track status as Proposed / Designed / Implemented / Tested / Measured / Deployed; advance only with evidence.</w:t>
      </w:r>
    </w:p>
    <w:p>
      <w:pPr>
        <w:pStyle w:val="Heading1"/>
      </w:pPr>
      <w:r>
        <w:t>16. Fixed architectural decisions</w:t>
      </w:r>
    </w:p>
    <w:p>
      <w:pPr>
        <w:pStyle w:val="ListNumber"/>
      </w:pPr>
      <w:r>
        <w:t>QAI Datacenter is virtual-first, topology-independent, heterogeneous and evidence-driven.</w:t>
      </w:r>
    </w:p>
    <w:p>
      <w:pPr>
        <w:pStyle w:val="ListNumber"/>
      </w:pPr>
      <w:r>
        <w:t>QAI Lab is its experimentation capability; FAEP is the broader federation/orchestration/governance context.</w:t>
      </w:r>
    </w:p>
    <w:p>
      <w:pPr>
        <w:pStyle w:val="ListNumber"/>
      </w:pPr>
      <w:r>
        <w:t>Logical topology, resource requirements and execution bindings are separate models.</w:t>
      </w:r>
    </w:p>
    <w:p>
      <w:pPr>
        <w:pStyle w:val="ListNumber"/>
      </w:pPr>
      <w:r>
        <w:t>Fabrics are capability-oriented; vendor-specific behavior sits behind adapters.</w:t>
      </w:r>
    </w:p>
    <w:p>
      <w:pPr>
        <w:pStyle w:val="ListNumber"/>
      </w:pPr>
      <w:r>
        <w:t>Open-loop planning/execution/evidence is first; closed-loop learning is later.</w:t>
      </w:r>
    </w:p>
    <w:p>
      <w:pPr>
        <w:pStyle w:val="ListNumber"/>
      </w:pPr>
      <w:r>
        <w:t>Simulation, emulation, HIL and physical execution are distinct evidence classes.</w:t>
      </w:r>
    </w:p>
    <w:p>
      <w:pPr>
        <w:pStyle w:val="ListNumber"/>
      </w:pPr>
      <w:r>
        <w:t>Classical control/information transfer is distinct from actual quantum-state transmission.</w:t>
      </w:r>
    </w:p>
    <w:p>
      <w:pPr>
        <w:pStyle w:val="ListNumber"/>
      </w:pPr>
      <w:r>
        <w:t>Environment qualification is workload-specific and evidence-based.</w:t>
      </w:r>
    </w:p>
    <w:p>
      <w:pPr>
        <w:pStyle w:val="ListNumber"/>
      </w:pPr>
      <w:r>
        <w:t>No quantum advantage, deterministic timing or physical capability is claimed without appropriate evidence.</w:t>
      </w:r>
    </w:p>
    <w:p>
      <w:pPr>
        <w:pStyle w:val="ListNumber"/>
      </w:pPr>
      <w:r>
        <w:t>Review and reuse deployment contracts before introducing new contracts.</w:t>
      </w:r>
    </w:p>
    <w:p>
      <w:pPr>
        <w:pStyle w:val="Heading1"/>
      </w:pPr>
      <w:r>
        <w:t>17.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QAI Datacenter</w:t>
            </w:r>
          </w:p>
        </w:tc>
        <w:tc>
          <w:tcPr>
            <w:tcW w:type="dxa" w:w="5040"/>
          </w:tcPr>
          <w:p>
            <w:r>
              <w:t>Configurable platform and target-environment model for heterogeneous QAI workloads.</w:t>
            </w:r>
          </w:p>
        </w:tc>
      </w:tr>
      <w:tr>
        <w:tc>
          <w:tcPr>
            <w:tcW w:type="dxa" w:w="5040"/>
          </w:tcPr>
          <w:p>
            <w:r>
              <w:t>QAI Lab</w:t>
            </w:r>
          </w:p>
        </w:tc>
        <w:tc>
          <w:tcPr>
            <w:tcW w:type="dxa" w:w="5040"/>
          </w:tcPr>
          <w:p>
            <w:r>
              <w:t>Experiment-management/execution capability for reproducible virtual, simulated, emulated and supported physical experiments.</w:t>
            </w:r>
          </w:p>
        </w:tc>
      </w:tr>
      <w:tr>
        <w:tc>
          <w:tcPr>
            <w:tcW w:type="dxa" w:w="5040"/>
          </w:tcPr>
          <w:p>
            <w:r>
              <w:t>FAEP</w:t>
            </w:r>
          </w:p>
        </w:tc>
        <w:tc>
          <w:tcPr>
            <w:tcW w:type="dxa" w:w="5040"/>
          </w:tcPr>
          <w:p>
            <w:r>
              <w:t>Broader federation, orchestration, governance and resource-mapping context.</w:t>
            </w:r>
          </w:p>
        </w:tc>
      </w:tr>
      <w:tr>
        <w:tc>
          <w:tcPr>
            <w:tcW w:type="dxa" w:w="5040"/>
          </w:tcPr>
          <w:p>
            <w:r>
              <w:t>Fabric</w:t>
            </w:r>
          </w:p>
        </w:tc>
        <w:tc>
          <w:tcPr>
            <w:tcW w:type="dxa" w:w="5040"/>
          </w:tcPr>
          <w:p>
            <w:r>
              <w:t>Capability-oriented abstraction for a class of resources and interfaces.</w:t>
            </w:r>
          </w:p>
        </w:tc>
      </w:tr>
      <w:tr>
        <w:tc>
          <w:tcPr>
            <w:tcW w:type="dxa" w:w="5040"/>
          </w:tcPr>
          <w:p>
            <w:r>
              <w:t>QSC</w:t>
            </w:r>
          </w:p>
        </w:tc>
        <w:tc>
          <w:tcPr>
            <w:tcW w:type="dxa" w:w="5040"/>
          </w:tcPr>
          <w:p>
            <w:r>
              <w:t>Quantum-system control capability/equipment; details depend on device/interface.</w:t>
            </w:r>
          </w:p>
        </w:tc>
      </w:tr>
      <w:tr>
        <w:tc>
          <w:tcPr>
            <w:tcW w:type="dxa" w:w="5040"/>
          </w:tcPr>
          <w:p>
            <w:r>
              <w:t>QPU</w:t>
            </w:r>
          </w:p>
        </w:tc>
        <w:tc>
          <w:tcPr>
            <w:tcW w:type="dxa" w:w="5040"/>
          </w:tcPr>
          <w:p>
            <w:r>
              <w:t>Quantum processing unit or accessible quantum execution resource.</w:t>
            </w:r>
          </w:p>
        </w:tc>
      </w:tr>
      <w:tr>
        <w:tc>
          <w:tcPr>
            <w:tcW w:type="dxa" w:w="5040"/>
          </w:tcPr>
          <w:p>
            <w:r>
              <w:t>Logical topology</w:t>
            </w:r>
          </w:p>
        </w:tc>
        <w:tc>
          <w:tcPr>
            <w:tcW w:type="dxa" w:w="5040"/>
          </w:tcPr>
          <w:p>
            <w:r>
              <w:t>Target-independent graph of roles, links, dependencies and constraints.</w:t>
            </w:r>
          </w:p>
        </w:tc>
      </w:tr>
      <w:tr>
        <w:tc>
          <w:tcPr>
            <w:tcW w:type="dxa" w:w="5040"/>
          </w:tcPr>
          <w:p>
            <w:r>
              <w:t>Execution binding</w:t>
            </w:r>
          </w:p>
        </w:tc>
        <w:tc>
          <w:tcPr>
            <w:tcW w:type="dxa" w:w="5040"/>
          </w:tcPr>
          <w:p>
            <w:r>
              <w:t>Mapping from logical requirements to resources in a particular environment.</w:t>
            </w:r>
          </w:p>
        </w:tc>
      </w:tr>
      <w:tr>
        <w:tc>
          <w:tcPr>
            <w:tcW w:type="dxa" w:w="5040"/>
          </w:tcPr>
          <w:p>
            <w:r>
              <w:t>Simulation / emulation / HIL</w:t>
            </w:r>
          </w:p>
        </w:tc>
        <w:tc>
          <w:tcPr>
            <w:tcW w:type="dxa" w:w="5040"/>
          </w:tcPr>
          <w:p>
            <w:r>
              <w:t>Model execution / emulated interface behavior / combined physical and simulated components.</w:t>
            </w:r>
          </w:p>
        </w:tc>
      </w:tr>
      <w:tr>
        <w:tc>
          <w:tcPr>
            <w:tcW w:type="dxa" w:w="5040"/>
          </w:tcPr>
          <w:p>
            <w:r>
              <w:t>Evidence record</w:t>
            </w:r>
          </w:p>
        </w:tc>
        <w:tc>
          <w:tcPr>
            <w:tcW w:type="dxa" w:w="5040"/>
          </w:tcPr>
          <w:p>
            <w:r>
              <w:t>Version-linked configuration, execution mode, outputs, metrics, provenance and limitations.</w:t>
            </w:r>
          </w:p>
        </w:tc>
      </w:tr>
    </w:tbl>
    <w:p/>
    <w:p>
      <w:pPr>
        <w:pStyle w:val="Heading1"/>
      </w:pPr>
      <w:r>
        <w:t>Appendix A — Source documents consolidated</w:t>
      </w:r>
    </w:p>
    <w:p>
      <w:pPr>
        <w:pStyle w:val="ListBullet"/>
      </w:pPr>
      <w:r>
        <w:t>QAI Datacenter — Design, Scaling &amp; Experimentation Blueprint: primary source for principles, component architecture, topology, assets, UX and roadmap.</w:t>
      </w:r>
    </w:p>
    <w:p>
      <w:pPr>
        <w:pStyle w:val="ListBullet"/>
      </w:pPr>
      <w:r>
        <w:t>QAI Datacenter — Operating Modes and Evolution: source for open-loop baseline, closed-loop evolution and feedback guardrails.</w:t>
      </w:r>
    </w:p>
    <w:p>
      <w:pPr>
        <w:pStyle w:val="ListBullet"/>
      </w:pPr>
      <w:r>
        <w:t>FPGA Design.docx: supporting archive for FPGA Fabric, QAI Lab, federated networking simulation, timing, qualification, virtual topology and experiments.</w:t>
      </w:r>
    </w:p>
    <w:p>
      <w:pPr>
        <w:pStyle w:val="ListBullet"/>
      </w:pPr>
      <w:r>
        <w:t>Earlier QAI Datacenter first-blueprint and related architecture notes: retained as prior artifacts; reconcile future decisions into this master.</w:t>
      </w:r>
    </w:p>
    <w:p>
      <w:pPr>
        <w:jc w:val="right"/>
      </w:pPr>
      <w:r>
        <w:t>@vijaymohire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Bhadale IT / QAI • Architecture baseline v1.0 • Proposed design; implementation claims require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B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55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