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1147c70e56c1a3a53c142de9c59de6127dc790b"/>
    <w:p>
      <w:pPr>
        <w:pStyle w:val="Heading1"/>
      </w:pPr>
      <w:r>
        <w:t xml:space="preserve">Universal Quantum Computing (UQC) Framework – Order Delivery Model</w:t>
      </w:r>
    </w:p>
    <w:bookmarkStart w:id="20" w:name="introduction"/>
    <w:p>
      <w:pPr>
        <w:pStyle w:val="Heading2"/>
      </w:pPr>
      <w:r>
        <w:t xml:space="preserve">1. Introduction</w:t>
      </w:r>
    </w:p>
    <w:p>
      <w:pPr>
        <w:pStyle w:val="FirstParagraph"/>
      </w:pPr>
      <w:r>
        <w:t xml:space="preserve">The Universal Quantum Computing (UQC) framework provides a structured enterprise-grade model for processing</w:t>
      </w:r>
      <w:r>
        <w:t xml:space="preserve"> </w:t>
      </w:r>
      <w:r>
        <w:rPr>
          <w:b/>
          <w:bCs/>
        </w:rPr>
        <w:t xml:space="preserve">client orders</w:t>
      </w:r>
      <w:r>
        <w:t xml:space="preserve"> </w:t>
      </w:r>
      <w:r>
        <w:t xml:space="preserve">into</w:t>
      </w:r>
      <w:r>
        <w:t xml:space="preserve"> </w:t>
      </w:r>
      <w:r>
        <w:rPr>
          <w:b/>
          <w:bCs/>
        </w:rPr>
        <w:t xml:space="preserve">customized quantum deliverables</w:t>
      </w:r>
      <w:r>
        <w:t xml:space="preserve">. It integrates relativistic and non-relativistic quantum computation classes, theoretical mappings (Dirac, Schrödinger, Lindblad, Feynman diagrams, Spin-Foam models), and enterprise-level operations (QAI Ops, Business Transformation, compliance, packaging).</w:t>
      </w:r>
    </w:p>
    <w:p>
      <w:pPr>
        <w:pStyle w:val="BodyText"/>
      </w:pPr>
      <w:r>
        <w:t xml:space="preserve">This framework aligns with the vision of a</w:t>
      </w:r>
      <w:r>
        <w:t xml:space="preserve"> </w:t>
      </w:r>
      <w:r>
        <w:rPr>
          <w:b/>
          <w:bCs/>
        </w:rPr>
        <w:t xml:space="preserve">true universal machine</w:t>
      </w:r>
      <w:r>
        <w:t xml:space="preserve"> </w:t>
      </w:r>
      <w:r>
        <w:t xml:space="preserve">capable of computation + communication tasks, adhering to requirements of Grand Unified Theory (GUT), Theory of Everything (ToE), and enterprise operational standards.</w:t>
      </w:r>
    </w:p>
    <w:p>
      <w:r>
        <w:pict>
          <v:rect style="width:0;height:1.5pt" o:hralign="center" o:hrstd="t" o:hr="t"/>
        </w:pict>
      </w:r>
    </w:p>
    <w:bookmarkEnd w:id="20"/>
    <w:bookmarkStart w:id="21" w:name="framework-layers-enterprise-onion-model"/>
    <w:p>
      <w:pPr>
        <w:pStyle w:val="Heading2"/>
      </w:pPr>
      <w:r>
        <w:t xml:space="preserve">2. Framework Layers (Enterprise Onion Model)</w:t>
      </w:r>
    </w:p>
    <w:p>
      <w:pPr>
        <w:pStyle w:val="FirstParagraph"/>
      </w:pPr>
      <w:r>
        <w:rPr>
          <w:b/>
          <w:bCs/>
        </w:rPr>
        <w:t xml:space="preserve">Outer Layer – Client-Facing</w:t>
      </w:r>
      <w:r>
        <w:br/>
      </w:r>
      <w:r>
        <w:t xml:space="preserve">- UQC Suite Offerings, Client Portal, Glass Dashboards.</w:t>
      </w:r>
      <w:r>
        <w:br/>
      </w:r>
      <w:r>
        <w:t xml:space="preserve">- Order intake, client interaction, visualizations.</w:t>
      </w:r>
    </w:p>
    <w:p>
      <w:pPr>
        <w:pStyle w:val="BodyText"/>
      </w:pPr>
      <w:r>
        <w:rPr>
          <w:b/>
          <w:bCs/>
        </w:rPr>
        <w:t xml:space="preserve">Middle Layer – Ops + Transformation</w:t>
      </w:r>
      <w:r>
        <w:br/>
      </w:r>
      <w:r>
        <w:t xml:space="preserve">- QAI Ops, ComputeOps, CommsOps, FieldOps, DatacenterOps.</w:t>
      </w:r>
      <w:r>
        <w:br/>
      </w:r>
      <w:r>
        <w:t xml:space="preserve">- Business Transformation &amp; Compliance Engine.</w:t>
      </w:r>
    </w:p>
    <w:p>
      <w:pPr>
        <w:pStyle w:val="BodyText"/>
      </w:pPr>
      <w:r>
        <w:rPr>
          <w:b/>
          <w:bCs/>
        </w:rPr>
        <w:t xml:space="preserve">Inner Layer – Knowledge Base + Agents</w:t>
      </w:r>
      <w:r>
        <w:br/>
      </w:r>
      <w:r>
        <w:t xml:space="preserve">- Equation Mapping DB (Dirac, Schrödinger, Lindblad).</w:t>
      </w:r>
      <w:r>
        <w:br/>
      </w:r>
      <w:r>
        <w:t xml:space="preserve">- Canonical Agent (Path Integral / Hamiltonian).</w:t>
      </w:r>
      <w:r>
        <w:br/>
      </w:r>
      <w:r>
        <w:t xml:space="preserve">- Diagram Agent (Feynman, Spin-Foam).</w:t>
      </w:r>
      <w:r>
        <w:br/>
      </w:r>
      <w:r>
        <w:t xml:space="preserve">- Refinement Agent (auto-tuning fidelity thresholds).</w:t>
      </w:r>
    </w:p>
    <w:p>
      <w:pPr>
        <w:pStyle w:val="BodyText"/>
      </w:pPr>
      <w:r>
        <w:rPr>
          <w:b/>
          <w:bCs/>
        </w:rPr>
        <w:t xml:space="preserve">Core – Theory Kernels</w:t>
      </w:r>
      <w:r>
        <w:br/>
      </w:r>
      <w:r>
        <w:t xml:space="preserve">- Relativistic QFT Modules (transportation, navigation, space).</w:t>
      </w:r>
      <w:r>
        <w:br/>
      </w:r>
      <w:r>
        <w:t xml:space="preserve">- Non-Relativistic Kernels (stationary systems: data centers, factories).</w:t>
      </w:r>
      <w:r>
        <w:br/>
      </w:r>
      <w:r>
        <w:t xml:space="preserve">- Hybrid Kernels supporting dynamic switch between classes.</w:t>
      </w:r>
    </w:p>
    <w:p>
      <w:r>
        <w:pict>
          <v:rect style="width:0;height:1.5pt" o:hralign="center" o:hrstd="t" o:hr="t"/>
        </w:pict>
      </w:r>
    </w:p>
    <w:bookmarkEnd w:id="21"/>
    <w:bookmarkStart w:id="22" w:name="order-delivery-pipeline-phases"/>
    <w:p>
      <w:pPr>
        <w:pStyle w:val="Heading2"/>
      </w:pPr>
      <w:r>
        <w:t xml:space="preserve">3. Order → Delivery Pipeline (Phases)</w:t>
      </w:r>
    </w:p>
    <w:p>
      <w:pPr>
        <w:pStyle w:val="FirstParagraph"/>
      </w:pPr>
      <w:r>
        <w:rPr>
          <w:b/>
          <w:bCs/>
        </w:rPr>
        <w:t xml:space="preserve">Phase 1 – Order Intake</w:t>
      </w:r>
      <w:r>
        <w:br/>
      </w:r>
      <w:r>
        <w:t xml:space="preserve">- Client submits requirement via UQC portal.</w:t>
      </w:r>
      <w:r>
        <w:br/>
      </w:r>
      <w:r>
        <w:t xml:space="preserve">- Example:</w:t>
      </w:r>
      <w:r>
        <w:t xml:space="preserve"> </w:t>
      </w:r>
      <w:r>
        <w:rPr>
          <w:i/>
          <w:iCs/>
        </w:rPr>
        <w:t xml:space="preserve">Space agency requests satellite quantum communication PoC.</w:t>
      </w:r>
    </w:p>
    <w:p>
      <w:pPr>
        <w:pStyle w:val="BodyText"/>
      </w:pPr>
      <w:r>
        <w:rPr>
          <w:b/>
          <w:bCs/>
        </w:rPr>
        <w:t xml:space="preserve">Phase 2 – Class Selection &amp; Validation</w:t>
      </w:r>
      <w:r>
        <w:br/>
      </w:r>
      <w:r>
        <w:t xml:space="preserve">- System determines if problem is relativistic or non-relativistic.</w:t>
      </w:r>
      <w:r>
        <w:br/>
      </w:r>
      <w:r>
        <w:t xml:space="preserve">- Validates feasibility (velocity &lt; c, decoherence model suitability).</w:t>
      </w:r>
    </w:p>
    <w:p>
      <w:pPr>
        <w:pStyle w:val="BodyText"/>
      </w:pPr>
      <w:r>
        <w:rPr>
          <w:b/>
          <w:bCs/>
        </w:rPr>
        <w:t xml:space="preserve">Phase 3 – Knowledge Mapping</w:t>
      </w:r>
      <w:r>
        <w:br/>
      </w:r>
      <w:r>
        <w:t xml:space="preserve">- Selects equations (Dirac + Lindblad for relativistic).</w:t>
      </w:r>
      <w:r>
        <w:br/>
      </w:r>
      <w:r>
        <w:t xml:space="preserve">- Chooses canonical representation (Path Integral, Density Matrix).</w:t>
      </w:r>
      <w:r>
        <w:br/>
      </w:r>
      <w:r>
        <w:t xml:space="preserve">- Generates required Feynman diagrams.</w:t>
      </w:r>
    </w:p>
    <w:p>
      <w:pPr>
        <w:pStyle w:val="BodyText"/>
      </w:pPr>
      <w:r>
        <w:rPr>
          <w:b/>
          <w:bCs/>
        </w:rPr>
        <w:t xml:space="preserve">Phase 4 – Workflow Composition</w:t>
      </w:r>
      <w:r>
        <w:br/>
      </w:r>
      <w:r>
        <w:t xml:space="preserve">- Composes pipeline: init_state → compute_time_dilation → apply_noise → run_monitor → visualize.</w:t>
      </w:r>
    </w:p>
    <w:p>
      <w:pPr>
        <w:pStyle w:val="BodyText"/>
      </w:pPr>
      <w:r>
        <w:rPr>
          <w:b/>
          <w:bCs/>
        </w:rPr>
        <w:t xml:space="preserve">Phase 5 – Orchestration</w:t>
      </w:r>
      <w:r>
        <w:br/>
      </w:r>
      <w:r>
        <w:t xml:space="preserve">- Allocates compute resources (simulator node / QPU backend).</w:t>
      </w:r>
      <w:r>
        <w:br/>
      </w:r>
      <w:r>
        <w:t xml:space="preserve">- Ensures compliance and PQC readiness.</w:t>
      </w:r>
    </w:p>
    <w:p>
      <w:pPr>
        <w:pStyle w:val="BodyText"/>
      </w:pPr>
      <w:r>
        <w:rPr>
          <w:b/>
          <w:bCs/>
        </w:rPr>
        <w:t xml:space="preserve">Phase 6 – Execution</w:t>
      </w:r>
      <w:r>
        <w:br/>
      </w:r>
      <w:r>
        <w:t xml:space="preserve">- Runs PoC simulation: entanglement decay under amplitude damping with relativistic correction.</w:t>
      </w:r>
      <w:r>
        <w:br/>
      </w:r>
      <w:r>
        <w:t xml:space="preserve">- Outputs fidelity + concurrence curves, diagram placeholders.</w:t>
      </w:r>
    </w:p>
    <w:p>
      <w:pPr>
        <w:pStyle w:val="BodyText"/>
      </w:pPr>
      <w:r>
        <w:rPr>
          <w:b/>
          <w:bCs/>
        </w:rPr>
        <w:t xml:space="preserve">Phase 7 – Refinement</w:t>
      </w:r>
      <w:r>
        <w:br/>
      </w:r>
      <w:r>
        <w:t xml:space="preserve">- Auto-tunes: increases time resolution, adjusts Γ, simulates QEC improvements.</w:t>
      </w:r>
      <w:r>
        <w:br/>
      </w:r>
      <w:r>
        <w:t xml:space="preserve">- Re-runs until fidelity threshold is achieved.</w:t>
      </w:r>
    </w:p>
    <w:p>
      <w:pPr>
        <w:pStyle w:val="BodyText"/>
      </w:pPr>
      <w:r>
        <w:rPr>
          <w:b/>
          <w:bCs/>
        </w:rPr>
        <w:t xml:space="preserve">Phase 8 – Packaging &amp; Delivery</w:t>
      </w:r>
      <w:r>
        <w:br/>
      </w:r>
      <w:r>
        <w:t xml:space="preserve">- Packages results: plots, metrics, workflow JSON, compliance manifest.</w:t>
      </w:r>
      <w:r>
        <w:br/>
      </w:r>
      <w:r>
        <w:t xml:space="preserve">- Deliverable accessible to client via portal.</w:t>
      </w:r>
    </w:p>
    <w:p>
      <w:r>
        <w:pict>
          <v:rect style="width:0;height:1.5pt" o:hralign="center" o:hrstd="t" o:hr="t"/>
        </w:pict>
      </w:r>
    </w:p>
    <w:bookmarkEnd w:id="22"/>
    <w:bookmarkStart w:id="23" w:name="mathematical-anchors"/>
    <w:p>
      <w:pPr>
        <w:pStyle w:val="Heading2"/>
      </w:pPr>
      <w:r>
        <w:t xml:space="preserve">4. Mathematical Anchors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Relativistic Class</w:t>
      </w:r>
      <w:r>
        <w:t xml:space="preserve">: Dirac equation, QFT/QED/QCD mappings, Lindblad for open systems, Spin-Foam extension.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Non-Relativistic Class</w:t>
      </w:r>
      <w:r>
        <w:t xml:space="preserve">: Schrödinger equation, canonical Hamiltonian, Lindblad dynamics, perturbation diagrams.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Cross-Class Hybridization</w:t>
      </w:r>
      <w:r>
        <w:t xml:space="preserve">: mapping of master equations across classes for static vs dynamic apps.</w:t>
      </w:r>
    </w:p>
    <w:p>
      <w:r>
        <w:pict>
          <v:rect style="width:0;height:1.5pt" o:hralign="center" o:hrstd="t" o:hr="t"/>
        </w:pict>
      </w:r>
    </w:p>
    <w:bookmarkEnd w:id="23"/>
    <w:bookmarkStart w:id="24" w:name="visuals"/>
    <w:p>
      <w:pPr>
        <w:pStyle w:val="Heading2"/>
      </w:pPr>
      <w:r>
        <w:t xml:space="preserve">5. Visuals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Fidelity &amp; Concurrence Plot</w:t>
      </w:r>
      <w:r>
        <w:t xml:space="preserve">: Entanglement decay curves.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Feynman Placeholder Diagram</w:t>
      </w:r>
      <w:r>
        <w:t xml:space="preserve">: Photon exchange.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Enterprise Onion Diagram</w:t>
      </w:r>
      <w:r>
        <w:t xml:space="preserve">: UQC within enterprise layers.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Product Mapping Table</w:t>
      </w:r>
      <w:r>
        <w:t xml:space="preserve">: Onion layer → homegrown tools.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Merits Table</w:t>
      </w:r>
      <w:r>
        <w:t xml:space="preserve">: Why QAI framework benefits clients/researchers.</w:t>
      </w:r>
    </w:p>
    <w:p>
      <w:r>
        <w:pict>
          <v:rect style="width:0;height:1.5pt" o:hralign="center" o:hrstd="t" o:hr="t"/>
        </w:pict>
      </w:r>
    </w:p>
    <w:bookmarkEnd w:id="24"/>
    <w:bookmarkStart w:id="25" w:name="merits-of-using-qai-products"/>
    <w:p>
      <w:pPr>
        <w:pStyle w:val="Heading2"/>
      </w:pPr>
      <w:r>
        <w:t xml:space="preserve">6. Merits of Using QAI Products</w:t>
      </w:r>
    </w:p>
    <w:p>
      <w:pPr>
        <w:pStyle w:val="FirstParagraph"/>
      </w:pPr>
      <w:r>
        <w:rPr>
          <w:b/>
          <w:bCs/>
        </w:rPr>
        <w:t xml:space="preserve">For Clients</w:t>
      </w:r>
      <w:r>
        <w:br/>
      </w:r>
      <w:r>
        <w:t xml:space="preserve">- Reduced time-to-PoC, enterprise-grade compliance, faster delivery.</w:t>
      </w:r>
    </w:p>
    <w:p>
      <w:pPr>
        <w:pStyle w:val="BodyText"/>
      </w:pPr>
      <w:r>
        <w:rPr>
          <w:b/>
          <w:bCs/>
        </w:rPr>
        <w:t xml:space="preserve">For Researchers</w:t>
      </w:r>
      <w:r>
        <w:br/>
      </w:r>
      <w:r>
        <w:t xml:space="preserve">- Reusable pipelines, equation database, reproducibility, hybrid models.</w:t>
      </w:r>
    </w:p>
    <w:p>
      <w:pPr>
        <w:pStyle w:val="BodyText"/>
      </w:pPr>
      <w:r>
        <w:rPr>
          <w:b/>
          <w:bCs/>
        </w:rPr>
        <w:t xml:space="preserve">Strategic</w:t>
      </w:r>
      <w:r>
        <w:br/>
      </w:r>
      <w:r>
        <w:t xml:space="preserve">- R&amp;D-to-production pathway, PQC-ready, global compliance alignment.</w:t>
      </w:r>
    </w:p>
    <w:p>
      <w:r>
        <w:pict>
          <v:rect style="width:0;height:1.5pt" o:hralign="center" o:hrstd="t" o:hr="t"/>
        </w:pict>
      </w:r>
    </w:p>
    <w:bookmarkEnd w:id="25"/>
    <w:bookmarkStart w:id="26" w:name="deliverable-example-satellite-comms-poc"/>
    <w:p>
      <w:pPr>
        <w:pStyle w:val="Heading2"/>
      </w:pPr>
      <w:r>
        <w:t xml:space="preserve">7. Deliverable Example (Satellite Comms PoC)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Input</w:t>
      </w:r>
      <w:r>
        <w:t xml:space="preserve">: Satellite velocity β=0.0012, Γ=0.01, T=200s, N=200.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Output</w:t>
      </w:r>
      <w:r>
        <w:t xml:space="preserve">: Final fidelity ≈ 0.468 (without refinement).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Refinement</w:t>
      </w:r>
      <w:r>
        <w:t xml:space="preserve">: Auto-tuning increases steps / lowers Γ → improved fidelity.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Deliverables</w:t>
      </w:r>
      <w:r>
        <w:t xml:space="preserve">: Plots, diagrams, JSON workflow, manifest.</w:t>
      </w:r>
    </w:p>
    <w:p>
      <w:r>
        <w:pict>
          <v:rect style="width:0;height:1.5pt" o:hralign="center" o:hrstd="t" o:hr="t"/>
        </w:pict>
      </w:r>
    </w:p>
    <w:bookmarkEnd w:id="26"/>
    <w:bookmarkStart w:id="27" w:name="future-enhancements"/>
    <w:p>
      <w:pPr>
        <w:pStyle w:val="Heading2"/>
      </w:pPr>
      <w:r>
        <w:t xml:space="preserve">8. Future Enhancements</w:t>
      </w:r>
    </w:p>
    <w:p>
      <w:pPr>
        <w:pStyle w:val="Compact"/>
        <w:numPr>
          <w:ilvl w:val="0"/>
          <w:numId w:val="1004"/>
        </w:numPr>
      </w:pPr>
      <w:r>
        <w:t xml:space="preserve">Replace discrete Kraus maps with</w:t>
      </w:r>
      <w:r>
        <w:t xml:space="preserve"> </w:t>
      </w:r>
      <w:r>
        <w:rPr>
          <w:b/>
          <w:bCs/>
        </w:rPr>
        <w:t xml:space="preserve">continuous Lindblad ODE integrators</w:t>
      </w:r>
      <w:r>
        <w:t xml:space="preserve">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Expand kernel library: lattice QFT, topological QC, spin-foam-based quantum gravity modules.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Integrate with enterprise ResearchOps and CloudOps pipelines.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Title: Universal Quantum Computing Framework Based Order Delivery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2025-09-15T09:17:28Z</dcterms:created>
  <dcterms:modified xsi:type="dcterms:W3CDTF">2025-09-15T09:17:28Z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