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BFD0" w14:textId="77777777" w:rsidR="00141B55" w:rsidRDefault="00141B55" w:rsidP="00E74CAC">
      <w:pPr>
        <w:jc w:val="both"/>
        <w:rPr>
          <w:b/>
          <w:bCs/>
        </w:rPr>
      </w:pPr>
      <w:r w:rsidRPr="00141B55">
        <w:rPr>
          <w:b/>
          <w:bCs/>
        </w:rPr>
        <w:t>Postural Instability and Fall Risk in Welders: An ICF-Informed Approach to Risk Stratification</w:t>
      </w:r>
    </w:p>
    <w:p w14:paraId="5963AE27" w14:textId="60925849" w:rsidR="00DB5651" w:rsidRDefault="00DB5651" w:rsidP="00E74CAC">
      <w:pPr>
        <w:jc w:val="both"/>
      </w:pPr>
      <w:r>
        <w:rPr>
          <w:vertAlign w:val="superscript"/>
        </w:rPr>
        <w:t>1</w:t>
      </w:r>
      <w:r>
        <w:t xml:space="preserve">Vijaya Prakash Krishnan Muthaiah, </w:t>
      </w:r>
      <w:r>
        <w:rPr>
          <w:vertAlign w:val="superscript"/>
        </w:rPr>
        <w:t>1</w:t>
      </w:r>
      <w:r>
        <w:t xml:space="preserve">Sabarish Hariharan Narayanan, </w:t>
      </w:r>
      <w:r>
        <w:rPr>
          <w:vertAlign w:val="superscript"/>
        </w:rPr>
        <w:t>2</w:t>
      </w:r>
      <w:r>
        <w:t xml:space="preserve">Trina Rudra, </w:t>
      </w:r>
      <w:r>
        <w:rPr>
          <w:vertAlign w:val="superscript"/>
        </w:rPr>
        <w:t>3</w:t>
      </w:r>
      <w:r>
        <w:t xml:space="preserve">Murugaraj Thiyagarajan, </w:t>
      </w:r>
      <w:r w:rsidR="00141B55">
        <w:rPr>
          <w:vertAlign w:val="superscript"/>
        </w:rPr>
        <w:t>3</w:t>
      </w:r>
      <w:r w:rsidR="00141B55">
        <w:t xml:space="preserve">Shanmugananth </w:t>
      </w:r>
      <w:proofErr w:type="spellStart"/>
      <w:r w:rsidR="00141B55">
        <w:t>Elayaperumal</w:t>
      </w:r>
      <w:proofErr w:type="spellEnd"/>
      <w:r w:rsidR="00141B55">
        <w:t xml:space="preserve">, </w:t>
      </w:r>
      <w:r>
        <w:rPr>
          <w:vertAlign w:val="superscript"/>
        </w:rPr>
        <w:t>4</w:t>
      </w:r>
      <w:r>
        <w:t>Koushik Ramachandran</w:t>
      </w:r>
    </w:p>
    <w:p w14:paraId="094A9E66" w14:textId="76B649D2" w:rsidR="00DB5651" w:rsidRDefault="00DB5651" w:rsidP="00E74CAC">
      <w:pPr>
        <w:jc w:val="both"/>
      </w:pPr>
      <w:r>
        <w:rPr>
          <w:vertAlign w:val="superscript"/>
        </w:rPr>
        <w:t>1</w:t>
      </w:r>
      <w:r>
        <w:t>Department of Rehabilitation Sciences, School of Public Health and Health Professions, University at Buffalo, Buffalo, NY</w:t>
      </w:r>
      <w:r w:rsidR="006F1F02">
        <w:t>,</w:t>
      </w:r>
      <w:r w:rsidR="00EF5945">
        <w:t xml:space="preserve"> 14214</w:t>
      </w:r>
      <w:r w:rsidR="006F1F02">
        <w:t>.</w:t>
      </w:r>
    </w:p>
    <w:p w14:paraId="294627AE" w14:textId="52D6A474" w:rsidR="00DB5651" w:rsidRDefault="00DB5651" w:rsidP="00E74CAC">
      <w:pPr>
        <w:jc w:val="both"/>
      </w:pPr>
      <w:r>
        <w:rPr>
          <w:vertAlign w:val="superscript"/>
        </w:rPr>
        <w:t>2</w:t>
      </w:r>
      <w:r>
        <w:t>Department of Pathological and Anatomical Sciences, Jacobs School of Medicine and Biomedical Sciences, University at Buffalo, Buffalo, NY</w:t>
      </w:r>
      <w:r w:rsidR="00EF5945">
        <w:t>, 14203</w:t>
      </w:r>
      <w:r w:rsidR="006F1F02">
        <w:t>.</w:t>
      </w:r>
    </w:p>
    <w:p w14:paraId="6D4ECDFE" w14:textId="6A43BCBB" w:rsidR="00EF5945" w:rsidRDefault="00EF5945" w:rsidP="00EF5945">
      <w:pPr>
        <w:jc w:val="both"/>
      </w:pPr>
      <w:r>
        <w:rPr>
          <w:vertAlign w:val="superscript"/>
        </w:rPr>
        <w:t>3</w:t>
      </w:r>
      <w:r>
        <w:t>Department of Physical Therapy, Sri Balaji Vidyapeeth University, Puducherry, India</w:t>
      </w:r>
      <w:r w:rsidR="006F1F02">
        <w:t>, 607403.</w:t>
      </w:r>
    </w:p>
    <w:p w14:paraId="0F46BA4F" w14:textId="264D9284" w:rsidR="006F6D83" w:rsidRDefault="00B61261" w:rsidP="00E74CAC">
      <w:pPr>
        <w:jc w:val="both"/>
      </w:pPr>
      <w:r>
        <w:rPr>
          <w:vertAlign w:val="superscript"/>
        </w:rPr>
        <w:t>4</w:t>
      </w:r>
      <w:r w:rsidR="00EF5945">
        <w:t>Department of Physiotherapy, Choice South Restorative, Edmonton, Alberta, Canada, T6N 1C5.</w:t>
      </w:r>
    </w:p>
    <w:p w14:paraId="697F5C60" w14:textId="63A4AB10" w:rsidR="00EE78FB" w:rsidRDefault="00AF63CE">
      <w:r w:rsidRPr="00D459FD">
        <w:rPr>
          <w:b/>
          <w:bCs/>
        </w:rPr>
        <w:t>Key words:</w:t>
      </w:r>
      <w:r>
        <w:t xml:space="preserve"> Postural instability, </w:t>
      </w:r>
      <w:r w:rsidR="00D459FD">
        <w:t xml:space="preserve">Fall Risk, </w:t>
      </w:r>
      <w:r>
        <w:t xml:space="preserve">Welders, Secondary Parkinsonism, </w:t>
      </w:r>
      <w:proofErr w:type="spellStart"/>
      <w:r>
        <w:t>Manganism</w:t>
      </w:r>
      <w:proofErr w:type="spellEnd"/>
      <w:r w:rsidR="00D459FD">
        <w:t>.</w:t>
      </w:r>
    </w:p>
    <w:p w14:paraId="195575BD" w14:textId="6B617F15" w:rsidR="00EE78FB" w:rsidRPr="00D459FD" w:rsidRDefault="00D459FD">
      <w:pPr>
        <w:rPr>
          <w:b/>
          <w:bCs/>
        </w:rPr>
      </w:pPr>
      <w:r w:rsidRPr="00D459FD">
        <w:rPr>
          <w:b/>
          <w:bCs/>
        </w:rPr>
        <w:t>Highlights.</w:t>
      </w:r>
    </w:p>
    <w:p w14:paraId="11D9E44E" w14:textId="5184B921" w:rsidR="00D459FD" w:rsidRDefault="00D459FD" w:rsidP="00D459FD">
      <w:pPr>
        <w:pStyle w:val="ListParagraph"/>
        <w:numPr>
          <w:ilvl w:val="0"/>
          <w:numId w:val="5"/>
        </w:numPr>
      </w:pPr>
      <w:r>
        <w:t xml:space="preserve">Welders exhibit significantly impaired balance and increased fall-related concern compared with controls. </w:t>
      </w:r>
    </w:p>
    <w:p w14:paraId="0FA91229" w14:textId="2CA789D1" w:rsidR="00D459FD" w:rsidRDefault="00D459FD" w:rsidP="00D459FD">
      <w:pPr>
        <w:pStyle w:val="ListParagraph"/>
        <w:numPr>
          <w:ilvl w:val="0"/>
          <w:numId w:val="5"/>
        </w:numPr>
      </w:pPr>
      <w:r>
        <w:t>Balance measures load onto a dominant latent construct, whereas exposure and PPE behaviors are multidimensional.</w:t>
      </w:r>
    </w:p>
    <w:p w14:paraId="48B66C10" w14:textId="212DDB5B" w:rsidR="00D459FD" w:rsidRDefault="00D459FD" w:rsidP="00D459FD">
      <w:pPr>
        <w:pStyle w:val="ListParagraph"/>
        <w:numPr>
          <w:ilvl w:val="0"/>
          <w:numId w:val="5"/>
        </w:numPr>
      </w:pPr>
      <w:r>
        <w:t>A full multivariable model integrating age, balance, exposure, and PPE showed the best overall model fit.</w:t>
      </w:r>
    </w:p>
    <w:p w14:paraId="6428731C" w14:textId="11099A31" w:rsidR="00D459FD" w:rsidRDefault="00D459FD" w:rsidP="00D459FD">
      <w:pPr>
        <w:pStyle w:val="ListParagraph"/>
        <w:numPr>
          <w:ilvl w:val="0"/>
          <w:numId w:val="5"/>
        </w:numPr>
      </w:pPr>
      <w:r>
        <w:t>An ICF-informed framework highlights the role of occupational exposures and protective behaviors in functional vulnerability among welders.</w:t>
      </w:r>
    </w:p>
    <w:p w14:paraId="0D09F499" w14:textId="77777777" w:rsidR="00D459FD" w:rsidRDefault="00D459FD">
      <w:pPr>
        <w:rPr>
          <w:b/>
          <w:bCs/>
        </w:rPr>
      </w:pPr>
    </w:p>
    <w:p w14:paraId="0A5E2BD4" w14:textId="68E3FA65" w:rsidR="00EE78FB" w:rsidRPr="00B61261" w:rsidRDefault="00EE78FB">
      <w:pPr>
        <w:rPr>
          <w:b/>
          <w:bCs/>
        </w:rPr>
      </w:pPr>
      <w:r w:rsidRPr="00B61261">
        <w:rPr>
          <w:b/>
          <w:bCs/>
        </w:rPr>
        <w:t>Corresponding Author</w:t>
      </w:r>
    </w:p>
    <w:p w14:paraId="6D582D32" w14:textId="1E9E49D2" w:rsidR="00EE78FB" w:rsidRPr="00EE78FB" w:rsidRDefault="00EE78FB" w:rsidP="00EE78FB">
      <w:pPr>
        <w:pStyle w:val="NoSpacing"/>
      </w:pPr>
      <w:r w:rsidRPr="00EE78FB">
        <w:t xml:space="preserve">Vijaya Prakash Krishnan Muthaiah, PT, PhD, MPH, </w:t>
      </w:r>
      <w:r>
        <w:t>MPS</w:t>
      </w:r>
    </w:p>
    <w:p w14:paraId="6ACAD5DE" w14:textId="77777777" w:rsidR="00EE78FB" w:rsidRPr="00EE78FB" w:rsidRDefault="00EE78FB" w:rsidP="00EE78FB">
      <w:pPr>
        <w:pStyle w:val="NoSpacing"/>
      </w:pPr>
      <w:r w:rsidRPr="00EE78FB">
        <w:t>Assistant Professor, Department of Rehabilitation Science,</w:t>
      </w:r>
    </w:p>
    <w:p w14:paraId="027B857C" w14:textId="77777777" w:rsidR="00EE78FB" w:rsidRPr="00EE78FB" w:rsidRDefault="00EE78FB" w:rsidP="00EE78FB">
      <w:pPr>
        <w:pStyle w:val="NoSpacing"/>
      </w:pPr>
      <w:r w:rsidRPr="00EE78FB">
        <w:t>School of Public Health and Health Professions,</w:t>
      </w:r>
    </w:p>
    <w:p w14:paraId="57BCA5CF" w14:textId="77777777" w:rsidR="00EE78FB" w:rsidRPr="00EE78FB" w:rsidRDefault="00EE78FB" w:rsidP="00EE78FB">
      <w:pPr>
        <w:pStyle w:val="NoSpacing"/>
      </w:pPr>
      <w:r w:rsidRPr="00EE78FB">
        <w:t>Faculty Member, UB Neuroscience Program,</w:t>
      </w:r>
    </w:p>
    <w:p w14:paraId="7B31E624" w14:textId="77777777" w:rsidR="00EE78FB" w:rsidRPr="00EE78FB" w:rsidRDefault="00EE78FB" w:rsidP="00EE78FB">
      <w:pPr>
        <w:pStyle w:val="NoSpacing"/>
      </w:pPr>
      <w:r w:rsidRPr="00EE78FB">
        <w:t>University at Buffalo </w:t>
      </w:r>
    </w:p>
    <w:p w14:paraId="4456F228" w14:textId="77777777" w:rsidR="00EE78FB" w:rsidRPr="00EE78FB" w:rsidRDefault="00EE78FB" w:rsidP="00EE78FB">
      <w:pPr>
        <w:pStyle w:val="NoSpacing"/>
      </w:pPr>
      <w:r w:rsidRPr="00EE78FB">
        <w:t>Buffalo, NY 14214</w:t>
      </w:r>
    </w:p>
    <w:p w14:paraId="5694C4C4" w14:textId="77777777" w:rsidR="00EE78FB" w:rsidRPr="00EE78FB" w:rsidRDefault="00EE78FB" w:rsidP="00EE78FB">
      <w:pPr>
        <w:pStyle w:val="NoSpacing"/>
      </w:pPr>
      <w:r w:rsidRPr="00EE78FB">
        <w:t>Email:  vijayapr@buffalo.edu</w:t>
      </w:r>
    </w:p>
    <w:p w14:paraId="244D840C" w14:textId="77777777" w:rsidR="00EE78FB" w:rsidRPr="00EE78FB" w:rsidRDefault="00EE78FB" w:rsidP="00EE78FB">
      <w:pPr>
        <w:pStyle w:val="NoSpacing"/>
      </w:pPr>
      <w:r w:rsidRPr="00EE78FB">
        <w:t>Office: 716-829-6290; Lab: 716-829-6722.</w:t>
      </w:r>
    </w:p>
    <w:p w14:paraId="4CCF88F7" w14:textId="77777777" w:rsidR="00EE78FB" w:rsidRPr="00EE78FB" w:rsidRDefault="00EE78FB" w:rsidP="00EE78FB">
      <w:pPr>
        <w:pStyle w:val="NoSpacing"/>
      </w:pPr>
      <w:r w:rsidRPr="00EE78FB">
        <w:t>Cell: 716-710-0193</w:t>
      </w:r>
    </w:p>
    <w:p w14:paraId="2F286651" w14:textId="40E41DF6" w:rsidR="006F6D83" w:rsidRDefault="006F6D83">
      <w:r>
        <w:br w:type="page"/>
      </w:r>
    </w:p>
    <w:p w14:paraId="1C28B37A" w14:textId="0D43D00C" w:rsidR="00C7158C" w:rsidRPr="00DB5651" w:rsidRDefault="006F6D83" w:rsidP="00E74CAC">
      <w:pPr>
        <w:jc w:val="both"/>
        <w:rPr>
          <w:b/>
          <w:bCs/>
        </w:rPr>
      </w:pPr>
      <w:r>
        <w:rPr>
          <w:b/>
          <w:bCs/>
        </w:rPr>
        <w:lastRenderedPageBreak/>
        <w:t>A</w:t>
      </w:r>
      <w:r w:rsidR="00C7158C" w:rsidRPr="00DB5651">
        <w:rPr>
          <w:b/>
          <w:bCs/>
        </w:rPr>
        <w:t>bstract:</w:t>
      </w:r>
    </w:p>
    <w:p w14:paraId="7E02CBDF" w14:textId="73550D08" w:rsidR="00B61261" w:rsidRPr="00B61261" w:rsidRDefault="00B61261" w:rsidP="00B61261">
      <w:pPr>
        <w:jc w:val="both"/>
      </w:pPr>
      <w:r w:rsidRPr="00B61261">
        <w:rPr>
          <w:b/>
          <w:bCs/>
        </w:rPr>
        <w:t>Objective.</w:t>
      </w:r>
      <w:r w:rsidRPr="00B61261">
        <w:t xml:space="preserve"> Welding exposure is associated with secondary parkinsonism (</w:t>
      </w:r>
      <w:proofErr w:type="spellStart"/>
      <w:r>
        <w:t>M</w:t>
      </w:r>
      <w:r w:rsidRPr="00B61261">
        <w:t>anganism</w:t>
      </w:r>
      <w:proofErr w:type="spellEnd"/>
      <w:r w:rsidRPr="00B61261">
        <w:t>) and a spectrum of long-term neurological disorders, including auditory–vestibular dysfunction. However, postural instability and fall risk in welders remain poorly characterized. This study aimed to determine balance impairment and fall risk in welders and to test whether integrating personal and environmental factors within the International Classification of Functioning, Disability and Health (ICF) framework improves prediction of fall history.</w:t>
      </w:r>
    </w:p>
    <w:p w14:paraId="5282C18F" w14:textId="77777777" w:rsidR="00B61261" w:rsidRPr="00B61261" w:rsidRDefault="00B61261" w:rsidP="00B61261">
      <w:pPr>
        <w:jc w:val="both"/>
      </w:pPr>
      <w:r w:rsidRPr="00B61261">
        <w:rPr>
          <w:b/>
          <w:bCs/>
        </w:rPr>
        <w:t>Methods.</w:t>
      </w:r>
      <w:r w:rsidRPr="00B61261">
        <w:t xml:space="preserve"> Principal component analysis (PCA) was used to derive latent composite scores for balance performance, occupational exposure, and personal protective equipment (PPE) use, reducing dimensionality and multicollinearity among correlated measures. These PCA-derived components were entered into Firth penalized logistic regression models to assess associations with fall history while accounting for small-sample bias. Factorial analysis of mixed data (FAMD) was then applied as an exploratory multivariate approach to integrate continuous PCA components with categorical demographic and occupational variables and to visualize the joint data structure.</w:t>
      </w:r>
    </w:p>
    <w:p w14:paraId="5E777DBC" w14:textId="77777777" w:rsidR="00B61261" w:rsidRPr="00B61261" w:rsidRDefault="00B61261" w:rsidP="00B61261">
      <w:pPr>
        <w:jc w:val="both"/>
      </w:pPr>
      <w:r w:rsidRPr="00B61261">
        <w:rPr>
          <w:b/>
          <w:bCs/>
        </w:rPr>
        <w:t>Results.</w:t>
      </w:r>
      <w:r w:rsidRPr="00B61261">
        <w:t xml:space="preserve"> Compared with controls, welders demonstrated significantly worse balance and fall-related confidence, with moderate-to-large effect sizes for the Berg Balance Scale and Falls Efficacy Scale; Mini-</w:t>
      </w:r>
      <w:proofErr w:type="spellStart"/>
      <w:r w:rsidRPr="00B61261">
        <w:t>BESTest</w:t>
      </w:r>
      <w:proofErr w:type="spellEnd"/>
      <w:r w:rsidRPr="00B61261">
        <w:t xml:space="preserve"> differences did not remain significant after correction. In Firth logistic regression, the full multivariable model incorporating age, balance, exposure, and PPE indices showed the best overall fit (lowest AIC). Within this model, age emerged as the only independent predictor of fall history, while composite balance, exposure, and PPE measures were not statistically significant.</w:t>
      </w:r>
    </w:p>
    <w:p w14:paraId="510A4BA3" w14:textId="358A284D" w:rsidR="00421874" w:rsidRPr="00E74CAC" w:rsidRDefault="00B61261" w:rsidP="00B61261">
      <w:pPr>
        <w:jc w:val="both"/>
      </w:pPr>
      <w:r w:rsidRPr="00B61261">
        <w:rPr>
          <w:b/>
          <w:bCs/>
        </w:rPr>
        <w:t>Conclusion</w:t>
      </w:r>
      <w:r w:rsidRPr="00B61261">
        <w:t>. Welders exhibit clinically meaningful balance impairments within a multifactorial exposure–health context. Although age is the primary determinant of fall risk, multivariate analyses indicate that cumulative occupational exposures and protective behaviors contribute to functional vulnerability, supporting ICF-informed, exposure-aware screening and targeted balance interventions in welding populations.</w:t>
      </w:r>
      <w:r w:rsidR="00421874" w:rsidRPr="00E74CAC">
        <w:br w:type="page"/>
      </w:r>
    </w:p>
    <w:p w14:paraId="0D1C0D0C" w14:textId="3C602F7B" w:rsidR="0058536C" w:rsidRPr="00E74CAC" w:rsidRDefault="0058536C" w:rsidP="00E74CAC">
      <w:pPr>
        <w:jc w:val="both"/>
        <w:rPr>
          <w:b/>
          <w:bCs/>
        </w:rPr>
      </w:pPr>
      <w:r w:rsidRPr="00E74CAC">
        <w:rPr>
          <w:b/>
          <w:bCs/>
        </w:rPr>
        <w:lastRenderedPageBreak/>
        <w:t>Introduction</w:t>
      </w:r>
    </w:p>
    <w:p w14:paraId="515B224F" w14:textId="5E002A32" w:rsidR="0058536C" w:rsidRPr="00E74CAC" w:rsidRDefault="0058536C" w:rsidP="00E74CAC">
      <w:pPr>
        <w:jc w:val="both"/>
      </w:pPr>
      <w:r w:rsidRPr="00E74CAC">
        <w:t xml:space="preserve">Welders are </w:t>
      </w:r>
      <w:r w:rsidR="00DF74B0" w:rsidRPr="00E74CAC">
        <w:t>chronically expos</w:t>
      </w:r>
      <w:r w:rsidR="009958FE" w:rsidRPr="00E74CAC">
        <w:t>ed to a mixture of metal fumes</w:t>
      </w:r>
      <w:r w:rsidR="00757BC4" w:rsidRPr="00E74CAC">
        <w:t xml:space="preserve"> </w:t>
      </w:r>
      <w:r w:rsidR="00850E0F" w:rsidRPr="00E74CAC">
        <w:t>throughout their occupation</w:t>
      </w:r>
      <w:r w:rsidR="00BB7CC9" w:rsidRPr="00E74CAC">
        <w:t>,</w:t>
      </w:r>
      <w:r w:rsidR="00850E0F" w:rsidRPr="00E74CAC">
        <w:t xml:space="preserve"> </w:t>
      </w:r>
      <w:r w:rsidR="00757BC4" w:rsidRPr="00E74CAC">
        <w:t>primarily by inhalation</w:t>
      </w:r>
      <w:r w:rsidR="00BB7CC9" w:rsidRPr="00E74CAC">
        <w:t>,</w:t>
      </w:r>
      <w:r w:rsidR="0096047B" w:rsidRPr="00E74CAC">
        <w:t xml:space="preserve"> enduring chronic heavy metal toxicit</w:t>
      </w:r>
      <w:r w:rsidR="00757BC4" w:rsidRPr="00E74CAC">
        <w:t>y.</w:t>
      </w:r>
      <w:r w:rsidR="0093002E" w:rsidRPr="00E74CAC">
        <w:t xml:space="preserve"> </w:t>
      </w:r>
      <w:r w:rsidR="00904010" w:rsidRPr="00E74CAC">
        <w:t xml:space="preserve">As a result, welders manifest a spectrum of clinical manifestations ranging from </w:t>
      </w:r>
      <w:r w:rsidR="00BB7CC9" w:rsidRPr="00E74CAC">
        <w:t>Welding-related</w:t>
      </w:r>
      <w:r w:rsidR="006A15DA" w:rsidRPr="00E74CAC">
        <w:t xml:space="preserve"> Parkinsonism</w:t>
      </w:r>
      <w:r w:rsidR="003719B7" w:rsidRPr="00E74CAC">
        <w:t xml:space="preserve"> (with tremors, postural instability</w:t>
      </w:r>
      <w:r w:rsidR="006A15DA" w:rsidRPr="00E74CAC">
        <w:t xml:space="preserve">, </w:t>
      </w:r>
      <w:r w:rsidR="001800E2" w:rsidRPr="00E74CAC">
        <w:t xml:space="preserve">bradykinesia), </w:t>
      </w:r>
      <w:r w:rsidR="00BB7CC9" w:rsidRPr="00E74CAC">
        <w:t xml:space="preserve">to </w:t>
      </w:r>
      <w:r w:rsidR="006A15DA" w:rsidRPr="00E74CAC">
        <w:t>R</w:t>
      </w:r>
      <w:r w:rsidR="001800E2" w:rsidRPr="00E74CAC">
        <w:t>e</w:t>
      </w:r>
      <w:r w:rsidR="006A15DA" w:rsidRPr="00E74CAC">
        <w:t>spiratory symptoms</w:t>
      </w:r>
      <w:r w:rsidR="009D7BB9" w:rsidRPr="00E74CAC">
        <w:fldChar w:fldCharType="begin"/>
      </w:r>
      <w:r w:rsidR="006F6D83">
        <w:instrText xml:space="preserve"> ADDIN EN.CITE &lt;EndNote&gt;&lt;Cite&gt;&lt;Author&gt;Antonini&lt;/Author&gt;&lt;Year&gt;2003&lt;/Year&gt;&lt;RecNum&gt;1479&lt;/RecNum&gt;&lt;DisplayText&gt;(Antonini, 2003)&lt;/DisplayText&gt;&lt;record&gt;&lt;rec-number&gt;1479&lt;/rec-number&gt;&lt;foreign-keys&gt;&lt;key app="EN" db-id="vxzwr02rlft2rzetvs2prd5y2zf50xpxfd95" timestamp="1766273643"&gt;1479&lt;/key&gt;&lt;/foreign-keys&gt;&lt;ref-type name="Journal Article"&gt;17&lt;/ref-type&gt;&lt;contributors&gt;&lt;authors&gt;&lt;author&gt;Antonini, J. M.&lt;/author&gt;&lt;/authors&gt;&lt;/contributors&gt;&lt;auth-address&gt;Health Effects Laboratory Division, National Institute for Occupational Safety and Health, 1095 Willowdale Road (M/S 2015), Morgantown, WV 26505, USA. jga6@cdc.gov&lt;/auth-address&gt;&lt;titles&gt;&lt;title&gt;Health effects of welding&lt;/title&gt;&lt;secondary-title&gt;Crit Rev Toxicol&lt;/secondary-title&gt;&lt;/titles&gt;&lt;periodical&gt;&lt;full-title&gt;Crit Rev Toxicol&lt;/full-title&gt;&lt;/periodical&gt;&lt;pages&gt;61-103&lt;/pages&gt;&lt;volume&gt;33&lt;/volume&gt;&lt;number&gt;1&lt;/number&gt;&lt;keywords&gt;&lt;keyword&gt;Air Pollutants, Occupational/*adverse effects&lt;/keyword&gt;&lt;keyword&gt;Animals&lt;/keyword&gt;&lt;keyword&gt;Confined Spaces&lt;/keyword&gt;&lt;keyword&gt;Humans&lt;/keyword&gt;&lt;keyword&gt;Inhalation Exposure/*adverse effects&lt;/keyword&gt;&lt;keyword&gt;Occupational Exposure/*adverse effects&lt;/keyword&gt;&lt;keyword&gt;Respiratory Tract Diseases/epidemiology/etiology&lt;/keyword&gt;&lt;keyword&gt;United States/epidemiology&lt;/keyword&gt;&lt;keyword&gt;*Welding&lt;/keyword&gt;&lt;/keywords&gt;&lt;dates&gt;&lt;year&gt;2003&lt;/year&gt;&lt;/dates&gt;&lt;isbn&gt;1040-8444 (Print)&amp;#xD;1040-8444&lt;/isbn&gt;&lt;accession-num&gt;12585507&lt;/accession-num&gt;&lt;urls&gt;&lt;/urls&gt;&lt;electronic-resource-num&gt;10.1080/713611032&lt;/electronic-resource-num&gt;&lt;remote-database-provider&gt;NLM&lt;/remote-database-provider&gt;&lt;language&gt;eng&lt;/language&gt;&lt;/record&gt;&lt;/Cite&gt;&lt;/EndNote&gt;</w:instrText>
      </w:r>
      <w:r w:rsidR="009D7BB9" w:rsidRPr="00E74CAC">
        <w:fldChar w:fldCharType="separate"/>
      </w:r>
      <w:r w:rsidR="009D7BB9" w:rsidRPr="00E74CAC">
        <w:rPr>
          <w:noProof/>
        </w:rPr>
        <w:t>(Antonini, 2003)</w:t>
      </w:r>
      <w:r w:rsidR="009D7BB9" w:rsidRPr="00E74CAC">
        <w:fldChar w:fldCharType="end"/>
      </w:r>
      <w:r w:rsidR="009328F0" w:rsidRPr="00E74CAC">
        <w:t>.</w:t>
      </w:r>
      <w:r w:rsidR="006A15DA" w:rsidRPr="00E74CAC">
        <w:t xml:space="preserve"> </w:t>
      </w:r>
      <w:r w:rsidR="008443DA" w:rsidRPr="00E74CAC">
        <w:t xml:space="preserve"> </w:t>
      </w:r>
      <w:r w:rsidR="009958FE" w:rsidRPr="00E74CAC">
        <w:t xml:space="preserve">The proportion of heavy metals </w:t>
      </w:r>
      <w:r w:rsidR="00BB7CC9" w:rsidRPr="00E74CAC">
        <w:t>to which</w:t>
      </w:r>
      <w:r w:rsidR="009958FE" w:rsidRPr="00E74CAC">
        <w:t xml:space="preserve"> they are exposed depends on the type of welding </w:t>
      </w:r>
      <w:r w:rsidR="00921167" w:rsidRPr="00E74CAC">
        <w:t>and the rod that is being used in the welding process</w:t>
      </w:r>
      <w:r w:rsidR="00082EA6" w:rsidRPr="00E74CAC">
        <w:t xml:space="preserve"> (</w:t>
      </w:r>
      <w:r w:rsidR="00462FB8" w:rsidRPr="00E74CAC">
        <w:t xml:space="preserve">Common ones such as </w:t>
      </w:r>
      <w:r w:rsidR="00632DBD" w:rsidRPr="00E74CAC">
        <w:t>Gas Tungsten Arc</w:t>
      </w:r>
      <w:r w:rsidR="00285992" w:rsidRPr="00E74CAC">
        <w:t xml:space="preserve"> (GTAW or </w:t>
      </w:r>
      <w:r w:rsidR="00632DBD" w:rsidRPr="00E74CAC">
        <w:t>TIG</w:t>
      </w:r>
      <w:r w:rsidR="00285992" w:rsidRPr="00E74CAC">
        <w:t>)</w:t>
      </w:r>
      <w:r w:rsidR="00632DBD" w:rsidRPr="00E74CAC">
        <w:t>, Gas Metal Arc</w:t>
      </w:r>
      <w:r w:rsidR="00462FB8" w:rsidRPr="00E74CAC">
        <w:t xml:space="preserve"> (</w:t>
      </w:r>
      <w:r w:rsidR="00285992" w:rsidRPr="00E74CAC">
        <w:t>GMAW or MIG</w:t>
      </w:r>
      <w:r w:rsidR="00462FB8" w:rsidRPr="00E74CAC">
        <w:t>), Flux-Core (FCAW)</w:t>
      </w:r>
      <w:r w:rsidR="00BB7CC9" w:rsidRPr="00E74CAC">
        <w:t>,</w:t>
      </w:r>
      <w:r w:rsidR="00462FB8" w:rsidRPr="00E74CAC">
        <w:t xml:space="preserve"> and Stick)</w:t>
      </w:r>
      <w:r w:rsidR="00921167" w:rsidRPr="00E74CAC">
        <w:t xml:space="preserve">. </w:t>
      </w:r>
      <w:r w:rsidR="00774858" w:rsidRPr="00E74CAC">
        <w:t>The characterization of</w:t>
      </w:r>
      <w:r w:rsidR="00921167" w:rsidRPr="00E74CAC">
        <w:t xml:space="preserve"> chronic metal toxicity depends on the years of exposure and the usage of Pers</w:t>
      </w:r>
      <w:r w:rsidR="00774858" w:rsidRPr="00E74CAC">
        <w:t xml:space="preserve">onal Protective </w:t>
      </w:r>
      <w:r w:rsidR="00BB7CC9" w:rsidRPr="00E74CAC">
        <w:t>Equipment,</w:t>
      </w:r>
      <w:r w:rsidR="00774858" w:rsidRPr="00E74CAC">
        <w:t xml:space="preserve"> </w:t>
      </w:r>
      <w:r w:rsidR="007D5CC2" w:rsidRPr="00E74CAC">
        <w:t>such as eye goggles, hearing protection</w:t>
      </w:r>
      <w:r w:rsidR="00BB7CC9" w:rsidRPr="00E74CAC">
        <w:t>,</w:t>
      </w:r>
      <w:r w:rsidR="007D5CC2" w:rsidRPr="00E74CAC">
        <w:t xml:space="preserve"> and </w:t>
      </w:r>
      <w:r w:rsidR="00BB7CC9" w:rsidRPr="00E74CAC">
        <w:t xml:space="preserve">a </w:t>
      </w:r>
      <w:r w:rsidR="008214E6" w:rsidRPr="00E74CAC">
        <w:t xml:space="preserve">face mask. </w:t>
      </w:r>
    </w:p>
    <w:p w14:paraId="44DC2F4A" w14:textId="798A98B5" w:rsidR="007E7F87" w:rsidRPr="00E74CAC" w:rsidRDefault="00DF5102" w:rsidP="00E74CAC">
      <w:pPr>
        <w:jc w:val="both"/>
      </w:pPr>
      <w:r w:rsidRPr="00E74CAC">
        <w:t xml:space="preserve">Welders </w:t>
      </w:r>
      <w:r w:rsidR="00E00512" w:rsidRPr="00E74CAC">
        <w:t xml:space="preserve">exposed to chronic occupational exposure </w:t>
      </w:r>
      <w:r w:rsidR="00BB7CC9" w:rsidRPr="00E74CAC">
        <w:t>to</w:t>
      </w:r>
      <w:r w:rsidR="00E00512" w:rsidRPr="00E74CAC">
        <w:t xml:space="preserve"> fumes manifest several neurological disorders</w:t>
      </w:r>
      <w:r w:rsidR="006F6D83">
        <w:fldChar w:fldCharType="begin"/>
      </w:r>
      <w:r w:rsidR="006F6D83">
        <w:instrText xml:space="preserve"> ADDIN EN.CITE &lt;EndNote&gt;&lt;Cite&gt;&lt;Author&gt;Racette&lt;/Author&gt;&lt;Year&gt;2012&lt;/Year&gt;&lt;RecNum&gt;1538&lt;/RecNum&gt;&lt;DisplayText&gt;(Racette et al., 2012)&lt;/DisplayText&gt;&lt;record&gt;&lt;rec-number&gt;1538&lt;/rec-number&gt;&lt;foreign-keys&gt;&lt;key app="EN" db-id="vxzwr02rlft2rzetvs2prd5y2zf50xpxfd95" timestamp="1766955883"&gt;1538&lt;/key&gt;&lt;/foreign-keys&gt;&lt;ref-type name="Journal Article"&gt;17&lt;/ref-type&gt;&lt;contributors&gt;&lt;authors&gt;&lt;author&gt;Racette, Brad A.&lt;/author&gt;&lt;author&gt;Criswell, Susan R.&lt;/author&gt;&lt;author&gt;Lundin, Jessica I.&lt;/author&gt;&lt;author&gt;Hobson, Angela&lt;/author&gt;&lt;author&gt;Seixas, Noah&lt;/author&gt;&lt;author&gt;Kotzbauer, Paul T.&lt;/author&gt;&lt;author&gt;Evanoff, Bradley A.&lt;/author&gt;&lt;author&gt;Perlmutter, Joel S.&lt;/author&gt;&lt;author&gt;Zhang, Jing&lt;/author&gt;&lt;author&gt;Sheppard, Lianne&lt;/author&gt;&lt;author&gt;Checkoway, Harvey&lt;/author&gt;&lt;/authors&gt;&lt;/contributors&gt;&lt;titles&gt;&lt;title&gt;Increased risk of parkinsonism associated with welding exposure&lt;/title&gt;&lt;secondary-title&gt;NeuroToxicology&lt;/secondary-title&gt;&lt;/titles&gt;&lt;periodical&gt;&lt;full-title&gt;Neurotoxicology&lt;/full-title&gt;&lt;abbr-1&gt;Neurotoxicology&lt;/abbr-1&gt;&lt;/periodical&gt;&lt;pages&gt;1356-1361&lt;/pages&gt;&lt;volume&gt;33&lt;/volume&gt;&lt;number&gt;5&lt;/number&gt;&lt;keywords&gt;&lt;keyword&gt;Parkinsonism&lt;/keyword&gt;&lt;keyword&gt;Parkinson disease&lt;/keyword&gt;&lt;keyword&gt;Welding&lt;/keyword&gt;&lt;keyword&gt;Manganese&lt;/keyword&gt;&lt;keyword&gt;Occupational exposures&lt;/keyword&gt;&lt;/keywords&gt;&lt;dates&gt;&lt;year&gt;2012&lt;/year&gt;&lt;pub-dates&gt;&lt;date&gt;2012/10/01/&lt;/date&gt;&lt;/pub-dates&gt;&lt;/dates&gt;&lt;isbn&gt;0161-813X&lt;/isbn&gt;&lt;urls&gt;&lt;related-urls&gt;&lt;url&gt;https://www.sciencedirect.com/science/article/pii/S0161813X12002070&lt;/url&gt;&lt;/related-urls&gt;&lt;/urls&gt;&lt;electronic-resource-num&gt;https://doi.org/10.1016/j.neuro.2012.08.011&lt;/electronic-resource-num&gt;&lt;/record&gt;&lt;/Cite&gt;&lt;/EndNote&gt;</w:instrText>
      </w:r>
      <w:r w:rsidR="006F6D83">
        <w:fldChar w:fldCharType="separate"/>
      </w:r>
      <w:r w:rsidR="006F6D83">
        <w:rPr>
          <w:noProof/>
        </w:rPr>
        <w:t>(Racette et al., 2012)</w:t>
      </w:r>
      <w:r w:rsidR="006F6D83">
        <w:fldChar w:fldCharType="end"/>
      </w:r>
      <w:r w:rsidR="002C3F32" w:rsidRPr="00E74CAC">
        <w:t xml:space="preserve">.  </w:t>
      </w:r>
      <w:r w:rsidR="007E7F87" w:rsidRPr="00E74CAC">
        <w:t xml:space="preserve">Especially, </w:t>
      </w:r>
      <w:r w:rsidR="0023598C" w:rsidRPr="00E74CAC">
        <w:t>a spectrum of balance disorders, vestibular dysfunction</w:t>
      </w:r>
      <w:r w:rsidR="00BB7CC9" w:rsidRPr="00E74CAC">
        <w:t>,</w:t>
      </w:r>
      <w:r w:rsidR="0023598C" w:rsidRPr="00E74CAC">
        <w:t xml:space="preserve"> and postural instability leading to high fall risk. The severity of the manifestation is </w:t>
      </w:r>
      <w:r w:rsidR="00A44C6C" w:rsidRPr="00E74CAC">
        <w:t xml:space="preserve">directly proportional to the years of exposure. </w:t>
      </w:r>
      <w:r w:rsidR="00F14C57" w:rsidRPr="00E74CAC">
        <w:t>As per the CDC</w:t>
      </w:r>
      <w:r w:rsidR="00ED313F" w:rsidRPr="00E74CAC">
        <w:t xml:space="preserve">, welders </w:t>
      </w:r>
      <w:r w:rsidR="00764687" w:rsidRPr="00E74CAC">
        <w:t>need</w:t>
      </w:r>
      <w:r w:rsidR="00ED313F" w:rsidRPr="00E74CAC">
        <w:t xml:space="preserve"> to consider the use of Personal protective equipment (PPE) </w:t>
      </w:r>
      <w:r w:rsidR="005E7C43" w:rsidRPr="00E74CAC">
        <w:t xml:space="preserve">such as </w:t>
      </w:r>
      <w:r w:rsidR="003D09C6" w:rsidRPr="00E74CAC">
        <w:t>welding goggles</w:t>
      </w:r>
      <w:r w:rsidR="00BB7CC9" w:rsidRPr="00E74CAC">
        <w:t xml:space="preserve"> and </w:t>
      </w:r>
      <w:r w:rsidR="00764687" w:rsidRPr="00E74CAC">
        <w:t>flame-proof</w:t>
      </w:r>
      <w:r w:rsidR="00BB7CC9" w:rsidRPr="00E74CAC">
        <w:t xml:space="preserve"> screens</w:t>
      </w:r>
      <w:r w:rsidR="003D09C6" w:rsidRPr="00E74CAC">
        <w:t xml:space="preserve"> for </w:t>
      </w:r>
      <w:r w:rsidR="005E7C43" w:rsidRPr="00E74CAC">
        <w:t>Eye and Face protection,</w:t>
      </w:r>
      <w:r w:rsidR="003D09C6" w:rsidRPr="00E74CAC">
        <w:t xml:space="preserve"> </w:t>
      </w:r>
      <w:r w:rsidR="006A40DF" w:rsidRPr="00E74CAC">
        <w:t xml:space="preserve">Hand gloves and </w:t>
      </w:r>
      <w:r w:rsidR="00764687" w:rsidRPr="00E74CAC">
        <w:t>flame-proof</w:t>
      </w:r>
      <w:r w:rsidR="006A40DF" w:rsidRPr="00E74CAC">
        <w:t xml:space="preserve"> aprons for skin protection</w:t>
      </w:r>
      <w:r w:rsidR="00CC59D2" w:rsidRPr="00E74CAC">
        <w:t xml:space="preserve">, moldable ear </w:t>
      </w:r>
      <w:r w:rsidR="0098292E" w:rsidRPr="00E74CAC">
        <w:t>inserts</w:t>
      </w:r>
      <w:r w:rsidR="00CC59D2" w:rsidRPr="00E74CAC">
        <w:t>/</w:t>
      </w:r>
      <w:r w:rsidR="009D5C10" w:rsidRPr="00E74CAC">
        <w:t>pre-molded plug or muff for hearing protection,</w:t>
      </w:r>
      <w:r w:rsidR="009C3AC8" w:rsidRPr="00E74CAC">
        <w:t xml:space="preserve"> along with belt-mount respirators for respiratory protection</w:t>
      </w:r>
      <w:r w:rsidR="009A6876" w:rsidRPr="00E74CAC">
        <w:fldChar w:fldCharType="begin"/>
      </w:r>
      <w:r w:rsidR="002B1B60" w:rsidRPr="00E74CAC">
        <w:instrText xml:space="preserve"> ADDIN EN.CITE &lt;EndNote&gt;&lt;Cite&gt;&lt;Author&gt;CDC&lt;/Author&gt;&lt;Year&gt;1978&lt;/Year&gt;&lt;RecNum&gt;1141&lt;/RecNum&gt;&lt;DisplayText&gt;(CDC, 1978)&lt;/DisplayText&gt;&lt;record&gt;&lt;rec-number&gt;1141&lt;/rec-number&gt;&lt;foreign-keys&gt;&lt;key app="EN" db-id="s22sddpv7dzdd4ea2xppr25fawfv5r59w59w" timestamp="1760023081"&gt;1141&lt;/key&gt;&lt;/foreign-keys&gt;&lt;ref-type name="Government Document"&gt;46&lt;/ref-type&gt;&lt;contributors&gt;&lt;authors&gt;&lt;author&gt;CDC&lt;/author&gt;&lt;/authors&gt;&lt;secondary-authors&gt;&lt;author&gt;Department of Health, Education and Welfare&lt;/author&gt;&lt;/secondary-authors&gt;&lt;/contributors&gt;&lt;titles&gt;&lt;title&gt;Safety and Health in Arc Welding and Gas Welding and Cutting&lt;/title&gt;&lt;/titles&gt;&lt;pages&gt;78-138&lt;/pages&gt;&lt;dates&gt;&lt;year&gt;1978&lt;/year&gt;&lt;/dates&gt;&lt;pub-location&gt;Ohio&lt;/pub-location&gt;&lt;publisher&gt;National Institute of Occupational Safety and Health (NIOSH)&lt;/publisher&gt;&lt;urls&gt;&lt;related-urls&gt;&lt;url&gt;https://stacks.cdc.gov/view/cdc/209336&lt;/url&gt;&lt;/related-urls&gt;&lt;/urls&gt;&lt;/record&gt;&lt;/Cite&gt;&lt;/EndNote&gt;</w:instrText>
      </w:r>
      <w:r w:rsidR="009A6876" w:rsidRPr="00E74CAC">
        <w:fldChar w:fldCharType="separate"/>
      </w:r>
      <w:r w:rsidR="002B1B60" w:rsidRPr="00E74CAC">
        <w:rPr>
          <w:noProof/>
        </w:rPr>
        <w:t>(CDC, 1978)</w:t>
      </w:r>
      <w:r w:rsidR="009A6876" w:rsidRPr="00E74CAC">
        <w:fldChar w:fldCharType="end"/>
      </w:r>
      <w:r w:rsidR="009C3AC8" w:rsidRPr="00E74CAC">
        <w:t xml:space="preserve">. </w:t>
      </w:r>
      <w:r w:rsidR="00A44C6C" w:rsidRPr="00E74CAC">
        <w:t xml:space="preserve">However, </w:t>
      </w:r>
      <w:r w:rsidR="0098292E" w:rsidRPr="00E74CAC">
        <w:t>the Knowledge, Attitude, and Practice (KAP) of using Personal Protective Equipment among welders varies irrespective of geographic location</w:t>
      </w:r>
      <w:r w:rsidR="00CF3D9F" w:rsidRPr="00E74CAC">
        <w:t xml:space="preserve">. </w:t>
      </w:r>
      <w:r w:rsidR="00783347" w:rsidRPr="00E74CAC">
        <w:t xml:space="preserve">As a result of inconsistencies in the </w:t>
      </w:r>
      <w:r w:rsidR="003E7198" w:rsidRPr="00E74CAC">
        <w:t>PPE adherence, intensity and frequency of the exposure var</w:t>
      </w:r>
      <w:r w:rsidR="00277280" w:rsidRPr="00E74CAC">
        <w:t>ies.</w:t>
      </w:r>
      <w:r w:rsidR="005E532B" w:rsidRPr="00E74CAC">
        <w:t xml:space="preserve"> </w:t>
      </w:r>
      <w:r w:rsidR="00300099" w:rsidRPr="00E74CAC">
        <w:t xml:space="preserve">This results in </w:t>
      </w:r>
      <w:r w:rsidR="00DF59FD" w:rsidRPr="00E74CAC">
        <w:t xml:space="preserve">welders </w:t>
      </w:r>
      <w:r w:rsidR="00641083" w:rsidRPr="00E74CAC">
        <w:t>manifest</w:t>
      </w:r>
      <w:r w:rsidR="00DF59FD" w:rsidRPr="00E74CAC">
        <w:t>ing various</w:t>
      </w:r>
      <w:r w:rsidR="00641083" w:rsidRPr="00E74CAC">
        <w:t xml:space="preserve"> clinical syndromes </w:t>
      </w:r>
      <w:r w:rsidR="00407CF9" w:rsidRPr="00E74CAC">
        <w:t xml:space="preserve">such as myoclonus, auditory-vestibular dysfunction, </w:t>
      </w:r>
      <w:r w:rsidR="00DF59FD" w:rsidRPr="00E74CAC">
        <w:t>cognitive impairment, apnea and anxiety</w:t>
      </w:r>
      <w:r w:rsidR="00D64E06" w:rsidRPr="00E74CAC">
        <w:t xml:space="preserve"> </w:t>
      </w:r>
      <w:r w:rsidR="00D64E06" w:rsidRPr="00E74CAC">
        <w:fldChar w:fldCharType="begin"/>
      </w:r>
      <w:r w:rsidR="006F6D83">
        <w:instrText xml:space="preserve"> ADDIN EN.CITE &lt;EndNote&gt;&lt;Cite&gt;&lt;Author&gt;Josephs&lt;/Author&gt;&lt;Year&gt;2005&lt;/Year&gt;&lt;RecNum&gt;1528&lt;/RecNum&gt;&lt;DisplayText&gt;(Josephs et al., 2005)&lt;/DisplayText&gt;&lt;record&gt;&lt;rec-number&gt;1528&lt;/rec-number&gt;&lt;foreign-keys&gt;&lt;key app="EN" db-id="vxzwr02rlft2rzetvs2prd5y2zf50xpxfd95" timestamp="1766273646"&gt;1528&lt;/key&gt;&lt;/foreign-keys&gt;&lt;ref-type name="Journal Article"&gt;17&lt;/ref-type&gt;&lt;contributors&gt;&lt;authors&gt;&lt;author&gt;Josephs, KA&lt;/author&gt;&lt;author&gt;Ahlskog, JE&lt;/author&gt;&lt;author&gt;Klos, KJ&lt;/author&gt;&lt;author&gt;Kumar, N&lt;/author&gt;&lt;author&gt;Fealey, RD&lt;/author&gt;&lt;author&gt;Trenerry, MR&lt;/author&gt;&lt;author&gt;Cowl, CT&lt;/author&gt;&lt;/authors&gt;&lt;/contributors&gt;&lt;titles&gt;&lt;title&gt;Neurologic manifestations in welders with pallidal MRI T1 hyperintensity&lt;/title&gt;&lt;secondary-title&gt;Neurology&lt;/secondary-title&gt;&lt;/titles&gt;&lt;periodical&gt;&lt;full-title&gt;Neurology&lt;/full-title&gt;&lt;/periodical&gt;&lt;pages&gt;2033-2039&lt;/pages&gt;&lt;volume&gt;64&lt;/volume&gt;&lt;number&gt;12&lt;/number&gt;&lt;dates&gt;&lt;year&gt;2005&lt;/year&gt;&lt;/dates&gt;&lt;isbn&gt;0028-3878&lt;/isbn&gt;&lt;urls&gt;&lt;/urls&gt;&lt;/record&gt;&lt;/Cite&gt;&lt;/EndNote&gt;</w:instrText>
      </w:r>
      <w:r w:rsidR="00D64E06" w:rsidRPr="00E74CAC">
        <w:fldChar w:fldCharType="separate"/>
      </w:r>
      <w:r w:rsidR="00D64E06" w:rsidRPr="00E74CAC">
        <w:rPr>
          <w:noProof/>
        </w:rPr>
        <w:t>(Josephs et al., 2005)</w:t>
      </w:r>
      <w:r w:rsidR="00D64E06" w:rsidRPr="00E74CAC">
        <w:fldChar w:fldCharType="end"/>
      </w:r>
      <w:r w:rsidR="00DF59FD" w:rsidRPr="00E74CAC">
        <w:t>.</w:t>
      </w:r>
      <w:r w:rsidR="00D356EB" w:rsidRPr="00E74CAC">
        <w:t xml:space="preserve"> Confined space welders </w:t>
      </w:r>
      <w:r w:rsidR="00F759CC" w:rsidRPr="00E74CAC">
        <w:t xml:space="preserve">in the construction of San Francisco-Oakland Bay Bridge </w:t>
      </w:r>
      <w:r w:rsidR="00D356EB" w:rsidRPr="00E74CAC">
        <w:t>were repo</w:t>
      </w:r>
      <w:r w:rsidR="00984E5D" w:rsidRPr="00E74CAC">
        <w:t xml:space="preserve">rted with tremors, numbness, insomnia, hallucinations and depression </w:t>
      </w:r>
      <w:r w:rsidR="00557D52" w:rsidRPr="00E74CAC">
        <w:fldChar w:fldCharType="begin"/>
      </w:r>
      <w:r w:rsidR="006F6D83">
        <w:instrText xml:space="preserve"> ADDIN EN.CITE &lt;EndNote&gt;&lt;Cite&gt;&lt;Author&gt;Bowler&lt;/Author&gt;&lt;Year&gt;2007&lt;/Year&gt;&lt;RecNum&gt;1525&lt;/RecNum&gt;&lt;DisplayText&gt;(Bowler et al., 2007)&lt;/DisplayText&gt;&lt;record&gt;&lt;rec-number&gt;1525&lt;/rec-number&gt;&lt;foreign-keys&gt;&lt;key app="EN" db-id="vxzwr02rlft2rzetvs2prd5y2zf50xpxfd95" timestamp="1766273645"&gt;1525&lt;/key&gt;&lt;/foreign-keys&gt;&lt;ref-type name="Journal Article"&gt;17&lt;/ref-type&gt;&lt;contributors&gt;&lt;authors&gt;&lt;author&gt;Bowler, Rosemarie M&lt;/author&gt;&lt;author&gt;Roels, Harry A&lt;/author&gt;&lt;author&gt;Nakagawa, Sanae&lt;/author&gt;&lt;author&gt;Drezgic, Marija&lt;/author&gt;&lt;author&gt;Diamond, Emily&lt;/author&gt;&lt;author&gt;Park, Robert&lt;/author&gt;&lt;author&gt;Koller, William&lt;/author&gt;&lt;author&gt;Bowler, Russell P&lt;/author&gt;&lt;author&gt;Mergler, Donna&lt;/author&gt;&lt;author&gt;Bouchard, Maryse&lt;/author&gt;&lt;/authors&gt;&lt;/contributors&gt;&lt;titles&gt;&lt;title&gt;Dose–effect relationships between manganese exposure and neurological, neuropsychological and pulmonary function in confined space bridge welders&lt;/title&gt;&lt;secondary-title&gt;Occupational and environmental medicine&lt;/secondary-title&gt;&lt;/titles&gt;&lt;periodical&gt;&lt;full-title&gt;Occupational and environmental medicine&lt;/full-title&gt;&lt;/periodical&gt;&lt;pages&gt;167-177&lt;/pages&gt;&lt;volume&gt;64&lt;/volume&gt;&lt;number&gt;3&lt;/number&gt;&lt;dates&gt;&lt;year&gt;2007&lt;/year&gt;&lt;/dates&gt;&lt;isbn&gt;1351-0711&lt;/isbn&gt;&lt;urls&gt;&lt;/urls&gt;&lt;/record&gt;&lt;/Cite&gt;&lt;/EndNote&gt;</w:instrText>
      </w:r>
      <w:r w:rsidR="00557D52" w:rsidRPr="00E74CAC">
        <w:fldChar w:fldCharType="separate"/>
      </w:r>
      <w:r w:rsidR="00557D52" w:rsidRPr="00E74CAC">
        <w:rPr>
          <w:noProof/>
        </w:rPr>
        <w:t>(Bowler et al., 2007)</w:t>
      </w:r>
      <w:r w:rsidR="00557D52" w:rsidRPr="00E74CAC">
        <w:fldChar w:fldCharType="end"/>
      </w:r>
      <w:r w:rsidR="00557D52" w:rsidRPr="00E74CAC">
        <w:t>.</w:t>
      </w:r>
    </w:p>
    <w:p w14:paraId="22CF399C" w14:textId="3E2EBC2B" w:rsidR="00642CC5" w:rsidRPr="00E74CAC" w:rsidRDefault="00A75317" w:rsidP="00E74CAC">
      <w:pPr>
        <w:jc w:val="both"/>
      </w:pPr>
      <w:r w:rsidRPr="00E74CAC">
        <w:t xml:space="preserve">These neurological </w:t>
      </w:r>
      <w:r w:rsidR="00E132A8" w:rsidRPr="00E74CAC">
        <w:t xml:space="preserve">manifestations in welders were attributed to </w:t>
      </w:r>
      <w:proofErr w:type="spellStart"/>
      <w:r w:rsidR="00E132A8" w:rsidRPr="00E74CAC">
        <w:t>Manganism</w:t>
      </w:r>
      <w:proofErr w:type="spellEnd"/>
      <w:r w:rsidR="00CE6AB7" w:rsidRPr="00E74CAC">
        <w:t xml:space="preserve"> </w:t>
      </w:r>
      <w:r w:rsidR="00CE6AB7" w:rsidRPr="00E74CAC">
        <w:fldChar w:fldCharType="begin"/>
      </w:r>
      <w:r w:rsidR="006F6D83">
        <w:instrText xml:space="preserve"> ADDIN EN.CITE &lt;EndNote&gt;&lt;Cite&gt;&lt;Author&gt;Bowler&lt;/Author&gt;&lt;Year&gt;2006&lt;/Year&gt;&lt;RecNum&gt;1526&lt;/RecNum&gt;&lt;DisplayText&gt;(Bowler et al., 2006)&lt;/DisplayText&gt;&lt;record&gt;&lt;rec-number&gt;1526&lt;/rec-number&gt;&lt;foreign-keys&gt;&lt;key app="EN" db-id="vxzwr02rlft2rzetvs2prd5y2zf50xpxfd95" timestamp="1766273645"&gt;1526&lt;/key&gt;&lt;/foreign-keys&gt;&lt;ref-type name="Journal Article"&gt;17&lt;/ref-type&gt;&lt;contributors&gt;&lt;authors&gt;&lt;author&gt;Bowler, Rosemarie M&lt;/author&gt;&lt;author&gt;Koller, William&lt;/author&gt;&lt;author&gt;Schulz, Paul E&lt;/author&gt;&lt;/authors&gt;&lt;/contributors&gt;&lt;titles&gt;&lt;title&gt;Parkinsonism due to manganism in a welder: neurological and neuropsychological sequelae&lt;/title&gt;&lt;secondary-title&gt;Neurotoxicology&lt;/secondary-title&gt;&lt;/titles&gt;&lt;periodical&gt;&lt;full-title&gt;Neurotoxicology&lt;/full-title&gt;&lt;abbr-1&gt;Neurotoxicology&lt;/abbr-1&gt;&lt;/periodical&gt;&lt;pages&gt;327-332&lt;/pages&gt;&lt;volume&gt;27&lt;/volume&gt;&lt;number&gt;3&lt;/number&gt;&lt;dates&gt;&lt;year&gt;2006&lt;/year&gt;&lt;/dates&gt;&lt;isbn&gt;0161-813X&lt;/isbn&gt;&lt;urls&gt;&lt;/urls&gt;&lt;/record&gt;&lt;/Cite&gt;&lt;/EndNote&gt;</w:instrText>
      </w:r>
      <w:r w:rsidR="00CE6AB7" w:rsidRPr="00E74CAC">
        <w:fldChar w:fldCharType="separate"/>
      </w:r>
      <w:r w:rsidR="00CE6AB7" w:rsidRPr="00E74CAC">
        <w:rPr>
          <w:noProof/>
        </w:rPr>
        <w:t>(Bowler et al., 2006)</w:t>
      </w:r>
      <w:r w:rsidR="00CE6AB7" w:rsidRPr="00E74CAC">
        <w:fldChar w:fldCharType="end"/>
      </w:r>
      <w:r w:rsidR="00301407" w:rsidRPr="00E74CAC">
        <w:t xml:space="preserve"> and </w:t>
      </w:r>
      <w:r w:rsidR="007A410C" w:rsidRPr="00E74CAC">
        <w:t>indicated a positive relationship between blood Mn and neurological dysfunction in welders</w:t>
      </w:r>
      <w:r w:rsidR="00AB77EE" w:rsidRPr="00E74CAC">
        <w:fldChar w:fldCharType="begin"/>
      </w:r>
      <w:r w:rsidR="006F6D83">
        <w:instrText xml:space="preserve"> ADDIN EN.CITE &lt;EndNote&gt;&lt;Cite&gt;&lt;Author&gt;Tsuji&lt;/Author&gt;&lt;Year&gt;2023&lt;/Year&gt;&lt;RecNum&gt;1527&lt;/RecNum&gt;&lt;DisplayText&gt;(Tsuji et al., 2023)&lt;/DisplayText&gt;&lt;record&gt;&lt;rec-number&gt;1527&lt;/rec-number&gt;&lt;foreign-keys&gt;&lt;key app="EN" db-id="vxzwr02rlft2rzetvs2prd5y2zf50xpxfd95" timestamp="1766273646"&gt;1527&lt;/key&gt;&lt;/foreign-keys&gt;&lt;ref-type name="Journal Article"&gt;17&lt;/ref-type&gt;&lt;contributors&gt;&lt;authors&gt;&lt;author&gt;Tsuji, Mayumi&lt;/author&gt;&lt;author&gt;Koriyama, Chihaya&lt;/author&gt;&lt;author&gt;Ishihara, Yasuhiro&lt;/author&gt;&lt;author&gt;Isse, Toyohi&lt;/author&gt;&lt;author&gt;Ishizuka, Tsunetoshi&lt;/author&gt;&lt;author&gt;Hasegawa, Wataru&lt;/author&gt;&lt;author&gt;Goto, Motohide&lt;/author&gt;&lt;author&gt;Tanaka, Rie&lt;/author&gt;&lt;author&gt;Kakiuchi, Noriaki&lt;/author&gt;&lt;author&gt;Hori, Hajime&lt;/author&gt;&lt;/authors&gt;&lt;/contributors&gt;&lt;titles&gt;&lt;title&gt;Associations between welding fume exposure and neurological function in Japanese male welders and non-welders&lt;/title&gt;&lt;secondary-title&gt;Journal of Occupational Health&lt;/secondary-title&gt;&lt;/titles&gt;&lt;periodical&gt;&lt;full-title&gt;Journal of Occupational Health&lt;/full-title&gt;&lt;/periodical&gt;&lt;pages&gt;e12393&lt;/pages&gt;&lt;volume&gt;65&lt;/volume&gt;&lt;number&gt;1&lt;/number&gt;&lt;dates&gt;&lt;year&gt;2023&lt;/year&gt;&lt;/dates&gt;&lt;isbn&gt;1341-9145&lt;/isbn&gt;&lt;urls&gt;&lt;/urls&gt;&lt;/record&gt;&lt;/Cite&gt;&lt;/EndNote&gt;</w:instrText>
      </w:r>
      <w:r w:rsidR="00AB77EE" w:rsidRPr="00E74CAC">
        <w:fldChar w:fldCharType="separate"/>
      </w:r>
      <w:r w:rsidR="00AB77EE" w:rsidRPr="00E74CAC">
        <w:rPr>
          <w:noProof/>
        </w:rPr>
        <w:t>(Tsuji et al., 2023)</w:t>
      </w:r>
      <w:r w:rsidR="00AB77EE" w:rsidRPr="00E74CAC">
        <w:fldChar w:fldCharType="end"/>
      </w:r>
      <w:r w:rsidR="007A410C" w:rsidRPr="00E74CAC">
        <w:t xml:space="preserve">. </w:t>
      </w:r>
      <w:r w:rsidR="00A57CAA" w:rsidRPr="00E74CAC">
        <w:t xml:space="preserve">Given that welders </w:t>
      </w:r>
      <w:r w:rsidR="0005178C" w:rsidRPr="00E74CAC">
        <w:t xml:space="preserve">accumulate Mn toxicity, with the incidence of neurological symptoms specifically vestibular dysfunction, </w:t>
      </w:r>
      <w:r w:rsidR="00F4036D" w:rsidRPr="00E74CAC">
        <w:t xml:space="preserve">balance dysfunction and </w:t>
      </w:r>
      <w:r w:rsidR="0005178C" w:rsidRPr="00E74CAC">
        <w:t xml:space="preserve">the fall risk in welders had not been established. While there is </w:t>
      </w:r>
      <w:r w:rsidR="00F4036D" w:rsidRPr="00E74CAC">
        <w:t>an</w:t>
      </w:r>
      <w:r w:rsidR="0005178C" w:rsidRPr="00E74CAC">
        <w:t xml:space="preserve"> </w:t>
      </w:r>
      <w:r w:rsidR="00EE7363" w:rsidRPr="00E74CAC">
        <w:t xml:space="preserve">inconsistency in the adoption of PPE across various settings, </w:t>
      </w:r>
      <w:r w:rsidR="00D06DCB" w:rsidRPr="00E74CAC">
        <w:t xml:space="preserve">in this study our objective is to </w:t>
      </w:r>
      <w:r w:rsidR="00FC3AAE" w:rsidRPr="00E74CAC">
        <w:t xml:space="preserve">determine the prevalence of </w:t>
      </w:r>
      <w:r w:rsidR="00FA4B89" w:rsidRPr="00E74CAC">
        <w:t>balance</w:t>
      </w:r>
      <w:r w:rsidR="00D06DCB" w:rsidRPr="00E74CAC">
        <w:t xml:space="preserve"> dysfunction, postural instability, </w:t>
      </w:r>
      <w:r w:rsidR="00FC3AAE" w:rsidRPr="00E74CAC">
        <w:t xml:space="preserve">and fall </w:t>
      </w:r>
      <w:r w:rsidR="00FA4B89" w:rsidRPr="00E74CAC">
        <w:t>risk</w:t>
      </w:r>
      <w:r w:rsidR="00FC3AAE" w:rsidRPr="00E74CAC">
        <w:t xml:space="preserve"> in welders. </w:t>
      </w:r>
      <w:r w:rsidR="000464F2" w:rsidRPr="00E74CAC">
        <w:t>Based on the evidence of fall risk and postural instability</w:t>
      </w:r>
      <w:r w:rsidR="00DA280B" w:rsidRPr="00E74CAC">
        <w:t xml:space="preserve"> and inconsistency of PPE adoption</w:t>
      </w:r>
      <w:r w:rsidR="000464F2" w:rsidRPr="00E74CAC">
        <w:t xml:space="preserve">, </w:t>
      </w:r>
      <w:r w:rsidR="00EE7363" w:rsidRPr="00E74CAC">
        <w:t xml:space="preserve">we hypothesized that integrating personal and environmental factors of ICF framework would help us to </w:t>
      </w:r>
      <w:r w:rsidR="000464F2" w:rsidRPr="00E74CAC">
        <w:t xml:space="preserve">predict </w:t>
      </w:r>
      <w:r w:rsidR="00DA280B" w:rsidRPr="00E74CAC">
        <w:t xml:space="preserve">fall risk in welders. </w:t>
      </w:r>
      <w:r w:rsidR="00FC1AF2" w:rsidRPr="00E74CAC">
        <w:t>Thus</w:t>
      </w:r>
      <w:r w:rsidR="00FA4B89" w:rsidRPr="00E74CAC">
        <w:t>,</w:t>
      </w:r>
      <w:r w:rsidR="00FC1AF2" w:rsidRPr="00E74CAC">
        <w:t xml:space="preserve"> our second objective of the present study is to predict fall risk in welders by integrating </w:t>
      </w:r>
      <w:r w:rsidR="00642CC5" w:rsidRPr="00E74CAC">
        <w:t xml:space="preserve">personal and </w:t>
      </w:r>
      <w:r w:rsidR="00FA4B89" w:rsidRPr="00E74CAC">
        <w:t>environmental</w:t>
      </w:r>
      <w:r w:rsidR="00642CC5" w:rsidRPr="00E74CAC">
        <w:t xml:space="preserve"> factors of ICF framework.</w:t>
      </w:r>
    </w:p>
    <w:p w14:paraId="47705425" w14:textId="22A5D5B6" w:rsidR="009360A3" w:rsidRPr="00E74CAC" w:rsidRDefault="009360A3" w:rsidP="00E74CAC">
      <w:pPr>
        <w:jc w:val="both"/>
        <w:rPr>
          <w:b/>
          <w:bCs/>
        </w:rPr>
      </w:pPr>
      <w:r w:rsidRPr="00E74CAC">
        <w:rPr>
          <w:b/>
          <w:bCs/>
        </w:rPr>
        <w:lastRenderedPageBreak/>
        <w:t>Methods</w:t>
      </w:r>
      <w:r w:rsidR="00E74CAC">
        <w:rPr>
          <w:b/>
          <w:bCs/>
        </w:rPr>
        <w:t xml:space="preserve"> </w:t>
      </w:r>
    </w:p>
    <w:p w14:paraId="66B65B6B" w14:textId="37957CD4" w:rsidR="00BD48F7" w:rsidRPr="00E74CAC" w:rsidRDefault="009360A3" w:rsidP="00E74CAC">
      <w:pPr>
        <w:jc w:val="both"/>
      </w:pPr>
      <w:r w:rsidRPr="00E74CAC">
        <w:rPr>
          <w:b/>
          <w:bCs/>
        </w:rPr>
        <w:t>Demographics</w:t>
      </w:r>
      <w:r w:rsidR="00263769" w:rsidRPr="00E74CAC">
        <w:rPr>
          <w:b/>
          <w:bCs/>
        </w:rPr>
        <w:t xml:space="preserve"> and Data Characteristics</w:t>
      </w:r>
      <w:r w:rsidRPr="00E74CAC">
        <w:rPr>
          <w:b/>
          <w:bCs/>
        </w:rPr>
        <w:t>:</w:t>
      </w:r>
      <w:r w:rsidR="00E74CAC">
        <w:t xml:space="preserve"> </w:t>
      </w:r>
      <w:r w:rsidRPr="00E74CAC">
        <w:t>In th</w:t>
      </w:r>
      <w:r w:rsidR="00BA286F">
        <w:t>is</w:t>
      </w:r>
      <w:r w:rsidRPr="00E74CAC">
        <w:t xml:space="preserve"> cross-sectional study, the performance of postural stability and balance was measured in Male Welders (n=16) and age-matched healthy subjects (n=10). </w:t>
      </w:r>
      <w:r w:rsidR="00791DB0" w:rsidRPr="00E74CAC">
        <w:t xml:space="preserve">The participant characteristics were provided in Table1. </w:t>
      </w:r>
      <w:r w:rsidR="009E20FB" w:rsidRPr="00E74CAC">
        <w:t xml:space="preserve">The mean age of </w:t>
      </w:r>
      <w:r w:rsidR="009211F0" w:rsidRPr="00E74CAC">
        <w:t xml:space="preserve">Healthy study participants </w:t>
      </w:r>
      <w:r w:rsidR="0098292E" w:rsidRPr="00E74CAC">
        <w:t>was</w:t>
      </w:r>
      <w:r w:rsidR="009211F0" w:rsidRPr="00E74CAC">
        <w:t xml:space="preserve"> 40.80 </w:t>
      </w:r>
      <w:r w:rsidR="00530E0A" w:rsidRPr="00E74CAC">
        <w:t xml:space="preserve">± 8.90 </w:t>
      </w:r>
      <w:r w:rsidR="009211F0" w:rsidRPr="00E74CAC">
        <w:t>years</w:t>
      </w:r>
      <w:r w:rsidR="004E4C2E" w:rsidRPr="00E74CAC">
        <w:t>,</w:t>
      </w:r>
      <w:r w:rsidR="009211F0" w:rsidRPr="00E74CAC">
        <w:t xml:space="preserve"> and the welders were 41.81 </w:t>
      </w:r>
      <w:r w:rsidR="00530E0A" w:rsidRPr="00E74CAC">
        <w:t xml:space="preserve">± 6.27 </w:t>
      </w:r>
      <w:r w:rsidR="009211F0" w:rsidRPr="00E74CAC">
        <w:t>years</w:t>
      </w:r>
      <w:r w:rsidR="004E4C2E" w:rsidRPr="00E74CAC">
        <w:t>.</w:t>
      </w:r>
      <w:r w:rsidR="009211F0" w:rsidRPr="00E74CAC">
        <w:t xml:space="preserve"> </w:t>
      </w:r>
      <w:r w:rsidRPr="00E74CAC">
        <w:t>The welders were recruited from the industrial workplace in Puducherry, Union Territory, India.</w:t>
      </w:r>
      <w:r w:rsidR="008A1245" w:rsidRPr="00E74CAC">
        <w:t xml:space="preserve"> </w:t>
      </w:r>
      <w:r w:rsidR="000F393B" w:rsidRPr="000F393B">
        <w:t xml:space="preserve">University at Buffalo approved the study protocol (STUDY00006888). All participants provided informed consent before participating in the study, in accordance with the guidelines and principles outlined in the Declaration of Helsinki. Adherence to ethical guidelines ensured the protection of study participants throughout the study. </w:t>
      </w:r>
      <w:r w:rsidR="008A1245" w:rsidRPr="00E74CAC">
        <w:t xml:space="preserve">Our primary outcome measures were </w:t>
      </w:r>
      <w:r w:rsidR="00E12466" w:rsidRPr="00E74CAC">
        <w:t xml:space="preserve">the </w:t>
      </w:r>
      <w:r w:rsidR="008A1245" w:rsidRPr="00E74CAC">
        <w:t>Berg Balance Scale (BBS), Fall Efficacy Scale (FES), and Mini-BEST (Balance Evaluation Systems Test).</w:t>
      </w:r>
      <w:r w:rsidR="0086178A" w:rsidRPr="00E74CAC">
        <w:t xml:space="preserve"> </w:t>
      </w:r>
      <w:r w:rsidR="00BD48F7" w:rsidRPr="00E74CAC">
        <w:t xml:space="preserve">The analytic </w:t>
      </w:r>
      <w:r w:rsidR="00FB0F03" w:rsidRPr="00E74CAC">
        <w:t>data set</w:t>
      </w:r>
      <w:r w:rsidR="00BD48F7" w:rsidRPr="00E74CAC">
        <w:t xml:space="preserve"> </w:t>
      </w:r>
      <w:r w:rsidR="00F824FA" w:rsidRPr="00E74CAC">
        <w:t>consisted of a combination of occupational exposure variables (e.g., fumes, noise, vibration, welding type, hours worked, and use of personal protective equipment), socio-demographic characteristics (e.g., education level, living conditions, family environment), and health-related indicators (e.g., comorbidities, alcohol consumption).</w:t>
      </w:r>
      <w:r w:rsidR="0012459A" w:rsidRPr="00E74CAC">
        <w:t xml:space="preserve"> All analys</w:t>
      </w:r>
      <w:r w:rsidR="00BA286F">
        <w:t xml:space="preserve">es were </w:t>
      </w:r>
      <w:r w:rsidR="0012459A" w:rsidRPr="00E74CAC">
        <w:t>conducted using R statistical software 4.5.2.</w:t>
      </w:r>
    </w:p>
    <w:p w14:paraId="2B8D79A5" w14:textId="6D032D1F" w:rsidR="00791DB0" w:rsidRPr="00E74CAC" w:rsidRDefault="00791DB0" w:rsidP="00E74CAC">
      <w:pPr>
        <w:jc w:val="both"/>
      </w:pPr>
      <w:r w:rsidRPr="00E74CAC">
        <w:rPr>
          <w:b/>
          <w:bCs/>
        </w:rPr>
        <w:t>Balance Outcomes:</w:t>
      </w:r>
      <w:r w:rsidRPr="00E74CAC">
        <w:t xml:space="preserve"> The BBS</w:t>
      </w:r>
      <w:r w:rsidR="00093288" w:rsidRPr="00E74CAC">
        <w:t xml:space="preserve"> </w:t>
      </w:r>
      <w:r w:rsidR="00093288" w:rsidRPr="00E74CAC">
        <w:fldChar w:fldCharType="begin"/>
      </w:r>
      <w:r w:rsidR="006F6D83">
        <w:instrText xml:space="preserve"> ADDIN EN.CITE &lt;EndNote&gt;&lt;Cite&gt;&lt;Author&gt;Downs&lt;/Author&gt;&lt;Year&gt;2013&lt;/Year&gt;&lt;RecNum&gt;1529&lt;/RecNum&gt;&lt;DisplayText&gt;(Downs et al., 2013)&lt;/DisplayText&gt;&lt;record&gt;&lt;rec-number&gt;1529&lt;/rec-number&gt;&lt;foreign-keys&gt;&lt;key app="EN" db-id="vxzwr02rlft2rzetvs2prd5y2zf50xpxfd95" timestamp="1766276065"&gt;1529&lt;/key&gt;&lt;/foreign-keys&gt;&lt;ref-type name="Journal Article"&gt;17&lt;/ref-type&gt;&lt;contributors&gt;&lt;authors&gt;&lt;author&gt;Downs, S.&lt;/author&gt;&lt;author&gt;Marquez, J.&lt;/author&gt;&lt;author&gt;Chiarelli, P.&lt;/author&gt;&lt;/authors&gt;&lt;/contributors&gt;&lt;auth-address&gt;Transitional Aged Care, Bellingen Hospital. Stephen.downs@ncahs.health.nsw.gov.au&lt;/auth-address&gt;&lt;titles&gt;&lt;title&gt;The Berg Balance Scale has high intra- and inter-rater reliability but absolute reliability varies across the scale: a systematic review&lt;/title&gt;&lt;secondary-title&gt;J Physiother&lt;/secondary-title&gt;&lt;/titles&gt;&lt;periodical&gt;&lt;full-title&gt;J Physiother&lt;/full-title&gt;&lt;/periodical&gt;&lt;pages&gt;93-9&lt;/pages&gt;&lt;volume&gt;59&lt;/volume&gt;&lt;number&gt;2&lt;/number&gt;&lt;keywords&gt;&lt;keyword&gt;*Disability Evaluation&lt;/keyword&gt;&lt;keyword&gt;Humans&lt;/keyword&gt;&lt;keyword&gt;Observer Variation&lt;/keyword&gt;&lt;keyword&gt;Physical Therapy Modalities/*instrumentation/*standards&lt;/keyword&gt;&lt;keyword&gt;*Postural Balance&lt;/keyword&gt;&lt;keyword&gt;Reproducibility of Results&lt;/keyword&gt;&lt;/keywords&gt;&lt;dates&gt;&lt;year&gt;2013&lt;/year&gt;&lt;pub-dates&gt;&lt;date&gt;Jun&lt;/date&gt;&lt;/pub-dates&gt;&lt;/dates&gt;&lt;isbn&gt;1836-9553 (Print)&amp;#xD;1836-9561&lt;/isbn&gt;&lt;accession-num&gt;23663794&lt;/accession-num&gt;&lt;urls&gt;&lt;/urls&gt;&lt;electronic-resource-num&gt;10.1016/s1836-9553(13)70161-9&lt;/electronic-resource-num&gt;&lt;remote-database-provider&gt;NLM&lt;/remote-database-provider&gt;&lt;language&gt;eng&lt;/language&gt;&lt;/record&gt;&lt;/Cite&gt;&lt;/EndNote&gt;</w:instrText>
      </w:r>
      <w:r w:rsidR="00093288" w:rsidRPr="00E74CAC">
        <w:fldChar w:fldCharType="separate"/>
      </w:r>
      <w:r w:rsidR="00093288" w:rsidRPr="00E74CAC">
        <w:rPr>
          <w:noProof/>
        </w:rPr>
        <w:t>(Downs et al., 2013)</w:t>
      </w:r>
      <w:r w:rsidR="00093288" w:rsidRPr="00E74CAC">
        <w:fldChar w:fldCharType="end"/>
      </w:r>
      <w:r w:rsidRPr="00E74CAC">
        <w:t>, FES and m</w:t>
      </w:r>
      <w:r w:rsidR="00093288" w:rsidRPr="00E74CAC">
        <w:t xml:space="preserve">ini </w:t>
      </w:r>
      <w:r w:rsidRPr="00E74CAC">
        <w:t xml:space="preserve">BEST </w:t>
      </w:r>
      <w:r w:rsidR="00093288" w:rsidRPr="00E74CAC">
        <w:fldChar w:fldCharType="begin"/>
      </w:r>
      <w:r w:rsidR="006F6D83">
        <w:instrText xml:space="preserve"> ADDIN EN.CITE &lt;EndNote&gt;&lt;Cite&gt;&lt;Author&gt;Godi&lt;/Author&gt;&lt;Year&gt;2013&lt;/Year&gt;&lt;RecNum&gt;1530&lt;/RecNum&gt;&lt;DisplayText&gt;(Godi et al., 2013)&lt;/DisplayText&gt;&lt;record&gt;&lt;rec-number&gt;1530&lt;/rec-number&gt;&lt;foreign-keys&gt;&lt;key app="EN" db-id="vxzwr02rlft2rzetvs2prd5y2zf50xpxfd95" timestamp="1766276239"&gt;1530&lt;/key&gt;&lt;/foreign-keys&gt;&lt;ref-type name="Journal Article"&gt;17&lt;/ref-type&gt;&lt;contributors&gt;&lt;authors&gt;&lt;author&gt;Godi, M.&lt;/author&gt;&lt;author&gt;Franchignoni, F.&lt;/author&gt;&lt;author&gt;Caligari, M.&lt;/author&gt;&lt;author&gt;Giordano, A.&lt;/author&gt;&lt;author&gt;Turcato, A. M.&lt;/author&gt;&lt;author&gt;Nardone, A.&lt;/author&gt;&lt;/authors&gt;&lt;/contributors&gt;&lt;auth-address&gt;Posture and Movement Laboratory, Division of Physical Medicine and Rehabilitation, Salvatore Maugeri Foundation-IRCCS, Veruno, Italy.&lt;/auth-address&gt;&lt;titles&gt;&lt;title&gt;Comparison of reliability, validity, and responsiveness of the mini-BESTest and Berg Balance Scale in patients with balance disorders&lt;/title&gt;&lt;secondary-title&gt;Phys Ther&lt;/secondary-title&gt;&lt;/titles&gt;&lt;periodical&gt;&lt;full-title&gt;Phys Ther&lt;/full-title&gt;&lt;/periodical&gt;&lt;pages&gt;158-67&lt;/pages&gt;&lt;volume&gt;93&lt;/volume&gt;&lt;number&gt;2&lt;/number&gt;&lt;edition&gt;20120927&lt;/edition&gt;&lt;keywords&gt;&lt;keyword&gt;Aged&lt;/keyword&gt;&lt;keyword&gt;Central Nervous System Diseases/*physiopathology/*rehabilitation&lt;/keyword&gt;&lt;keyword&gt;*Disability Evaluation&lt;/keyword&gt;&lt;keyword&gt;Female&lt;/keyword&gt;&lt;keyword&gt;Humans&lt;/keyword&gt;&lt;keyword&gt;Male&lt;/keyword&gt;&lt;keyword&gt;*Physical Therapy Modalities&lt;/keyword&gt;&lt;keyword&gt;Postural Balance/*physiology&lt;/keyword&gt;&lt;keyword&gt;Prospective Studies&lt;/keyword&gt;&lt;keyword&gt;Psychometrics&lt;/keyword&gt;&lt;keyword&gt;ROC Curve&lt;/keyword&gt;&lt;keyword&gt;Reproducibility of Results&lt;/keyword&gt;&lt;/keywords&gt;&lt;dates&gt;&lt;year&gt;2013&lt;/year&gt;&lt;pub-dates&gt;&lt;date&gt;Feb&lt;/date&gt;&lt;/pub-dates&gt;&lt;/dates&gt;&lt;isbn&gt;0031-9023&lt;/isbn&gt;&lt;accession-num&gt;23023812&lt;/accession-num&gt;&lt;urls&gt;&lt;/urls&gt;&lt;electronic-resource-num&gt;10.2522/ptj.20120171&lt;/electronic-resource-num&gt;&lt;remote-database-provider&gt;NLM&lt;/remote-database-provider&gt;&lt;language&gt;eng&lt;/language&gt;&lt;/record&gt;&lt;/Cite&gt;&lt;/EndNote&gt;</w:instrText>
      </w:r>
      <w:r w:rsidR="00093288" w:rsidRPr="00E74CAC">
        <w:fldChar w:fldCharType="separate"/>
      </w:r>
      <w:r w:rsidR="00093288" w:rsidRPr="00E74CAC">
        <w:rPr>
          <w:noProof/>
        </w:rPr>
        <w:t>(Godi et al., 2013)</w:t>
      </w:r>
      <w:r w:rsidR="00093288" w:rsidRPr="00E74CAC">
        <w:fldChar w:fldCharType="end"/>
      </w:r>
      <w:r w:rsidR="00DD098C" w:rsidRPr="00E74CAC">
        <w:t xml:space="preserve"> </w:t>
      </w:r>
      <w:r w:rsidRPr="00E74CAC">
        <w:t xml:space="preserve">were used to evaluate the </w:t>
      </w:r>
      <w:r w:rsidR="00093288" w:rsidRPr="00E74CAC">
        <w:t>balance and fall risk.</w:t>
      </w:r>
      <w:r w:rsidR="003C079C" w:rsidRPr="00E74CAC">
        <w:t xml:space="preserve"> Balance outcomes (FES, BBS, and </w:t>
      </w:r>
      <w:proofErr w:type="spellStart"/>
      <w:r w:rsidR="003C079C" w:rsidRPr="00E74CAC">
        <w:t>mBEST</w:t>
      </w:r>
      <w:proofErr w:type="spellEnd"/>
      <w:r w:rsidR="003C079C" w:rsidRPr="00E74CAC">
        <w:t>) were compared between groups (Control Vs Welders) using Wilcoxon rank-sum tests as the primary inference method, with rank-biserial correlation reported as an effect size. As a secondary analysis, Welch’s t-test and standardized mean differences (Hedges’ g) were also reported</w:t>
      </w:r>
      <w:r w:rsidR="003A4C44">
        <w:t xml:space="preserve"> (Table.2)</w:t>
      </w:r>
      <w:r w:rsidR="003C079C" w:rsidRPr="00E74CAC">
        <w:t>. To control family-wise error across the three balance outcomes, Bonferroni-adjusted p-values were calculated.</w:t>
      </w:r>
    </w:p>
    <w:p w14:paraId="60A2B224" w14:textId="00569101" w:rsidR="008D200C" w:rsidRPr="00E74CAC" w:rsidRDefault="008D200C" w:rsidP="00E74CAC">
      <w:pPr>
        <w:jc w:val="both"/>
      </w:pPr>
      <w:r w:rsidRPr="00E74CAC">
        <w:rPr>
          <w:b/>
          <w:bCs/>
        </w:rPr>
        <w:t>Principal Component Analysis</w:t>
      </w:r>
      <w:r w:rsidR="00E74CAC" w:rsidRPr="00E74CAC">
        <w:rPr>
          <w:b/>
          <w:bCs/>
        </w:rPr>
        <w:t>.</w:t>
      </w:r>
      <w:r w:rsidR="00E74CAC">
        <w:t xml:space="preserve"> </w:t>
      </w:r>
      <w:r w:rsidRPr="00E74CAC">
        <w:t xml:space="preserve">To reduce dimensionality and derive latent constructs from related variables, we conducted separate principal component analyses (PCA) for three domains: (1) balance function, (2) occupational exposure, and (3) personal protective equipment (PPE) use. </w:t>
      </w:r>
      <w:r w:rsidR="0081324B" w:rsidRPr="00E74CAC">
        <w:t xml:space="preserve">In </w:t>
      </w:r>
      <w:r w:rsidR="0098292E" w:rsidRPr="00E74CAC">
        <w:t xml:space="preserve">the </w:t>
      </w:r>
      <w:r w:rsidR="0081324B" w:rsidRPr="00E74CAC">
        <w:t>Balance domain, t</w:t>
      </w:r>
      <w:r w:rsidRPr="00E74CAC">
        <w:t xml:space="preserve">hree validated measures of balance were included: </w:t>
      </w:r>
      <w:r w:rsidR="00C92E51" w:rsidRPr="00E74CAC">
        <w:t>the Berg Balance Scale (BBS), the Falls Efficacy Scale (FES), and the</w:t>
      </w:r>
      <w:r w:rsidRPr="00E74CAC">
        <w:t xml:space="preserve"> Mini-</w:t>
      </w:r>
      <w:proofErr w:type="spellStart"/>
      <w:r w:rsidRPr="00E74CAC">
        <w:t>BESTest</w:t>
      </w:r>
      <w:proofErr w:type="spellEnd"/>
      <w:r w:rsidRPr="00E74CAC">
        <w:t xml:space="preserve"> (MBEST). Because these scales were continuous and measured on different ranges, all values were standardized (z-scores) prior to PCA.</w:t>
      </w:r>
      <w:r w:rsidR="0081324B" w:rsidRPr="00E74CAC">
        <w:t xml:space="preserve"> In the E</w:t>
      </w:r>
      <w:r w:rsidRPr="00E74CAC">
        <w:t>xposure domain</w:t>
      </w:r>
      <w:r w:rsidR="0081324B" w:rsidRPr="00E74CAC">
        <w:t xml:space="preserve">, </w:t>
      </w:r>
      <w:r w:rsidRPr="00E74CAC">
        <w:t>Self-reported occupational exposures were assessed for three agents: noise, vibration, and fumes. Each was captured as continuous exposure (yes/no), frequency of exposure (never, occasional, frequent</w:t>
      </w:r>
      <w:r w:rsidR="00745FCE">
        <w:t>, and Constant</w:t>
      </w:r>
      <w:r w:rsidRPr="00E74CAC">
        <w:t>), and duration.  Standardized variables were then entered into PCA to identify latent exposure dimensions.</w:t>
      </w:r>
      <w:r w:rsidR="0081324B" w:rsidRPr="00E74CAC">
        <w:t xml:space="preserve"> In the </w:t>
      </w:r>
      <w:r w:rsidRPr="00E74CAC">
        <w:t>PPE domain</w:t>
      </w:r>
      <w:r w:rsidR="0081324B" w:rsidRPr="00E74CAC">
        <w:t xml:space="preserve">, </w:t>
      </w:r>
      <w:r w:rsidRPr="00E74CAC">
        <w:t xml:space="preserve">Self-reported use of PPE was collected for hearing protection, respiratory protection, and eye protection. Each item was </w:t>
      </w:r>
      <w:r w:rsidRPr="00E74CAC">
        <w:lastRenderedPageBreak/>
        <w:t>categorized as never, sometimes, or always. The number of retained components was determined by eigenvalues &gt;1 (Kaiser criterion), scree plot inspection, and the cumulative variance explained threshold of 70–80%. Component loadings ≥ |0.40| were considered salient for interpretation.</w:t>
      </w:r>
      <w:r w:rsidR="00737502" w:rsidRPr="00E74CAC">
        <w:t xml:space="preserve"> </w:t>
      </w:r>
    </w:p>
    <w:p w14:paraId="6EA3DC06" w14:textId="653A83FE" w:rsidR="00E74CAC" w:rsidRPr="00E74CAC" w:rsidRDefault="00E4612F" w:rsidP="00E74CAC">
      <w:pPr>
        <w:jc w:val="both"/>
      </w:pPr>
      <w:r w:rsidRPr="00E74CAC">
        <w:rPr>
          <w:b/>
          <w:bCs/>
        </w:rPr>
        <w:t>Firth Logistic Regression</w:t>
      </w:r>
      <w:r w:rsidR="00E74CAC" w:rsidRPr="00E74CAC">
        <w:rPr>
          <w:b/>
          <w:bCs/>
        </w:rPr>
        <w:t>.</w:t>
      </w:r>
      <w:r w:rsidR="00E74CAC">
        <w:t xml:space="preserve"> </w:t>
      </w:r>
      <w:r w:rsidR="00E74CAC" w:rsidRPr="00E74CAC">
        <w:t xml:space="preserve">Because the outcome (fall history; </w:t>
      </w:r>
      <w:proofErr w:type="spellStart"/>
      <w:r w:rsidR="00E74CAC" w:rsidRPr="00E74CAC">
        <w:t>FallHist</w:t>
      </w:r>
      <w:proofErr w:type="spellEnd"/>
      <w:r w:rsidR="00E74CAC" w:rsidRPr="00E74CAC">
        <w:t xml:space="preserve">, coded 0/1) was modeled with a small sample (n = 26) and risk of separation, we used Firth penalized logistic regression (package </w:t>
      </w:r>
      <w:proofErr w:type="spellStart"/>
      <w:r w:rsidR="00E74CAC" w:rsidRPr="00E74CAC">
        <w:t>logistf</w:t>
      </w:r>
      <w:proofErr w:type="spellEnd"/>
      <w:r w:rsidR="00E74CAC" w:rsidRPr="00E74CAC">
        <w:t>) to obtain bias-reduced coefficient estimates and stable confidence intervals</w:t>
      </w:r>
      <w:r w:rsidR="006F1F02">
        <w:fldChar w:fldCharType="begin"/>
      </w:r>
      <w:r w:rsidR="006F1F02">
        <w:instrText xml:space="preserve"> ADDIN EN.CITE &lt;EndNote&gt;&lt;Cite&gt;&lt;Author&gt;Russell&lt;/Author&gt;&lt;Year&gt;2009&lt;/Year&gt;&lt;RecNum&gt;1541&lt;/RecNum&gt;&lt;DisplayText&gt;(Russell et al., 2009)&lt;/DisplayText&gt;&lt;record&gt;&lt;rec-number&gt;1541&lt;/rec-number&gt;&lt;foreign-keys&gt;&lt;key app="EN" db-id="vxzwr02rlft2rzetvs2prd5y2zf50xpxfd95" timestamp="1766956999"&gt;1541&lt;/key&gt;&lt;/foreign-keys&gt;&lt;ref-type name="Journal Article"&gt;17&lt;/ref-type&gt;&lt;contributors&gt;&lt;authors&gt;&lt;author&gt;Russell, Kenneth G&lt;/author&gt;&lt;author&gt;Eccleston, JA&lt;/author&gt;&lt;author&gt;Lewis, Susan M&lt;/author&gt;&lt;author&gt;Woods, David C&lt;/author&gt;&lt;/authors&gt;&lt;/contributors&gt;&lt;titles&gt;&lt;title&gt;Design considerations for small experiments and simple logistic regression&lt;/title&gt;&lt;secondary-title&gt;Journal of Statistical Computation and Simulation&lt;/secondary-title&gt;&lt;/titles&gt;&lt;periodical&gt;&lt;full-title&gt;Journal of Statistical Computation and Simulation&lt;/full-title&gt;&lt;/periodical&gt;&lt;pages&gt;81-91&lt;/pages&gt;&lt;volume&gt;79&lt;/volume&gt;&lt;number&gt;1&lt;/number&gt;&lt;dates&gt;&lt;year&gt;2009&lt;/year&gt;&lt;/dates&gt;&lt;isbn&gt;0094-9655&lt;/isbn&gt;&lt;urls&gt;&lt;/urls&gt;&lt;/record&gt;&lt;/Cite&gt;&lt;/EndNote&gt;</w:instrText>
      </w:r>
      <w:r w:rsidR="006F1F02">
        <w:fldChar w:fldCharType="separate"/>
      </w:r>
      <w:r w:rsidR="006F1F02">
        <w:rPr>
          <w:noProof/>
        </w:rPr>
        <w:t>(Russell et al., 2009)</w:t>
      </w:r>
      <w:r w:rsidR="006F1F02">
        <w:fldChar w:fldCharType="end"/>
      </w:r>
      <w:r w:rsidR="00E74CAC" w:rsidRPr="00E74CAC">
        <w:t xml:space="preserve">. Four models were fit: three reduced models including Age plus one principal component at a time (Balance_PC1, Exp_PC1, or PPE_PC1), and a full multivariable model including Age + Balance_PC1 + Exp_PC1 + PPE_PC1. For each model, we report odds ratios (OR = exp(β)), 95% confidence intervals derived from profile penalized likelihood, and p-values from the penalized likelihood framework. Model fit was summarized using log-likelihood and AIC, and reduced models were compared to the full model using likelihood-ratio tests based on differences in penalized log-likelihood. </w:t>
      </w:r>
    </w:p>
    <w:p w14:paraId="131FB173" w14:textId="2C1746D1" w:rsidR="00A50660" w:rsidRPr="00E74CAC" w:rsidRDefault="00A50660" w:rsidP="00E74CAC">
      <w:pPr>
        <w:jc w:val="both"/>
      </w:pPr>
      <w:r w:rsidRPr="00E74CAC">
        <w:rPr>
          <w:b/>
          <w:bCs/>
        </w:rPr>
        <w:t>Factor Analysis of Mixed Variables.</w:t>
      </w:r>
      <w:r w:rsidR="00E74CAC">
        <w:t xml:space="preserve"> </w:t>
      </w:r>
      <w:r w:rsidRPr="00E74CAC">
        <w:t>With integration of Personal and Environmental Factors of ICF, the Factor Analysis of Mixed Variables (FAMD) identified the top variables that contribute to the variance and explored the underlying structure of the dataset. FAMD, an extension of principal component analysis (PCA) and multiple correspondence analysis (MCA), computes dimensions that maximize variance explained while balancing the contributions of different variable types</w:t>
      </w:r>
      <w:r w:rsidR="006F1F02">
        <w:fldChar w:fldCharType="begin"/>
      </w:r>
      <w:r w:rsidR="006F1F02">
        <w:instrText xml:space="preserve"> ADDIN EN.CITE &lt;EndNote&gt;&lt;Cite&gt;&lt;Author&gt;Magano&lt;/Author&gt;&lt;Year&gt;2025&lt;/Year&gt;&lt;RecNum&gt;1542&lt;/RecNum&gt;&lt;DisplayText&gt;(Magano et al., 2025)&lt;/DisplayText&gt;&lt;record&gt;&lt;rec-number&gt;1542&lt;/rec-number&gt;&lt;foreign-keys&gt;&lt;key app="EN" db-id="vxzwr02rlft2rzetvs2prd5y2zf50xpxfd95" timestamp="1766957063"&gt;1542&lt;/key&gt;&lt;/foreign-keys&gt;&lt;ref-type name="Journal Article"&gt;17&lt;/ref-type&gt;&lt;contributors&gt;&lt;authors&gt;&lt;author&gt;Magano, Daniel&lt;/author&gt;&lt;author&gt;Barros, António S.&lt;/author&gt;&lt;author&gt;Massano, João&lt;/author&gt;&lt;author&gt;Alsuwaidi, Laila&lt;/author&gt;&lt;author&gt;Taveira-Gomes, Tiago&lt;/author&gt;&lt;/authors&gt;&lt;/contributors&gt;&lt;titles&gt;&lt;title&gt;Non-motor symptoms as critical predictors of quality of life in Parkinson’s disease: a machine learning approach&lt;/title&gt;&lt;secondary-title&gt;Health and Quality of Life Outcomes&lt;/secondary-title&gt;&lt;/titles&gt;&lt;periodical&gt;&lt;full-title&gt;Health and Quality of Life Outcomes&lt;/full-title&gt;&lt;/periodical&gt;&lt;dates&gt;&lt;year&gt;2025&lt;/year&gt;&lt;pub-dates&gt;&lt;date&gt;2025/12/06&lt;/date&gt;&lt;/pub-dates&gt;&lt;/dates&gt;&lt;isbn&gt;1477-7525&lt;/isbn&gt;&lt;urls&gt;&lt;related-urls&gt;&lt;url&gt;https://doi.org/10.1186/s12955-025-02451-2&lt;/url&gt;&lt;/related-urls&gt;&lt;/urls&gt;&lt;electronic-resource-num&gt;10.1186/s12955-025-02451-2&lt;/electronic-resource-num&gt;&lt;/record&gt;&lt;/Cite&gt;&lt;/EndNote&gt;</w:instrText>
      </w:r>
      <w:r w:rsidR="006F1F02">
        <w:fldChar w:fldCharType="separate"/>
      </w:r>
      <w:r w:rsidR="006F1F02">
        <w:rPr>
          <w:noProof/>
        </w:rPr>
        <w:t>(Magano et al., 2025)</w:t>
      </w:r>
      <w:r w:rsidR="006F1F02">
        <w:fldChar w:fldCharType="end"/>
      </w:r>
      <w:r w:rsidRPr="00E74CAC">
        <w:t>. Continuous variables were automatically standardized to have a mean of zero and unit variance. In contrast, categorical variables were weighted according to the inverse of their frequency to prevent overrepresentation of common categories.</w:t>
      </w:r>
    </w:p>
    <w:p w14:paraId="6A1DEF01" w14:textId="7642D0A7" w:rsidR="00C16112" w:rsidRPr="00745FCE" w:rsidRDefault="0040064E" w:rsidP="00E74CAC">
      <w:pPr>
        <w:jc w:val="both"/>
        <w:rPr>
          <w:b/>
          <w:bCs/>
        </w:rPr>
      </w:pPr>
      <w:r w:rsidRPr="00745FCE">
        <w:rPr>
          <w:b/>
          <w:bCs/>
        </w:rPr>
        <w:t>Results.</w:t>
      </w:r>
    </w:p>
    <w:p w14:paraId="52118419" w14:textId="1AB04DFE" w:rsidR="00626561" w:rsidRPr="00E74CAC" w:rsidRDefault="00626561" w:rsidP="00E74CAC">
      <w:pPr>
        <w:jc w:val="both"/>
      </w:pPr>
      <w:r w:rsidRPr="00E74CAC">
        <w:rPr>
          <w:b/>
          <w:bCs/>
        </w:rPr>
        <w:t>Balance Outcome Measures.</w:t>
      </w:r>
      <w:r w:rsidRPr="00E74CAC">
        <w:t xml:space="preserve"> Balance outcomes</w:t>
      </w:r>
      <w:r w:rsidR="003A7B8C" w:rsidRPr="00E74CAC">
        <w:t xml:space="preserve"> (Figure 1)</w:t>
      </w:r>
      <w:r w:rsidRPr="00E74CAC">
        <w:t xml:space="preserve"> were compared between Control and Welders using Wilcoxon rank-sum tests as the primary analysis, with rank-biserial correlation reported as the effect size. The Wilcoxon tests revealed significant group differences in FES (p = 0.0047, </w:t>
      </w:r>
      <w:proofErr w:type="spellStart"/>
      <w:r w:rsidRPr="00E74CAC">
        <w:t>r_b</w:t>
      </w:r>
      <w:proofErr w:type="spellEnd"/>
      <w:r w:rsidRPr="00E74CAC">
        <w:t xml:space="preserve"> = 0.669), BBS (p = 0.0213, </w:t>
      </w:r>
      <w:proofErr w:type="spellStart"/>
      <w:r w:rsidRPr="00E74CAC">
        <w:t>r_b</w:t>
      </w:r>
      <w:proofErr w:type="spellEnd"/>
      <w:r w:rsidRPr="00E74CAC">
        <w:t xml:space="preserve"> = -0.544), and MBEST (p = 0.0462, </w:t>
      </w:r>
      <w:proofErr w:type="spellStart"/>
      <w:r w:rsidRPr="00E74CAC">
        <w:t>r_b</w:t>
      </w:r>
      <w:proofErr w:type="spellEnd"/>
      <w:r w:rsidRPr="00E74CAC">
        <w:t xml:space="preserve"> = -0.475). After Bonferroni correction for multiple comparisons, the adjusted p-values remained significant for FES (p = 0.014) and BBS (p = 0.063), but MBEST did not reach significance (p = 0.138).  Secondary analyses using Welch’s t-tests indicated significant differences in FES (p = 0.0577, t = -1.99), BBS (p = 0.0274, t = 2.39), and MBEST (p = 0.0338, t = 2.25). Effect sizes based on Hedges' g ranged from -0.77 to -0.76 across outcomes, suggesting moderate to large differences favoring controls or welders depending on the outcome.</w:t>
      </w:r>
    </w:p>
    <w:p w14:paraId="1E683EEA" w14:textId="6EE49D01" w:rsidR="002E2D94" w:rsidRPr="00E74CAC" w:rsidRDefault="002E2D94" w:rsidP="00E74CAC">
      <w:pPr>
        <w:jc w:val="both"/>
      </w:pPr>
      <w:r w:rsidRPr="00E74CAC">
        <w:rPr>
          <w:b/>
          <w:bCs/>
        </w:rPr>
        <w:lastRenderedPageBreak/>
        <w:t>PCA of Balance, Exposure and PPE Variables.</w:t>
      </w:r>
      <w:r w:rsidRPr="00E74CAC">
        <w:t xml:space="preserve"> </w:t>
      </w:r>
      <w:r w:rsidR="00E74CAC">
        <w:t xml:space="preserve"> </w:t>
      </w:r>
      <w:r w:rsidRPr="00E74CAC">
        <w:t xml:space="preserve">Balance PCA (BBS, FES, </w:t>
      </w:r>
      <w:proofErr w:type="spellStart"/>
      <w:r w:rsidRPr="00E74CAC">
        <w:t>mBEST</w:t>
      </w:r>
      <w:proofErr w:type="spellEnd"/>
      <w:r w:rsidRPr="00E74CAC">
        <w:t>). Principal component analysis of balance-related measures revealed a dominant first component (PC1) that accounted for 77.3% of the total variance</w:t>
      </w:r>
      <w:r w:rsidR="007411D2">
        <w:t xml:space="preserve"> (Figure 2A and B)</w:t>
      </w:r>
      <w:r w:rsidRPr="00E74CAC">
        <w:t xml:space="preserve">, with PC2 and PC3 explaining an additional 16.1% and 6.6%, respectively. The strong dominance of PC1 indicates that BBS, FES, and </w:t>
      </w:r>
      <w:proofErr w:type="spellStart"/>
      <w:r w:rsidRPr="00E74CAC">
        <w:t>mBEST</w:t>
      </w:r>
      <w:proofErr w:type="spellEnd"/>
      <w:r w:rsidRPr="00E74CAC">
        <w:t xml:space="preserve"> load onto a single underlying balance construct, capturing overall postural control and balance confidence. Given the high proportion of explained variance, Balance_PC1 was retained as a parsimonious summary measure for subsequent modeling.</w:t>
      </w:r>
    </w:p>
    <w:p w14:paraId="20424D8F" w14:textId="65CBFFF9" w:rsidR="002E2D94" w:rsidRPr="00E74CAC" w:rsidRDefault="002E2D94" w:rsidP="00E74CAC">
      <w:pPr>
        <w:jc w:val="both"/>
      </w:pPr>
      <w:r w:rsidRPr="00E74CAC">
        <w:t>Exposure PCA (Noise, Vibration, Fumes). PCA of occupational exposure variables (noise, vibration, and fumes; represented via dummy coding) demonstrated a more distributed variance structure</w:t>
      </w:r>
      <w:r w:rsidR="007411D2">
        <w:t xml:space="preserve"> (Figure 2C)</w:t>
      </w:r>
      <w:r w:rsidRPr="00E74CAC">
        <w:t>. Exposure PC1 explained 32.8% of the variance, followed by PC2 (24.2%), PC3 (16.9%), and PC4 (14.6%). Together, the first four components accounted for 88.4% of the cumulative variance, indicating substantial heterogeneity in exposure patterns. The retained Exposure_PC1 represents a latent dimension of overall exposure burden, integrating multiple exposure modalities rather than reflecting a single hazard in isolation. Subsequent components captured finer distinctions among exposure types and intensities.</w:t>
      </w:r>
    </w:p>
    <w:p w14:paraId="2AA6236B" w14:textId="5373F8B8" w:rsidR="002E2D94" w:rsidRPr="00E74CAC" w:rsidRDefault="002E2D94" w:rsidP="00E74CAC">
      <w:pPr>
        <w:jc w:val="both"/>
      </w:pPr>
      <w:r w:rsidRPr="00E74CAC">
        <w:t>PPE PCA (Hearing, Respiratory, Eye Protection). PCA of PPE-related variables showed that PPE PC1 accounted for 45.4% of the variance, with PC2 contributing an additional 34.8%</w:t>
      </w:r>
      <w:r w:rsidR="007411D2">
        <w:t xml:space="preserve"> (Figure 2D)</w:t>
      </w:r>
      <w:r w:rsidRPr="00E74CAC">
        <w:t>. Together, the first two components explained 80.2% of the total variance, suggesting that PPE behaviors cluster into a small number of coherent usage patterns. The retained PPE_PC1 reflects a generalized PPE utilization profile, while PC2 likely represents differential adoption across PPE types.</w:t>
      </w:r>
    </w:p>
    <w:p w14:paraId="42A989C0" w14:textId="77777777" w:rsidR="002E2D94" w:rsidRPr="00E74CAC" w:rsidRDefault="002E2D94" w:rsidP="00E74CAC">
      <w:pPr>
        <w:jc w:val="both"/>
      </w:pPr>
      <w:r w:rsidRPr="00E74CAC">
        <w:t>Across all domains, PC1 captured a substantial proportion of variance and provided interpretable latent constructs corresponding to global balance function, cumulative occupational exposure, and overall PPE use. Therefore, Balance_PC1, Exposure_PC1, and PPE_PC1 were retained for downstream analyses, including correlation assessment and Firth logistic regression modeling of fall history. This approach reduced dimensionality while preserving the dominant structure of each domain.</w:t>
      </w:r>
    </w:p>
    <w:p w14:paraId="4E90CA6C" w14:textId="51F43B58" w:rsidR="00E74CAC" w:rsidRPr="00E74CAC" w:rsidRDefault="002E2D94" w:rsidP="00E74CAC">
      <w:pPr>
        <w:jc w:val="both"/>
      </w:pPr>
      <w:r w:rsidRPr="00E74CAC">
        <w:rPr>
          <w:b/>
          <w:bCs/>
        </w:rPr>
        <w:t>Model-Fitting (FLR).</w:t>
      </w:r>
      <w:r w:rsidRPr="00E74CAC">
        <w:t xml:space="preserve"> </w:t>
      </w:r>
      <w:r w:rsidR="00E74CAC" w:rsidRPr="00E74CAC">
        <w:t>Across all reduced models</w:t>
      </w:r>
      <w:r w:rsidR="003A4C44">
        <w:t xml:space="preserve"> (Table 3)</w:t>
      </w:r>
      <w:r w:rsidR="00E74CAC" w:rsidRPr="00E74CAC">
        <w:t xml:space="preserve">, Age was a consistent predictor of fall history, with an approximate 15–17% increase in odds of a fall per additional year of age (Balance model OR = 1.17, 95% CI 1.03–1.40, p = 0.014; Exposure model OR = 1.16, 95% CI 1.03–1.37, p = 0.016; PPE model OR = 1.16, 95% CI 1.03–1.38, p = 0.014). In contrast, none of the PC1 predictors were statistically significant in their corresponding reduced models (Balance_PC1 OR = 0.89, 95% CI 0.49–1.72, p = 0.697; Exp_PC1 OR = 1.14, 95% CI 0.76–1.78, p = 0.527; PPE_PC1 OR = 1.08, 95% CI 0.67–1.74, p = 0.746). In the full model, Age remained </w:t>
      </w:r>
      <w:r w:rsidR="00E74CAC" w:rsidRPr="00E74CAC">
        <w:lastRenderedPageBreak/>
        <w:t xml:space="preserve">significant (OR = 1.15, 95% CI 1.02–1.40, p = 0.025), while Balance_PC1, Exp_PC1, and PPE_PC1 all remained non-significant. Model fit indices suggested the full model had the best (lowest) AIC (≈29.26) but did not significantly improve fit compared with reduced models in likelihood-ratio comparisons (e.g., full vs Age+Balance_PC1 p ≈ 0.074; full vs Age+Exp_PC1 p ≈ 0.104; full vs Age+PPE_PC1 p ≈ 0.093). </w:t>
      </w:r>
    </w:p>
    <w:p w14:paraId="12E85F10" w14:textId="5C9B2F57" w:rsidR="008B6DB6" w:rsidRPr="00E74CAC" w:rsidRDefault="0081324B" w:rsidP="00E74CAC">
      <w:pPr>
        <w:jc w:val="both"/>
      </w:pPr>
      <w:r w:rsidRPr="00E74CAC">
        <w:rPr>
          <w:b/>
          <w:bCs/>
        </w:rPr>
        <w:t>F</w:t>
      </w:r>
      <w:r w:rsidR="0012459A" w:rsidRPr="00E74CAC">
        <w:rPr>
          <w:b/>
          <w:bCs/>
        </w:rPr>
        <w:t>actor Analysis of Mixed Data</w:t>
      </w:r>
      <w:r w:rsidRPr="00E74CAC">
        <w:rPr>
          <w:b/>
          <w:bCs/>
        </w:rPr>
        <w:t>.</w:t>
      </w:r>
      <w:r w:rsidRPr="00E74CAC">
        <w:t xml:space="preserve"> </w:t>
      </w:r>
      <w:r w:rsidR="008B6DB6" w:rsidRPr="00E74CAC">
        <w:t>Factor Analysis of Mixed Data (FAMD) was used to examine the joint structure of demographic variables, occupational exposures, personal protective equipment (PPE) use, comorbidities, and balance-related outcomes</w:t>
      </w:r>
      <w:r w:rsidR="003A4C44">
        <w:t xml:space="preserve"> (Figure </w:t>
      </w:r>
      <w:r w:rsidR="007411D2">
        <w:t>3</w:t>
      </w:r>
      <w:r w:rsidR="003A4C44">
        <w:t>)</w:t>
      </w:r>
      <w:r w:rsidR="008B6DB6" w:rsidRPr="00E74CAC">
        <w:t xml:space="preserve">. The first five dimensions explained 60.9% of the total variance, with Dimension 1 accounting for 21.4% and Dimension 2 accounting for 11.4% (cumulative 32.8% across the first two dimensions).  </w:t>
      </w:r>
    </w:p>
    <w:p w14:paraId="7E011D27" w14:textId="0A690752" w:rsidR="008B6DB6" w:rsidRPr="00E74CAC" w:rsidRDefault="008B6DB6" w:rsidP="00E74CAC">
      <w:pPr>
        <w:jc w:val="both"/>
      </w:pPr>
      <w:r w:rsidRPr="00E74CAC">
        <w:t>The axis of occupational Exposure and Workload Gradient (Dimension 1) was dominated by variables reflecting occupational exposure intensity and work history, and it clearly separated Controls from Welders. The largest contributors to Dimension 1 were fumes exposure (8.55%), vibration exposure (8.45%), and noise exposure (8.21%), followed by welding type (7.78%) and group membership (7.49%). Measures of work burden, including weekly working hours (7.36%) and total years worked (6.16%), also contributed substantially. Additional contributions came from PPE eye protection (6.24%), comorbidities (5.88%), and alcohol use (4.82%). Collectively, these findings indicate that Dimension 1 represents a latent axis of cumulative occupational exposure and workload, integrating exposure modalities, job characteristics, and health-related factors. Consistent with this interpretation, group categories showed strong separation along Dimension 1, with Welders loading positively and Controls loading negatively, indicating that this dimension primarily captured differences in occupational exposure profiles between groups.</w:t>
      </w:r>
    </w:p>
    <w:p w14:paraId="09BC4F5E" w14:textId="7077AD19" w:rsidR="008B6DB6" w:rsidRPr="00E74CAC" w:rsidRDefault="0012459A" w:rsidP="00E74CAC">
      <w:pPr>
        <w:jc w:val="both"/>
      </w:pPr>
      <w:r w:rsidRPr="00E74CAC">
        <w:t>Dimension</w:t>
      </w:r>
      <w:r w:rsidR="008B6DB6" w:rsidRPr="00E74CAC">
        <w:t xml:space="preserve"> 2 reflected a complementary structure emphasizing health status, exposure patterns, and functional outcomes. The strongest contributors to Dimension 2 were fumes exposure (12.73%) and noise exposure (11.74%), followed by comorbidities (10.53%) and vibration exposure (9.22%). PPE-related behavior, particularly respiratory protection uses (6.62%), and welding type (6.12%) also contributed meaningfully.  Educational attainment (education level; 5.92%) and the balance-related outcome fear of falling (FES; 5.71%) further characterized this dimension, along with living conditions (5.68%) and alcohol use (3.26%). Unlike Dimension 1, Dimension 2 did not primarily separate groups but instead captured within-group heterogeneity, reflecting how exposure patterns and comorbidities relate to balance confidence and functional status.</w:t>
      </w:r>
    </w:p>
    <w:p w14:paraId="7807DBDD" w14:textId="27B3DC25" w:rsidR="0040064E" w:rsidRPr="00E74CAC" w:rsidRDefault="008B6DB6" w:rsidP="00E74CAC">
      <w:pPr>
        <w:jc w:val="both"/>
      </w:pPr>
      <w:r w:rsidRPr="00E74CAC">
        <w:t xml:space="preserve">Together, the first two FAMD dimensions reveal a coherent multivariate structure in which occupational exposures and workload form the primary axis distinguishing welders from controls, while a secondary axis captures health status, PPE use, and balance-related </w:t>
      </w:r>
      <w:r w:rsidRPr="00E74CAC">
        <w:lastRenderedPageBreak/>
        <w:t>functional consequences. These findings support subsequent regression and classification analyses by demonstrating that balance impairment and fall risk are embedded within broader exposure–health profiles rather than isolated clinical measures.</w:t>
      </w:r>
    </w:p>
    <w:p w14:paraId="0EB271A5" w14:textId="5C4260B5" w:rsidR="00EC6B8D" w:rsidRPr="00E74CAC" w:rsidRDefault="00EC6B8D" w:rsidP="00E74CAC">
      <w:pPr>
        <w:jc w:val="both"/>
      </w:pPr>
    </w:p>
    <w:p w14:paraId="3478480F" w14:textId="6667D54B" w:rsidR="005537D5" w:rsidRPr="00E74CAC" w:rsidRDefault="00F33DBA" w:rsidP="00E74CAC">
      <w:pPr>
        <w:jc w:val="both"/>
        <w:rPr>
          <w:b/>
          <w:bCs/>
        </w:rPr>
      </w:pPr>
      <w:r w:rsidRPr="00E74CAC">
        <w:rPr>
          <w:b/>
          <w:bCs/>
        </w:rPr>
        <w:t>Discussion.</w:t>
      </w:r>
    </w:p>
    <w:p w14:paraId="7DEC1C3D" w14:textId="4E5A5A6C" w:rsidR="009048AD" w:rsidRPr="00E74CAC" w:rsidRDefault="00224315" w:rsidP="00E74CAC">
      <w:pPr>
        <w:jc w:val="both"/>
      </w:pPr>
      <w:r w:rsidRPr="00E74CAC">
        <w:t xml:space="preserve">Manganese induced parkinsonism </w:t>
      </w:r>
      <w:r w:rsidR="0007548D" w:rsidRPr="00E74CAC">
        <w:t>is reported in Chilean Miners and Taiwanese</w:t>
      </w:r>
      <w:r w:rsidRPr="00E74CAC">
        <w:t xml:space="preserve"> manganese alloy smelters</w:t>
      </w:r>
      <w:r w:rsidR="003B0896" w:rsidRPr="00E74CAC">
        <w:fldChar w:fldCharType="begin">
          <w:fldData xml:space="preserve">PEVuZE5vdGU+PENpdGU+PEF1dGhvcj5Db3R6aWFzPC9BdXRob3I+PFllYXI+MTk2ODwvWWVhcj48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</w:fldData>
        </w:fldChar>
      </w:r>
      <w:r w:rsidR="006F6D83">
        <w:instrText xml:space="preserve"> ADDIN EN.CITE </w:instrText>
      </w:r>
      <w:r w:rsidR="006F6D83">
        <w:fldChar w:fldCharType="begin">
          <w:fldData xml:space="preserve">PEVuZE5vdGU+PENpdGU+PEF1dGhvcj5Db3R6aWFzPC9BdXRob3I+PFllYXI+MTk2ODwvWWVhcj48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</w:fldData>
        </w:fldChar>
      </w:r>
      <w:r w:rsidR="006F6D83">
        <w:instrText xml:space="preserve"> ADDIN EN.CITE.DATA </w:instrText>
      </w:r>
      <w:r w:rsidR="006F6D83">
        <w:fldChar w:fldCharType="end"/>
      </w:r>
      <w:r w:rsidR="003B0896" w:rsidRPr="00E74CAC">
        <w:fldChar w:fldCharType="separate"/>
      </w:r>
      <w:r w:rsidR="003B0896" w:rsidRPr="00E74CAC">
        <w:rPr>
          <w:noProof/>
        </w:rPr>
        <w:t>(</w:t>
      </w:r>
      <w:proofErr w:type="spellStart"/>
      <w:r w:rsidR="003B0896" w:rsidRPr="00E74CAC">
        <w:rPr>
          <w:noProof/>
        </w:rPr>
        <w:t>Cotzias</w:t>
      </w:r>
      <w:proofErr w:type="spellEnd"/>
      <w:r w:rsidR="003B0896" w:rsidRPr="00E74CAC">
        <w:rPr>
          <w:noProof/>
        </w:rPr>
        <w:t xml:space="preserve"> et al., 1968; Huang et al., 1998)</w:t>
      </w:r>
      <w:r w:rsidR="003B0896" w:rsidRPr="00E74CAC">
        <w:fldChar w:fldCharType="end"/>
      </w:r>
      <w:r w:rsidRPr="00E74CAC">
        <w:t xml:space="preserve">. </w:t>
      </w:r>
      <w:r w:rsidR="001D4FBE" w:rsidRPr="00E74CAC">
        <w:t>The Mn neurotoxicity occurs when the exposure level is higher than permissible exposure limit of 5 g/m</w:t>
      </w:r>
      <w:r w:rsidR="001D4FBE" w:rsidRPr="00E74CAC">
        <w:rPr>
          <w:vertAlign w:val="superscript"/>
        </w:rPr>
        <w:t>3</w:t>
      </w:r>
      <w:r w:rsidR="001D4FBE" w:rsidRPr="00E74CAC">
        <w:t xml:space="preserve"> as per Occupational Safety and Health Administration (OSHA). </w:t>
      </w:r>
      <w:r w:rsidR="00E86BA8" w:rsidRPr="00E74CAC">
        <w:t xml:space="preserve">Dose-dependent progression of Parkinsonism such as bradykinesia, speech impairment and limb rigidity was observed in welders exposed to Mn containing welding fumes </w:t>
      </w:r>
      <w:r w:rsidR="00E86BA8" w:rsidRPr="00E74CAC">
        <w:fldChar w:fldCharType="begin">
          <w:fldData xml:space="preserve">PEVuZE5vdGU+PENpdGU+PEF1dGhvcj5SYWNldHRlPC9BdXRob3I+PFllYXI+MjAxNzwvWWVhcj48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</w:fldData>
        </w:fldChar>
      </w:r>
      <w:r w:rsidR="006F6D83">
        <w:instrText xml:space="preserve"> ADDIN EN.CITE </w:instrText>
      </w:r>
      <w:r w:rsidR="006F6D83">
        <w:fldChar w:fldCharType="begin">
          <w:fldData xml:space="preserve">PEVuZE5vdGU+PENpdGU+PEF1dGhvcj5SYWNldHRlPC9BdXRob3I+PFllYXI+MjAxNzwvWWVhcj48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</w:fldData>
        </w:fldChar>
      </w:r>
      <w:r w:rsidR="006F6D83">
        <w:instrText xml:space="preserve"> ADDIN EN.CITE.DATA </w:instrText>
      </w:r>
      <w:r w:rsidR="006F6D83">
        <w:fldChar w:fldCharType="end"/>
      </w:r>
      <w:r w:rsidR="00E86BA8" w:rsidRPr="00E74CAC">
        <w:fldChar w:fldCharType="separate"/>
      </w:r>
      <w:r w:rsidR="00E86BA8" w:rsidRPr="00E74CAC">
        <w:rPr>
          <w:noProof/>
        </w:rPr>
        <w:t>(Racette et al., 2017)</w:t>
      </w:r>
      <w:r w:rsidR="00E86BA8" w:rsidRPr="00E74CAC">
        <w:fldChar w:fldCharType="end"/>
      </w:r>
      <w:r w:rsidR="00E86BA8" w:rsidRPr="00E74CAC">
        <w:t xml:space="preserve">. </w:t>
      </w:r>
      <w:r w:rsidR="00EE45F9" w:rsidRPr="00E74CAC">
        <w:t>Welders have increased prevalence of neurological manifestations with poor performance in neurobehavioral tests attributing to higher mean blood manganese levels (4.16±0.61)</w:t>
      </w:r>
      <w:r w:rsidR="00EE45F9" w:rsidRPr="00E74CAC">
        <w:fldChar w:fldCharType="begin"/>
      </w:r>
      <w:r w:rsidR="006F6D83">
        <w:instrText xml:space="preserve"> ADDIN EN.CITE &lt;EndNote&gt;&lt;Cite&gt;&lt;Author&gt;Abdel-Rasoul&lt;/Author&gt;&lt;Year&gt;2024&lt;/Year&gt;&lt;RecNum&gt;1532&lt;/RecNum&gt;&lt;DisplayText&gt;(Abdel-Rasoul et al., 2024)&lt;/DisplayText&gt;&lt;record&gt;&lt;rec-number&gt;1532&lt;/rec-number&gt;&lt;foreign-keys&gt;&lt;key app="EN" db-id="vxzwr02rlft2rzetvs2prd5y2zf50xpxfd95" timestamp="1766334239"&gt;1532&lt;/key&gt;&lt;/foreign-keys&gt;&lt;ref-type name="Journal Article"&gt;17&lt;/ref-type&gt;&lt;contributors&gt;&lt;authors&gt;&lt;author&gt;Abdel-Rasoul, Gaafar Mohamed&lt;/author&gt;&lt;author&gt;Abu-Salem, Mahmoud El-Sayed&lt;/author&gt;&lt;author&gt;Salem, Eman Abdel-Azeem&lt;/author&gt;&lt;author&gt;Allam, Heba Khodary&lt;/author&gt;&lt;author&gt;Abdel-Monaem, Amira Mohamed&lt;/author&gt;&lt;author&gt;Younis, Faten Ezzelarab&lt;/author&gt;&lt;/authors&gt;&lt;/contributors&gt;&lt;titles&gt;&lt;title&gt;Neurological and neurobehavioral effects of welders in Egypt exposed to manganese containing welding fumes&lt;/title&gt;&lt;secondary-title&gt;International Archives of Occupational and Environmental Health&lt;/secondary-title&gt;&lt;/titles&gt;&lt;periodical&gt;&lt;full-title&gt;International Archives of Occupational and Environmental Health&lt;/full-title&gt;&lt;/periodical&gt;&lt;pages&gt;711-720&lt;/pages&gt;&lt;volume&gt;97&lt;/volume&gt;&lt;number&gt;7&lt;/number&gt;&lt;dates&gt;&lt;year&gt;2024&lt;/year&gt;&lt;pub-dates&gt;&lt;date&gt;2024/09/01&lt;/date&gt;&lt;/pub-dates&gt;&lt;/dates&gt;&lt;isbn&gt;1432-1246&lt;/isbn&gt;&lt;urls&gt;&lt;related-urls&gt;&lt;url&gt;https://doi.org/10.1007/s00420-024-02077-9&lt;/url&gt;&lt;/related-urls&gt;&lt;/urls&gt;&lt;electronic-resource-num&gt;10.1007/s00420-024-02077-9&lt;/electronic-resource-num&gt;&lt;/record&gt;&lt;/Cite&gt;&lt;/EndNote&gt;</w:instrText>
      </w:r>
      <w:r w:rsidR="00EE45F9" w:rsidRPr="00E74CAC">
        <w:fldChar w:fldCharType="separate"/>
      </w:r>
      <w:r w:rsidR="00EE45F9" w:rsidRPr="00E74CAC">
        <w:rPr>
          <w:noProof/>
        </w:rPr>
        <w:t>(Abdel-Rasoul et al., 2024)</w:t>
      </w:r>
      <w:r w:rsidR="00EE45F9" w:rsidRPr="00E74CAC">
        <w:fldChar w:fldCharType="end"/>
      </w:r>
      <w:r w:rsidR="00EE45F9" w:rsidRPr="00E74CAC">
        <w:t xml:space="preserve">. </w:t>
      </w:r>
      <w:r w:rsidR="00E86BA8" w:rsidRPr="00E74CAC">
        <w:t>The neuropsychiatric symptoms were referred as manganese madness</w:t>
      </w:r>
      <w:r w:rsidR="00E86BA8" w:rsidRPr="00E74CAC">
        <w:fldChar w:fldCharType="begin"/>
      </w:r>
      <w:r w:rsidR="006F6D83">
        <w:instrText xml:space="preserve"> ADDIN EN.CITE &lt;EndNote&gt;&lt;Cite&gt;&lt;Author&gt;Jankovic&lt;/Author&gt;&lt;Year&gt;2005&lt;/Year&gt;&lt;RecNum&gt;1534&lt;/RecNum&gt;&lt;DisplayText&gt;(Jankovic, 2005)&lt;/DisplayText&gt;&lt;record&gt;&lt;rec-number&gt;1534&lt;/rec-number&gt;&lt;foreign-keys&gt;&lt;key app="EN" db-id="vxzwr02rlft2rzetvs2prd5y2zf50xpxfd95" timestamp="1766336164"&gt;1534&lt;/key&gt;&lt;/foreign-keys&gt;&lt;ref-type name="Journal Article"&gt;17&lt;/ref-type&gt;&lt;contributors&gt;&lt;authors&gt;&lt;author&gt;Jankovic, J.&lt;/author&gt;&lt;/authors&gt;&lt;/contributors&gt;&lt;auth-address&gt;Department of Neurology, Baylor College of Medicine, Houston, TX 77030, USA. josephj@bcm.tmc.edu&lt;/auth-address&gt;&lt;titles&gt;&lt;title&gt;Searching for a relationship between manganese and welding and Parkinson&amp;apos;s disease&lt;/title&gt;&lt;secondary-title&gt;Neurology&lt;/secondary-title&gt;&lt;/titles&gt;&lt;periodical&gt;&lt;full-title&gt;Neurology&lt;/full-title&gt;&lt;/periodical&gt;&lt;pages&gt;2021-8&lt;/pages&gt;&lt;volume&gt;64&lt;/volume&gt;&lt;number&gt;12&lt;/number&gt;&lt;keywords&gt;&lt;keyword&gt;Age of Onset&lt;/keyword&gt;&lt;keyword&gt;Brain/pathology/physiopathology&lt;/keyword&gt;&lt;keyword&gt;Cohort Studies&lt;/keyword&gt;&lt;keyword&gt;Cross-Sectional Studies&lt;/keyword&gt;&lt;keyword&gt;Disease Progression&lt;/keyword&gt;&lt;keyword&gt;Humans&lt;/keyword&gt;&lt;keyword&gt;Manganese/*adverse effects/metabolism&lt;/keyword&gt;&lt;keyword&gt;Manganese Poisoning/*complications/physiopathology&lt;/keyword&gt;&lt;keyword&gt;Occupational Exposure/*adverse effects&lt;/keyword&gt;&lt;keyword&gt;Parkinson Disease/*etiology/physiopathology&lt;/keyword&gt;&lt;keyword&gt;Risk Factors&lt;/keyword&gt;&lt;keyword&gt;Welding/*statistics &amp;amp; numerical data&lt;/keyword&gt;&lt;/keywords&gt;&lt;dates&gt;&lt;year&gt;2005&lt;/year&gt;&lt;pub-dates&gt;&lt;date&gt;Jun 28&lt;/date&gt;&lt;/pub-dates&gt;&lt;/dates&gt;&lt;isbn&gt;0028-3878&lt;/isbn&gt;&lt;accession-num&gt;15985567&lt;/accession-num&gt;&lt;urls&gt;&lt;/urls&gt;&lt;electronic-resource-num&gt;10.1212/01.Wnl.0000166916.40902.63&lt;/electronic-resource-num&gt;&lt;remote-database-provider&gt;NLM&lt;/remote-database-provider&gt;&lt;language&gt;eng&lt;/language&gt;&lt;/record&gt;&lt;/Cite&gt;&lt;/EndNote&gt;</w:instrText>
      </w:r>
      <w:r w:rsidR="00E86BA8" w:rsidRPr="00E74CAC">
        <w:fldChar w:fldCharType="separate"/>
      </w:r>
      <w:r w:rsidR="00E86BA8" w:rsidRPr="00E74CAC">
        <w:rPr>
          <w:noProof/>
        </w:rPr>
        <w:t>(Jankovic, 2005)</w:t>
      </w:r>
      <w:r w:rsidR="00E86BA8" w:rsidRPr="00E74CAC">
        <w:fldChar w:fldCharType="end"/>
      </w:r>
      <w:r w:rsidR="00E86BA8" w:rsidRPr="00E74CAC">
        <w:t xml:space="preserve">.  </w:t>
      </w:r>
      <w:r w:rsidR="00EE45F9" w:rsidRPr="00E74CAC">
        <w:t>Retired ship w</w:t>
      </w:r>
      <w:r w:rsidR="006F04F9" w:rsidRPr="00E74CAC">
        <w:t xml:space="preserve">elders were reported with adverse motor function due to </w:t>
      </w:r>
      <w:r w:rsidR="00EE45F9" w:rsidRPr="00E74CAC">
        <w:t>increased cumulative exposure index of</w:t>
      </w:r>
      <w:r w:rsidR="006F04F9" w:rsidRPr="00E74CAC">
        <w:t xml:space="preserve"> Mn</w:t>
      </w:r>
      <w:r w:rsidR="006F04F9" w:rsidRPr="00E74CAC">
        <w:fldChar w:fldCharType="begin"/>
      </w:r>
      <w:r w:rsidR="006F6D83">
        <w:instrText xml:space="preserve"> ADDIN EN.CITE &lt;EndNote&gt;&lt;Cite&gt;&lt;Author&gt;Wastensson&lt;/Author&gt;&lt;Year&gt;2012&lt;/Year&gt;&lt;RecNum&gt;1531&lt;/RecNum&gt;&lt;DisplayText&gt;(Wastensson et al., 2012)&lt;/DisplayText&gt;&lt;record&gt;&lt;rec-number&gt;1531&lt;/rec-number&gt;&lt;foreign-keys&gt;&lt;key app="EN" db-id="vxzwr02rlft2rzetvs2prd5y2zf50xpxfd95" timestamp="1766333680"&gt;1531&lt;/key&gt;&lt;/foreign-keys&gt;&lt;ref-type name="Journal Article"&gt;17&lt;/ref-type&gt;&lt;contributors&gt;&lt;authors&gt;&lt;author&gt;Wastensson, Gunilla&lt;/author&gt;&lt;author&gt;Sallsten, Gerd&lt;/author&gt;&lt;author&gt;Bast-Pettersen, Rita&lt;/author&gt;&lt;author&gt;Barregard, Lars&lt;/author&gt;&lt;/authors&gt;&lt;/contributors&gt;&lt;titles&gt;&lt;title&gt;Neuromotor function in ship welders after cessation of manganese exposure&lt;/title&gt;&lt;secondary-title&gt;International archives of occupational and environmental health&lt;/secondary-title&gt;&lt;/titles&gt;&lt;periodical&gt;&lt;full-title&gt;International Archives of Occupational and Environmental Health&lt;/full-title&gt;&lt;/periodical&gt;&lt;pages&gt;703-713&lt;/pages&gt;&lt;volume&gt;85&lt;/volume&gt;&lt;number&gt;6&lt;/number&gt;&lt;dates&gt;&lt;year&gt;2012&lt;/year&gt;&lt;/dates&gt;&lt;isbn&gt;0340-0131&lt;/isbn&gt;&lt;urls&gt;&lt;/urls&gt;&lt;/record&gt;&lt;/Cite&gt;&lt;/EndNote&gt;</w:instrText>
      </w:r>
      <w:r w:rsidR="006F04F9" w:rsidRPr="00E74CAC">
        <w:fldChar w:fldCharType="separate"/>
      </w:r>
      <w:r w:rsidR="006F04F9" w:rsidRPr="00E74CAC">
        <w:rPr>
          <w:noProof/>
        </w:rPr>
        <w:t>(Wastensson et al., 2012)</w:t>
      </w:r>
      <w:r w:rsidR="006F04F9" w:rsidRPr="00E74CAC">
        <w:fldChar w:fldCharType="end"/>
      </w:r>
      <w:r w:rsidR="006F04F9" w:rsidRPr="00E74CAC">
        <w:t xml:space="preserve">. </w:t>
      </w:r>
      <w:r w:rsidR="00446EBB" w:rsidRPr="00E74CAC">
        <w:t>In Bay bridge welding workers whose Mn exposure exceeded OSHA-TLV of 0.2 mg/m</w:t>
      </w:r>
      <w:r w:rsidR="00446EBB" w:rsidRPr="00E74CAC">
        <w:rPr>
          <w:vertAlign w:val="superscript"/>
        </w:rPr>
        <w:t>3</w:t>
      </w:r>
      <w:r w:rsidR="00446EBB" w:rsidRPr="00E74CAC">
        <w:t xml:space="preserve"> demonstrated exacerbated extrapyramidal, olfactory and mood disturbances</w:t>
      </w:r>
      <w:r w:rsidR="0007548D" w:rsidRPr="00E74CAC">
        <w:fldChar w:fldCharType="begin"/>
      </w:r>
      <w:r w:rsidR="006F6D83">
        <w:instrText xml:space="preserve"> ADDIN EN.CITE &lt;EndNote&gt;&lt;Cite&gt;&lt;Author&gt;Bowler&lt;/Author&gt;&lt;Year&gt;2011&lt;/Year&gt;&lt;RecNum&gt;1533&lt;/RecNum&gt;&lt;DisplayText&gt;(Bowler et al., 2011)&lt;/DisplayText&gt;&lt;record&gt;&lt;rec-number&gt;1533&lt;/rec-number&gt;&lt;foreign-keys&gt;&lt;key app="EN" db-id="vxzwr02rlft2rzetvs2prd5y2zf50xpxfd95" timestamp="1766335259"&gt;1533&lt;/key&gt;&lt;/foreign-keys&gt;&lt;ref-type name="Journal Article"&gt;17&lt;/ref-type&gt;&lt;contributors&gt;&lt;authors&gt;&lt;author&gt;Bowler, Rosemarie M.&lt;/author&gt;&lt;author&gt;Gocheva, Vihra&lt;/author&gt;&lt;author&gt;Harris, Matthew&lt;/author&gt;&lt;author&gt;Ngo, Long&lt;/author&gt;&lt;author&gt;Abdelouahab, Nadia&lt;/author&gt;&lt;author&gt;Wilkinson, Jayne&lt;/author&gt;&lt;author&gt;Doty, Richard L.&lt;/author&gt;&lt;author&gt;Park, Robert&lt;/author&gt;&lt;author&gt;Roels, Harry A.&lt;/author&gt;&lt;/authors&gt;&lt;/contributors&gt;&lt;titles&gt;&lt;title&gt;Prospective study on neurotoxic effects in manganese-exposed bridge construction welders&lt;/title&gt;&lt;secondary-title&gt;NeuroToxicology&lt;/secondary-title&gt;&lt;/titles&gt;&lt;periodical&gt;&lt;full-title&gt;Neurotoxicology&lt;/full-title&gt;&lt;abbr-1&gt;Neurotoxicology&lt;/abbr-1&gt;&lt;/periodical&gt;&lt;pages&gt;596-605&lt;/pages&gt;&lt;volume&gt;32&lt;/volume&gt;&lt;number&gt;5&lt;/number&gt;&lt;keywords&gt;&lt;keyword&gt;Follow-up study&lt;/keyword&gt;&lt;keyword&gt;Welders&lt;/keyword&gt;&lt;keyword&gt;Manganese&lt;/keyword&gt;&lt;keyword&gt;Neurological&lt;/keyword&gt;&lt;keyword&gt;Neuropsychological&lt;/keyword&gt;&lt;/keywords&gt;&lt;dates&gt;&lt;year&gt;2011&lt;/year&gt;&lt;pub-dates&gt;&lt;date&gt;2011/10/01/&lt;/date&gt;&lt;/pub-dates&gt;&lt;/dates&gt;&lt;isbn&gt;0161-813X&lt;/isbn&gt;&lt;urls&gt;&lt;related-urls&gt;&lt;url&gt;https://www.sciencedirect.com/science/article/pii/S0161813X11001094&lt;/url&gt;&lt;/related-urls&gt;&lt;/urls&gt;&lt;electronic-resource-num&gt;https://doi.org/10.1016/j.neuro.2011.06.004&lt;/electronic-resource-num&gt;&lt;/record&gt;&lt;/Cite&gt;&lt;/EndNote&gt;</w:instrText>
      </w:r>
      <w:r w:rsidR="0007548D" w:rsidRPr="00E74CAC">
        <w:fldChar w:fldCharType="separate"/>
      </w:r>
      <w:r w:rsidR="0007548D" w:rsidRPr="00E74CAC">
        <w:rPr>
          <w:noProof/>
        </w:rPr>
        <w:t>(Bowler et al., 2011)</w:t>
      </w:r>
      <w:r w:rsidR="0007548D" w:rsidRPr="00E74CAC">
        <w:fldChar w:fldCharType="end"/>
      </w:r>
      <w:r w:rsidR="00446EBB" w:rsidRPr="00E74CAC">
        <w:t xml:space="preserve">. </w:t>
      </w:r>
    </w:p>
    <w:p w14:paraId="2B0DFC0C" w14:textId="4B037572" w:rsidR="00446EBB" w:rsidRPr="00E74CAC" w:rsidRDefault="00E86BA8" w:rsidP="00E74CAC">
      <w:pPr>
        <w:jc w:val="both"/>
      </w:pPr>
      <w:r w:rsidRPr="00E74CAC">
        <w:t>Annual change of 0.24 for each mg/m</w:t>
      </w:r>
      <w:r w:rsidR="006A7D73" w:rsidRPr="00E74CAC">
        <w:rPr>
          <w:vertAlign w:val="superscript"/>
        </w:rPr>
        <w:t>3</w:t>
      </w:r>
      <w:r w:rsidR="006A7D73" w:rsidRPr="00E74CAC">
        <w:t xml:space="preserve"> – year of Mn exposure was observed in Unified Parkinson Disease Rating Scale motor subsection (UPDRS) Part3 </w:t>
      </w:r>
      <w:r w:rsidR="006A7D73" w:rsidRPr="00E74CAC">
        <w:fldChar w:fldCharType="begin">
          <w:fldData xml:space="preserve">PEVuZE5vdGU+PENpdGU+PEF1dGhvcj5SYWNldHRlPC9BdXRob3I+PFllYXI+MjAxNzwvWWVhcj48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</w:fldData>
        </w:fldChar>
      </w:r>
      <w:r w:rsidR="006F6D83">
        <w:instrText xml:space="preserve"> ADDIN EN.CITE </w:instrText>
      </w:r>
      <w:r w:rsidR="006F6D83">
        <w:fldChar w:fldCharType="begin">
          <w:fldData xml:space="preserve">PEVuZE5vdGU+PENpdGU+PEF1dGhvcj5SYWNldHRlPC9BdXRob3I+PFllYXI+MjAxNzwvWWVhcj48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</w:fldData>
        </w:fldChar>
      </w:r>
      <w:r w:rsidR="006F6D83">
        <w:instrText xml:space="preserve"> ADDIN EN.CITE.DATA </w:instrText>
      </w:r>
      <w:r w:rsidR="006F6D83">
        <w:fldChar w:fldCharType="end"/>
      </w:r>
      <w:r w:rsidR="006A7D73" w:rsidRPr="00E74CAC">
        <w:fldChar w:fldCharType="separate"/>
      </w:r>
      <w:r w:rsidR="006A7D73" w:rsidRPr="00E74CAC">
        <w:rPr>
          <w:noProof/>
        </w:rPr>
        <w:t>(Racette et al., 2017)</w:t>
      </w:r>
      <w:r w:rsidR="006A7D73" w:rsidRPr="00E74CAC">
        <w:fldChar w:fldCharType="end"/>
      </w:r>
      <w:r w:rsidR="006A7D73" w:rsidRPr="00E74CAC">
        <w:t xml:space="preserve">. </w:t>
      </w:r>
      <w:r w:rsidR="001D4FBE" w:rsidRPr="00E74CAC">
        <w:t xml:space="preserve">While the UPDRS3 covers the leg agility, gait and postural stability, the integrity of balance (static and dynamic) and fall risk have not been established so far in welders. Hence, in the present study we evaluated the effect of welding fumes on balance outcome measures such as BBS, MBEST, and FES. </w:t>
      </w:r>
      <w:r w:rsidR="009048AD" w:rsidRPr="00E74CAC">
        <w:t xml:space="preserve"> </w:t>
      </w:r>
      <w:r w:rsidR="0057046A" w:rsidRPr="00E74CAC">
        <w:t>Severity of the neurological manifestations in welders depends on the cumulative exposure index which is based on the years of exposure and adoption of PPE. More than any other disease, disease progression of Mn fumes induced Parkinsonism is based on the personal factors and environmental factors which are the main components of International Classification of Functioning, Disability and Health (ICF) framework</w:t>
      </w:r>
      <w:r w:rsidR="006F1F02">
        <w:fldChar w:fldCharType="begin"/>
      </w:r>
      <w:r w:rsidR="006F1F02">
        <w:instrText xml:space="preserve"> ADDIN EN.CITE &lt;EndNote&gt;&lt;Cite&gt;&lt;Author&gt;Dixon&lt;/Author&gt;&lt;Year&gt;2008&lt;/Year&gt;&lt;RecNum&gt;1539&lt;/RecNum&gt;&lt;DisplayText&gt;(Dixon et al., 2008)&lt;/DisplayText&gt;&lt;record&gt;&lt;rec-number&gt;1539&lt;/rec-number&gt;&lt;foreign-keys&gt;&lt;key app="EN" db-id="vxzwr02rlft2rzetvs2prd5y2zf50xpxfd95" timestamp="1766956904"&gt;1539&lt;/key&gt;&lt;/foreign-keys&gt;&lt;ref-type name="Journal Article"&gt;17&lt;/ref-type&gt;&lt;contributors&gt;&lt;authors&gt;&lt;author&gt;Dixon, Diane&lt;/author&gt;&lt;author&gt;Johnston, Marie&lt;/author&gt;&lt;author&gt;Rowley, David&lt;/author&gt;&lt;author&gt;Pollard, Beth&lt;/author&gt;&lt;/authors&gt;&lt;/contributors&gt;&lt;titles&gt;&lt;title&gt;Using the ICF and psychological models of behavior to predict mobility limitations&lt;/title&gt;&lt;secondary-title&gt;Rehabilitation Psychology&lt;/secondary-title&gt;&lt;/titles&gt;&lt;periodical&gt;&lt;full-title&gt;Rehabilitation Psychology&lt;/full-title&gt;&lt;/periodical&gt;&lt;pages&gt;191&lt;/pages&gt;&lt;volume&gt;53&lt;/volume&gt;&lt;number&gt;2&lt;/number&gt;&lt;dates&gt;&lt;year&gt;2008&lt;/year&gt;&lt;/dates&gt;&lt;isbn&gt;1939-1544&lt;/isbn&gt;&lt;urls&gt;&lt;/urls&gt;&lt;/record&gt;&lt;/Cite&gt;&lt;/EndNote&gt;</w:instrText>
      </w:r>
      <w:r w:rsidR="006F1F02">
        <w:fldChar w:fldCharType="separate"/>
      </w:r>
      <w:r w:rsidR="006F1F02">
        <w:rPr>
          <w:noProof/>
        </w:rPr>
        <w:t>(Dixon et al., 2008)</w:t>
      </w:r>
      <w:r w:rsidR="006F1F02">
        <w:fldChar w:fldCharType="end"/>
      </w:r>
      <w:r w:rsidR="0057046A" w:rsidRPr="00E74CAC">
        <w:t>. As American Physical Therapy Association (APTA) endorses ICF framework to be integrated in Physical Therapy Practice</w:t>
      </w:r>
      <w:r w:rsidR="006F1F02">
        <w:fldChar w:fldCharType="begin"/>
      </w:r>
      <w:r w:rsidR="006F1F02">
        <w:instrText xml:space="preserve"> ADDIN EN.CITE &lt;EndNote&gt;&lt;Cite&gt;&lt;Author&gt;Schwab&lt;/Author&gt;&lt;Year&gt;2020&lt;/Year&gt;&lt;RecNum&gt;1540&lt;/RecNum&gt;&lt;DisplayText&gt;(Schwab &amp;amp; Zeleznik, 2020)&lt;/DisplayText&gt;&lt;record&gt;&lt;rec-number&gt;1540&lt;/rec-number&gt;&lt;foreign-keys&gt;&lt;key app="EN" db-id="vxzwr02rlft2rzetvs2prd5y2zf50xpxfd95" timestamp="1766956941"&gt;1540&lt;/key&gt;&lt;/foreign-keys&gt;&lt;ref-type name="Journal Article"&gt;17&lt;/ref-type&gt;&lt;contributors&gt;&lt;authors&gt;&lt;author&gt;Schwab, Sarah M&lt;/author&gt;&lt;author&gt;Zeleznik, Allison J&lt;/author&gt;&lt;/authors&gt;&lt;/contributors&gt;&lt;titles&gt;&lt;title&gt;Using the language of the ICF to distinguish physical therapy and occupational therapy services in the acute care setting&lt;/title&gt;&lt;secondary-title&gt;Journal of Acute Care Physical Therapy&lt;/secondary-title&gt;&lt;/titles&gt;&lt;periodical&gt;&lt;full-title&gt;Journal of Acute Care Physical Therapy&lt;/full-title&gt;&lt;/periodical&gt;&lt;pages&gt;40-43&lt;/pages&gt;&lt;volume&gt;11&lt;/volume&gt;&lt;number&gt;1&lt;/number&gt;&lt;dates&gt;&lt;year&gt;2020&lt;/year&gt;&lt;/dates&gt;&lt;isbn&gt;2158-8686&lt;/isbn&gt;&lt;urls&gt;&lt;/urls&gt;&lt;/record&gt;&lt;/Cite&gt;&lt;/EndNote&gt;</w:instrText>
      </w:r>
      <w:r w:rsidR="006F1F02">
        <w:fldChar w:fldCharType="separate"/>
      </w:r>
      <w:r w:rsidR="006F1F02">
        <w:rPr>
          <w:noProof/>
        </w:rPr>
        <w:t>(Schwab &amp; Zeleznik, 2020)</w:t>
      </w:r>
      <w:r w:rsidR="006F1F02">
        <w:fldChar w:fldCharType="end"/>
      </w:r>
      <w:r w:rsidR="0057046A" w:rsidRPr="00E74CAC">
        <w:t xml:space="preserve">, in present study we integrated the </w:t>
      </w:r>
      <w:r w:rsidR="009048AD" w:rsidRPr="00E74CAC">
        <w:t xml:space="preserve">personal and environmental factors </w:t>
      </w:r>
      <w:r w:rsidR="0057046A" w:rsidRPr="00E74CAC">
        <w:t xml:space="preserve">to predict fall risk in welders. </w:t>
      </w:r>
    </w:p>
    <w:p w14:paraId="410C1B25" w14:textId="77BCC212" w:rsidR="00FB27AD" w:rsidRPr="00E74CAC" w:rsidRDefault="00FB27AD" w:rsidP="00E74CAC">
      <w:pPr>
        <w:jc w:val="both"/>
      </w:pPr>
      <w:r w:rsidRPr="00E74CAC">
        <w:t xml:space="preserve">Our analysis indicated </w:t>
      </w:r>
      <w:r w:rsidR="008B6DB6" w:rsidRPr="00E74CAC">
        <w:t xml:space="preserve">welders exhibited significantly worse performance on all three balance-related measures. </w:t>
      </w:r>
      <w:r w:rsidRPr="00E74CAC">
        <w:t xml:space="preserve">Specifically, the Wilcoxon rank-sum tests revealed that welders performed worse on the FES and BBS, with the differences remaining statistically significant after Bonferroni correction. The MBEST score also showed group differences but did not </w:t>
      </w:r>
      <w:r w:rsidRPr="00E74CAC">
        <w:lastRenderedPageBreak/>
        <w:t xml:space="preserve">survive correction for multiple testing. Effect sizes, indicating moderate to large differences in balance performance between the groups. These results suggest that occupational exposure among welders may be associated with impaired balance, warranting further investigation into underlying mechanisms and potential interventions. </w:t>
      </w:r>
    </w:p>
    <w:p w14:paraId="79406EA3" w14:textId="2939AA65" w:rsidR="002E2D94" w:rsidRPr="00E74CAC" w:rsidRDefault="002E2D94" w:rsidP="00E74CAC">
      <w:pPr>
        <w:jc w:val="both"/>
      </w:pPr>
      <w:r w:rsidRPr="00E74CAC">
        <w:t>In the present study, principal component analysis (PCA) was used to reduce the dimensionality of balance outcomes, occupational exposure variables, and personal protective equipment (PPE) use into interpretable composite indices</w:t>
      </w:r>
      <w:r w:rsidR="00CB4A14">
        <w:fldChar w:fldCharType="begin"/>
      </w:r>
      <w:r w:rsidR="00CB4A14">
        <w:instrText xml:space="preserve"> ADDIN EN.CITE &lt;EndNote&gt;&lt;Cite&gt;&lt;Author&gt;MISHRA&lt;/Author&gt;&lt;Year&gt;2022&lt;/Year&gt;&lt;RecNum&gt;1543&lt;/RecNum&gt;&lt;DisplayText&gt;(MISHRA et al., 2022)&lt;/DisplayText&gt;&lt;record&gt;&lt;rec-number&gt;1543&lt;/rec-number&gt;&lt;foreign-keys&gt;&lt;key app="EN" db-id="vxzwr02rlft2rzetvs2prd5y2zf50xpxfd95" timestamp="1767144005"&gt;1543&lt;/key&gt;&lt;/foreign-keys&gt;&lt;ref-type name="Journal Article"&gt;17&lt;/ref-type&gt;&lt;contributors&gt;&lt;authors&gt;&lt;author&gt;MISHRA, AKASH&lt;/author&gt;&lt;author&gt;NAIR, N SREEKUMARAN&lt;/author&gt;&lt;author&gt;KUMAR, KT HARICHANDRA&lt;/author&gt;&lt;author&gt;Binu, VS&lt;/author&gt;&lt;author&gt;HEESH, SANTHOSH SAT&lt;/author&gt;&lt;/authors&gt;&lt;/contributors&gt;&lt;titles&gt;&lt;title&gt;Application of Principal Component Analysis in Dealing with Multicollinearity in Modelling Clinical Data&lt;/title&gt;&lt;secondary-title&gt;Journal of Clinical &amp;amp; Diagnostic Research&lt;/secondary-title&gt;&lt;/titles&gt;&lt;periodical&gt;&lt;full-title&gt;Journal of Clinical &amp;amp; Diagnostic Research&lt;/full-title&gt;&lt;/periodical&gt;&lt;volume&gt;16&lt;/volume&gt;&lt;number&gt;7&lt;/number&gt;&lt;dates&gt;&lt;year&gt;2022&lt;/year&gt;&lt;/dates&gt;&lt;isbn&gt;0973-709X&lt;/isbn&gt;&lt;urls&gt;&lt;/urls&gt;&lt;/record&gt;&lt;/Cite&gt;&lt;/EndNote&gt;</w:instrText>
      </w:r>
      <w:r w:rsidR="00CB4A14">
        <w:fldChar w:fldCharType="separate"/>
      </w:r>
      <w:r w:rsidR="00CB4A14">
        <w:rPr>
          <w:noProof/>
        </w:rPr>
        <w:t>(MISHRA et al., 2022)</w:t>
      </w:r>
      <w:r w:rsidR="00CB4A14">
        <w:fldChar w:fldCharType="end"/>
      </w:r>
      <w:r w:rsidRPr="00E74CAC">
        <w:t>. This approach allowed us to address multicollinearity among related measures while preserving the dominant variance structure within each domain, thereby facilitating more stable downstream modeling in the context of a modest sample size.</w:t>
      </w:r>
    </w:p>
    <w:p w14:paraId="5CDDCF8C" w14:textId="77777777" w:rsidR="002E2D94" w:rsidRPr="00E74CAC" w:rsidRDefault="002E2D94" w:rsidP="00E74CAC">
      <w:pPr>
        <w:jc w:val="both"/>
      </w:pPr>
      <w:r w:rsidRPr="00E74CAC">
        <w:t>For balance outcomes, PCA demonstrated a highly coherent structure. The first principal component (Balance_PC1) explained approximately 77% of the total variance across the Berg Balance Scale (BBS), Mini-</w:t>
      </w:r>
      <w:proofErr w:type="spellStart"/>
      <w:r w:rsidRPr="00E74CAC">
        <w:t>BESTest</w:t>
      </w:r>
      <w:proofErr w:type="spellEnd"/>
      <w:r w:rsidRPr="00E74CAC">
        <w:t xml:space="preserve"> (MBEST), and Falls Efficacy Scale (FES). This strong loading pattern indicates that these measures capture a shared underlying construct of global balance performance and fall-related functional confidence. The high variance explained by Balance_PC1 supports the use of a single composite balance score in subsequent regression analyses and suggests that impairments observed across these instruments reflect a common balance-related dimension rather than distinct, unrelated domains.</w:t>
      </w:r>
    </w:p>
    <w:p w14:paraId="1B7C31D4" w14:textId="77777777" w:rsidR="002E2D94" w:rsidRPr="00E74CAC" w:rsidRDefault="002E2D94" w:rsidP="00E74CAC">
      <w:pPr>
        <w:jc w:val="both"/>
      </w:pPr>
      <w:r w:rsidRPr="00E74CAC">
        <w:t>In contrast, PCA of occupational exposure variables revealed a more heterogeneous structure. The first exposure component (Exp_PC1) accounted for approximately one-third of the total variance, with subsequent components contributing meaningfully to the remaining variance. This finding reflects the complex and multidimensional nature of occupational exposures in welders, where noise, vibration, and fumes may occur in varying combinations and intensities rather than as a single uniform exposure. The moderate variance explained by Exp_PC1 suggests that while a dominant exposure gradient exists, multiple exposure patterns contribute to overall occupational risk, underscoring the importance of multivariate approaches when modeling exposure-related outcomes.</w:t>
      </w:r>
    </w:p>
    <w:p w14:paraId="68C698EF" w14:textId="5EA9B81C" w:rsidR="002E2D94" w:rsidRPr="00E74CAC" w:rsidRDefault="002E2D94" w:rsidP="00E74CAC">
      <w:pPr>
        <w:jc w:val="both"/>
      </w:pPr>
      <w:r w:rsidRPr="00E74CAC">
        <w:t>PCA of PPE use similarly demonstrated a distributed variance structure, with the first component (PPE_PC1) explaining approximately 45% of the total variance. Loadings across hearing protection, respiratory protection, and eye protection indicate that PPE behaviors are partially correlated but not fully redundant. The retention of PPE_PC1 therefore captures an overall tendency toward protective equipment use while acknowledging residual variability across specific PPE modalities.</w:t>
      </w:r>
      <w:r w:rsidR="000C41E9" w:rsidRPr="000C41E9">
        <w:t xml:space="preserve"> </w:t>
      </w:r>
      <w:r w:rsidR="000C41E9" w:rsidRPr="00E74CAC">
        <w:t xml:space="preserve">This suggests that </w:t>
      </w:r>
      <w:r w:rsidR="000C41E9">
        <w:t>integrating personal factors of using PPE and environmental factors of being exposed to various hazards helps in better prediction of fall risk in welders</w:t>
      </w:r>
      <w:r w:rsidR="000C41E9" w:rsidRPr="00E74CAC">
        <w:t>.</w:t>
      </w:r>
    </w:p>
    <w:p w14:paraId="21F56127" w14:textId="4AD34114" w:rsidR="002E2D94" w:rsidRPr="00E74CAC" w:rsidRDefault="002E2D94" w:rsidP="00E74CAC">
      <w:pPr>
        <w:jc w:val="both"/>
      </w:pPr>
      <w:r w:rsidRPr="00E74CAC">
        <w:lastRenderedPageBreak/>
        <w:t xml:space="preserve">Collectively, the PCA findings provide </w:t>
      </w:r>
      <w:r w:rsidR="000C41E9">
        <w:t xml:space="preserve">experimental </w:t>
      </w:r>
      <w:r w:rsidRPr="00E74CAC">
        <w:t xml:space="preserve">support for the construction of composite indices representing balance performance, occupational exposure burden, and PPE use. These composite scores reduce model complexity, mitigate collinearity, and enhance interpretability when incorporated into Firth penalized logistic regression models assessing fall history. Importantly, the differing variance structures observed across balance, exposure, and PPE domains highlight the relative </w:t>
      </w:r>
      <w:proofErr w:type="spellStart"/>
      <w:r w:rsidRPr="00E74CAC">
        <w:t>unidimensionality</w:t>
      </w:r>
      <w:proofErr w:type="spellEnd"/>
      <w:r w:rsidRPr="00E74CAC">
        <w:t xml:space="preserve"> of balance impairment compared with the more complex and multifactorial nature of occupational risk and protective behaviors in welders.</w:t>
      </w:r>
    </w:p>
    <w:p w14:paraId="64653150" w14:textId="05D0B871" w:rsidR="00E74CAC" w:rsidRPr="00E74CAC" w:rsidRDefault="00E74CAC" w:rsidP="00E74CAC">
      <w:pPr>
        <w:jc w:val="both"/>
      </w:pPr>
      <w:r w:rsidRPr="00E74CAC">
        <w:t>While age emerged as the primary predictor of fall history, the full multivariable model offers important interpretive value despite the lack of statistically significant effects for individual PC1 domains. By jointly modeling balance, exposure, and PPE constructs, the full model allows the age effect to be interpreted as independent of correlated occupational and behavioral factors, reducing the risk of omitted-variable bias. Although likelihood-ratio tests did not indicate a significant improvement over reduced models, the full model yielded the lowest AIC, suggesting marginally better overall fit relative to model complexity. Importantly, this framework facilitates evaluation of the direction and relative contribution of each domain, supporting hypothesis generation and informing future studies with larger samples and more granular predictors. Thus, while reduced models may be adequate for prediction in this dataset, the full model strengthens etiologic interpretation and translational relevance of fall risk.</w:t>
      </w:r>
    </w:p>
    <w:p w14:paraId="135EAE42" w14:textId="3B5E9511" w:rsidR="00FB0F03" w:rsidRPr="00E74CAC" w:rsidRDefault="008B6DB6" w:rsidP="00E74CAC">
      <w:pPr>
        <w:jc w:val="both"/>
      </w:pPr>
      <w:r w:rsidRPr="00E74CAC">
        <w:rPr>
          <w:b/>
          <w:bCs/>
        </w:rPr>
        <w:t>Multivariate Structure of Exposure and Balance Profiles</w:t>
      </w:r>
      <w:r w:rsidR="00E74CAC" w:rsidRPr="00E74CAC">
        <w:rPr>
          <w:b/>
          <w:bCs/>
        </w:rPr>
        <w:t>.</w:t>
      </w:r>
      <w:r w:rsidR="00E74CAC">
        <w:t xml:space="preserve"> </w:t>
      </w:r>
      <w:r w:rsidRPr="00E74CAC">
        <w:t>As we integrate the personal factors, i.e. the choice of using PPEs (hearing, vision and respiration) and environmental factors i.e. exposure to fumes, vibration and noise in determining the balance outcomes, the FAMD helps to identify components that explain the variance</w:t>
      </w:r>
      <w:r w:rsidR="00CB4A14">
        <w:fldChar w:fldCharType="begin"/>
      </w:r>
      <w:r w:rsidR="00CB4A14">
        <w:instrText xml:space="preserve"> ADDIN EN.CITE &lt;EndNote&gt;&lt;Cite&gt;&lt;Author&gt;Wahlström&lt;/Author&gt;&lt;Year&gt;2020&lt;/Year&gt;&lt;RecNum&gt;1544&lt;/RecNum&gt;&lt;DisplayText&gt;(Wahlström et al., 2020)&lt;/DisplayText&gt;&lt;record&gt;&lt;rec-number&gt;1544&lt;/rec-number&gt;&lt;foreign-keys&gt;&lt;key app="EN" db-id="vxzwr02rlft2rzetvs2prd5y2zf50xpxfd95" timestamp="1767144143"&gt;1544&lt;/key&gt;&lt;/foreign-keys&gt;&lt;ref-type name="Journal Article"&gt;17&lt;/ref-type&gt;&lt;contributors&gt;&lt;authors&gt;&lt;author&gt;Wahlström, Viktoria&lt;/author&gt;&lt;author&gt;Olsson, David&lt;/author&gt;&lt;author&gt;Öhberg, Fredrik&lt;/author&gt;&lt;author&gt;Olsson, Tommy&lt;/author&gt;&lt;author&gt;Slunga Järvholm, Lisbeth&lt;/author&gt;&lt;/authors&gt;&lt;/contributors&gt;&lt;titles&gt;&lt;title&gt;Underlying factors explaining physical behaviors among office workers—an exploratory analysis&lt;/title&gt;&lt;secondary-title&gt;International Journal of Environmental Research and Public Health&lt;/secondary-title&gt;&lt;/titles&gt;&lt;periodical&gt;&lt;full-title&gt;Int J Environ Res Public Health&lt;/full-title&gt;&lt;abbr-1&gt;International journal of environmental research and public health&lt;/abbr-1&gt;&lt;/periodical&gt;&lt;pages&gt;9158&lt;/pages&gt;&lt;volume&gt;17&lt;/volume&gt;&lt;number&gt;24&lt;/number&gt;&lt;dates&gt;&lt;year&gt;2020&lt;/year&gt;&lt;/dates&gt;&lt;isbn&gt;1660-4601&lt;/isbn&gt;&lt;urls&gt;&lt;/urls&gt;&lt;/record&gt;&lt;/Cite&gt;&lt;/EndNote&gt;</w:instrText>
      </w:r>
      <w:r w:rsidR="00CB4A14">
        <w:fldChar w:fldCharType="separate"/>
      </w:r>
      <w:r w:rsidR="00CB4A14">
        <w:rPr>
          <w:noProof/>
        </w:rPr>
        <w:t>(</w:t>
      </w:r>
      <w:proofErr w:type="spellStart"/>
      <w:r w:rsidR="00CB4A14">
        <w:rPr>
          <w:noProof/>
        </w:rPr>
        <w:t>Wahlström</w:t>
      </w:r>
      <w:proofErr w:type="spellEnd"/>
      <w:r w:rsidR="00CB4A14">
        <w:rPr>
          <w:noProof/>
        </w:rPr>
        <w:t xml:space="preserve"> et al., 2020)</w:t>
      </w:r>
      <w:r w:rsidR="00CB4A14">
        <w:fldChar w:fldCharType="end"/>
      </w:r>
      <w:r w:rsidRPr="00E74CAC">
        <w:t xml:space="preserve">.  FAMD provided critical insight into how balance outcomes relate to occupational and health variables in a multivariate context. Dimension 1, which explained the largest proportion of variance (21.4%), was dominated by fumes exposure, vibration exposure, noise exposure, welding type, work hours, and total years worked, and clearly separated welders from controls. This dimension represents a latent axis of cumulative occupational exposure and workload, suggesting that balance impairment is not attributable to a single exposure but rather to the combined burden of multiple workplace hazards over time.  Dimension 2 captured a complementary pattern characterized by comorbidities, PPE use (particularly respiratory protection), education level, and fear of falling, reflecting heterogeneity within groups. The loading of FES on this dimension suggests that balance confidence and perceived fall risk may be influenced by health status and behavioral factors beyond exposure intensity alone. Together, these dimensions support a conceptual model in which </w:t>
      </w:r>
      <w:r w:rsidRPr="00E74CAC">
        <w:lastRenderedPageBreak/>
        <w:t xml:space="preserve">occupational exposures establish a baseline risk profile, while individual health and protective behaviors modulate functional consequences. </w:t>
      </w:r>
    </w:p>
    <w:p w14:paraId="0F2DE4FA" w14:textId="26DA2BDD" w:rsidR="00E74CAC" w:rsidRPr="00E74CAC" w:rsidRDefault="00E74CAC" w:rsidP="00E74CAC">
      <w:pPr>
        <w:jc w:val="both"/>
      </w:pPr>
      <w:r w:rsidRPr="00E74CAC">
        <w:rPr>
          <w:b/>
          <w:bCs/>
        </w:rPr>
        <w:t>Conclusion.</w:t>
      </w:r>
      <w:r w:rsidRPr="00E74CAC">
        <w:t xml:space="preserve"> Welders demonstrated</w:t>
      </w:r>
      <w:r w:rsidR="00745FCE">
        <w:t xml:space="preserve"> significant</w:t>
      </w:r>
      <w:r w:rsidRPr="00E74CAC">
        <w:t xml:space="preserve"> impairments in balance and fall-related confidence, indicating that chronic occupation</w:t>
      </w:r>
      <w:r w:rsidR="00745FCE">
        <w:t>al</w:t>
      </w:r>
      <w:r w:rsidRPr="00E74CAC">
        <w:t xml:space="preserve"> exposures are associated with functional instability beyond traditional motor assessments. Balance outcomes reflected a coherent, largely unidimensional construct, whereas exposure burden and PPE behaviors were multifactorial, highlighting the complexity of occupational risk profiles. </w:t>
      </w:r>
    </w:p>
    <w:p w14:paraId="171E2075" w14:textId="5287C6AF" w:rsidR="00F33DBA" w:rsidRPr="00E74CAC" w:rsidRDefault="00E74CAC" w:rsidP="00E74CAC">
      <w:pPr>
        <w:jc w:val="both"/>
      </w:pPr>
      <w:r w:rsidRPr="00E74CAC">
        <w:t xml:space="preserve">Although age was the strongest predictor of fall history, multivariable and multivariate analyses clarified how cumulative exposure and individual health and protective behaviors shape functional risk. Framed within the ICF model, these findings emphasize that environmental hazards establish vulnerability while personal factors modulate balance confidence and fall risk. Future longitudinal studies incorporating refined exposure metrics and targeted rehabilitation strategies are warranted to </w:t>
      </w:r>
      <w:r w:rsidR="00745FCE">
        <w:t xml:space="preserve">stratify the severity of the impairment and to </w:t>
      </w:r>
      <w:r w:rsidRPr="00E74CAC">
        <w:t>reduce fall risk in welding populations.</w:t>
      </w:r>
    </w:p>
    <w:p w14:paraId="5FF95C0D" w14:textId="3EAA1812" w:rsidR="00617F34" w:rsidRDefault="00AF63CE" w:rsidP="00E74CAC">
      <w:pPr>
        <w:jc w:val="both"/>
      </w:pPr>
      <w:r w:rsidRPr="00AF63CE">
        <w:rPr>
          <w:b/>
          <w:bCs/>
        </w:rPr>
        <w:t>Declaration of use of generative AI in manuscript preparation.</w:t>
      </w:r>
      <w:r>
        <w:t xml:space="preserve"> </w:t>
      </w:r>
      <w:r w:rsidRPr="00AF63CE">
        <w:t xml:space="preserve">During the preparation of this work the author(s) used </w:t>
      </w:r>
      <w:r>
        <w:t>Perplexity</w:t>
      </w:r>
      <w:r w:rsidRPr="00AF63CE">
        <w:t xml:space="preserve"> to</w:t>
      </w:r>
      <w:r>
        <w:t xml:space="preserve"> check the smoothness of the discussion</w:t>
      </w:r>
      <w:r w:rsidRPr="00AF63CE">
        <w:t>. After using this tool, the author</w:t>
      </w:r>
      <w:r>
        <w:t>s</w:t>
      </w:r>
      <w:r w:rsidRPr="00AF63CE">
        <w:t xml:space="preserve"> reviewed and edited the content as needed and took full responsibility for the content of the published article.</w:t>
      </w:r>
    </w:p>
    <w:p w14:paraId="0F8C714D" w14:textId="587E703F" w:rsidR="00AF63CE" w:rsidRPr="00E74CAC" w:rsidRDefault="00AF63CE" w:rsidP="00E74CAC">
      <w:pPr>
        <w:jc w:val="both"/>
      </w:pPr>
      <w:r w:rsidRPr="00AF63CE">
        <w:rPr>
          <w:b/>
          <w:bCs/>
        </w:rPr>
        <w:t>Funding Source.</w:t>
      </w:r>
      <w:r>
        <w:t xml:space="preserve"> </w:t>
      </w:r>
      <w:r w:rsidRPr="00AF63CE">
        <w:t>This research did not receive any specific grant from funding agencies in the public, commercial, or not-for-profit sectors.</w:t>
      </w:r>
    </w:p>
    <w:p w14:paraId="2E2799AF" w14:textId="72233215" w:rsidR="00341EE0" w:rsidRPr="00E74CAC" w:rsidRDefault="00BF27AA" w:rsidP="00E74CAC">
      <w:pPr>
        <w:jc w:val="both"/>
      </w:pPr>
      <w:r w:rsidRPr="00E74CAC">
        <w:rPr>
          <w:noProof/>
        </w:rPr>
        <mc:AlternateContent>
          <mc:Choice Requires="wps">
            <w:drawing>
              <wp:inline distT="0" distB="0" distL="0" distR="0" wp14:anchorId="4589ACA5" wp14:editId="09F75FCF">
                <wp:extent cx="304800" cy="304800"/>
                <wp:effectExtent l="0" t="0" r="0" b="0"/>
                <wp:docPr id="184674890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3D75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EF86FF" w14:textId="77777777" w:rsidR="00BF27AA" w:rsidRPr="00E74CAC" w:rsidRDefault="00BF27AA" w:rsidP="00E74CAC">
      <w:pPr>
        <w:jc w:val="both"/>
      </w:pPr>
    </w:p>
    <w:p w14:paraId="317108FD" w14:textId="77777777" w:rsidR="009D7BB9" w:rsidRPr="00E74CAC" w:rsidRDefault="00BF27AA" w:rsidP="00E74CAC">
      <w:pPr>
        <w:jc w:val="both"/>
      </w:pPr>
      <w:r w:rsidRPr="00E74CAC">
        <w:rPr>
          <w:noProof/>
        </w:rPr>
        <mc:AlternateContent>
          <mc:Choice Requires="wps">
            <w:drawing>
              <wp:inline distT="0" distB="0" distL="0" distR="0" wp14:anchorId="40440883" wp14:editId="345E768C">
                <wp:extent cx="304800" cy="304800"/>
                <wp:effectExtent l="0" t="0" r="0" b="0"/>
                <wp:docPr id="1477479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3A54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452128" w14:textId="77777777" w:rsidR="009D7BB9" w:rsidRPr="00E74CAC" w:rsidRDefault="009D7BB9" w:rsidP="00E74CAC">
      <w:pPr>
        <w:jc w:val="both"/>
      </w:pPr>
    </w:p>
    <w:p w14:paraId="4FF6AA86" w14:textId="77777777" w:rsidR="006F1F02" w:rsidRDefault="006F1F02">
      <w:pPr>
        <w:rPr>
          <w:rFonts w:ascii="Aptos" w:hAnsi="Aptos"/>
          <w:noProof/>
        </w:rPr>
      </w:pPr>
      <w:r>
        <w:br w:type="page"/>
      </w:r>
    </w:p>
    <w:p w14:paraId="0410A091" w14:textId="1ED1BA8D" w:rsidR="006F1F02" w:rsidRPr="006F1F02" w:rsidRDefault="006F1F02" w:rsidP="00CB4A14">
      <w:pPr>
        <w:pStyle w:val="EndNoteBibliography"/>
        <w:spacing w:after="0"/>
        <w:rPr>
          <w:b/>
          <w:bCs/>
        </w:rPr>
      </w:pPr>
      <w:r w:rsidRPr="006F1F02">
        <w:rPr>
          <w:b/>
          <w:bCs/>
        </w:rPr>
        <w:lastRenderedPageBreak/>
        <w:t>References.</w:t>
      </w:r>
    </w:p>
    <w:p w14:paraId="5247ECA7" w14:textId="77777777" w:rsidR="006F1F02" w:rsidRDefault="006F1F02" w:rsidP="006F6D83">
      <w:pPr>
        <w:pStyle w:val="EndNoteBibliography"/>
        <w:spacing w:after="0"/>
        <w:ind w:left="720" w:hanging="720"/>
      </w:pPr>
    </w:p>
    <w:p w14:paraId="210BF35D" w14:textId="6304EC61" w:rsidR="00CB4A14" w:rsidRPr="00CB4A14" w:rsidRDefault="009D7BB9" w:rsidP="00CB4A14">
      <w:pPr>
        <w:pStyle w:val="EndNoteBibliography"/>
        <w:spacing w:after="0"/>
        <w:ind w:left="720" w:hanging="720"/>
      </w:pPr>
      <w:r w:rsidRPr="00E74CAC">
        <w:fldChar w:fldCharType="begin"/>
      </w:r>
      <w:r w:rsidRPr="00E74CAC">
        <w:instrText xml:space="preserve"> ADDIN EN.REFLIST </w:instrText>
      </w:r>
      <w:r w:rsidRPr="00E74CAC">
        <w:fldChar w:fldCharType="separate"/>
      </w:r>
      <w:r w:rsidR="00CB4A14" w:rsidRPr="00CB4A14">
        <w:t xml:space="preserve">Abdel-Rasoul, G. M., Abu-Salem, M. E.-S., Salem, E. A.-A., Allam, H. K., Abdel-Monaem, A. M., &amp; Younis, F. E. (2024). Neurological and neurobehavioral effects of welders in Egypt exposed to manganese containing welding fumes. </w:t>
      </w:r>
      <w:r w:rsidR="00CB4A14" w:rsidRPr="00CB4A14">
        <w:rPr>
          <w:i/>
        </w:rPr>
        <w:t>International Archives of Occupational and Environmental Health</w:t>
      </w:r>
      <w:r w:rsidR="00CB4A14" w:rsidRPr="00CB4A14">
        <w:t>,</w:t>
      </w:r>
      <w:r w:rsidR="00CB4A14" w:rsidRPr="00CB4A14">
        <w:rPr>
          <w:i/>
        </w:rPr>
        <w:t xml:space="preserve"> 97</w:t>
      </w:r>
      <w:r w:rsidR="00CB4A14" w:rsidRPr="00CB4A14">
        <w:t xml:space="preserve">(7), 711-720. </w:t>
      </w:r>
      <w:hyperlink r:id="rId5" w:history="1">
        <w:r w:rsidR="00CB4A14" w:rsidRPr="00CB4A14">
          <w:rPr>
            <w:rStyle w:val="Hyperlink"/>
          </w:rPr>
          <w:t>https://doi.org/10.1007/s00420-024-02077-9</w:t>
        </w:r>
      </w:hyperlink>
      <w:r w:rsidR="00CB4A14" w:rsidRPr="00CB4A14">
        <w:t xml:space="preserve"> </w:t>
      </w:r>
    </w:p>
    <w:p w14:paraId="7B514BE7" w14:textId="72767E67" w:rsidR="00CB4A14" w:rsidRPr="00CB4A14" w:rsidRDefault="00CB4A14" w:rsidP="00CB4A14">
      <w:pPr>
        <w:pStyle w:val="EndNoteBibliography"/>
        <w:spacing w:after="0"/>
        <w:ind w:left="720" w:hanging="720"/>
      </w:pPr>
      <w:r w:rsidRPr="00CB4A14">
        <w:t xml:space="preserve">Antonini, J. M. (2003). Health effects of welding. </w:t>
      </w:r>
      <w:r w:rsidRPr="00CB4A14">
        <w:rPr>
          <w:i/>
        </w:rPr>
        <w:t>Crit Rev Toxicol</w:t>
      </w:r>
      <w:r w:rsidRPr="00CB4A14">
        <w:t>,</w:t>
      </w:r>
      <w:r w:rsidRPr="00CB4A14">
        <w:rPr>
          <w:i/>
        </w:rPr>
        <w:t xml:space="preserve"> 33</w:t>
      </w:r>
      <w:r w:rsidRPr="00CB4A14">
        <w:t xml:space="preserve">(1), 61-103. </w:t>
      </w:r>
      <w:hyperlink r:id="rId6" w:history="1">
        <w:r w:rsidRPr="00CB4A14">
          <w:rPr>
            <w:rStyle w:val="Hyperlink"/>
          </w:rPr>
          <w:t>https://doi.org/10.1080/713611032</w:t>
        </w:r>
      </w:hyperlink>
      <w:r w:rsidRPr="00CB4A14">
        <w:t xml:space="preserve"> </w:t>
      </w:r>
    </w:p>
    <w:p w14:paraId="3444E9B2" w14:textId="6542B854" w:rsidR="00CB4A14" w:rsidRPr="00CB4A14" w:rsidRDefault="00CB4A14" w:rsidP="00CB4A14">
      <w:pPr>
        <w:pStyle w:val="EndNoteBibliography"/>
        <w:spacing w:after="0"/>
        <w:ind w:left="720" w:hanging="720"/>
      </w:pPr>
      <w:r w:rsidRPr="00CB4A14">
        <w:t xml:space="preserve">Bowler, R. M., Gocheva, V., Harris, M., Ngo, L., Abdelouahab, N., Wilkinson, J., Doty, R. L., Park, R., &amp; Roels, H. A. (2011). Prospective study on neurotoxic effects in manganese-exposed bridge construction welders. </w:t>
      </w:r>
      <w:r w:rsidRPr="00CB4A14">
        <w:rPr>
          <w:i/>
        </w:rPr>
        <w:t>Neurotoxicology</w:t>
      </w:r>
      <w:r w:rsidRPr="00CB4A14">
        <w:t>,</w:t>
      </w:r>
      <w:r w:rsidRPr="00CB4A14">
        <w:rPr>
          <w:i/>
        </w:rPr>
        <w:t xml:space="preserve"> 32</w:t>
      </w:r>
      <w:r w:rsidRPr="00CB4A14">
        <w:t xml:space="preserve">(5), 596-605. </w:t>
      </w:r>
      <w:hyperlink r:id="rId7" w:history="1">
        <w:r w:rsidRPr="00CB4A14">
          <w:rPr>
            <w:rStyle w:val="Hyperlink"/>
          </w:rPr>
          <w:t>https://doi.org/https://doi.org/10.1016/j.neuro.2011.06.004</w:t>
        </w:r>
      </w:hyperlink>
      <w:r w:rsidRPr="00CB4A14">
        <w:t xml:space="preserve"> </w:t>
      </w:r>
    </w:p>
    <w:p w14:paraId="170CCAB6" w14:textId="77777777" w:rsidR="00CB4A14" w:rsidRPr="00CB4A14" w:rsidRDefault="00CB4A14" w:rsidP="00CB4A14">
      <w:pPr>
        <w:pStyle w:val="EndNoteBibliography"/>
        <w:spacing w:after="0"/>
        <w:ind w:left="720" w:hanging="720"/>
      </w:pPr>
      <w:r w:rsidRPr="00CB4A14">
        <w:t xml:space="preserve">Bowler, R. M., Koller, W., &amp; Schulz, P. E. (2006). Parkinsonism due to manganism in a welder: neurological and neuropsychological sequelae. </w:t>
      </w:r>
      <w:r w:rsidRPr="00CB4A14">
        <w:rPr>
          <w:i/>
        </w:rPr>
        <w:t>Neurotoxicology</w:t>
      </w:r>
      <w:r w:rsidRPr="00CB4A14">
        <w:t>,</w:t>
      </w:r>
      <w:r w:rsidRPr="00CB4A14">
        <w:rPr>
          <w:i/>
        </w:rPr>
        <w:t xml:space="preserve"> 27</w:t>
      </w:r>
      <w:r w:rsidRPr="00CB4A14">
        <w:t xml:space="preserve">(3), 327-332. </w:t>
      </w:r>
    </w:p>
    <w:p w14:paraId="0978832D" w14:textId="77777777" w:rsidR="00CB4A14" w:rsidRPr="00CB4A14" w:rsidRDefault="00CB4A14" w:rsidP="00CB4A14">
      <w:pPr>
        <w:pStyle w:val="EndNoteBibliography"/>
        <w:spacing w:after="0"/>
        <w:ind w:left="720" w:hanging="720"/>
      </w:pPr>
      <w:r w:rsidRPr="00CB4A14">
        <w:t xml:space="preserve">Bowler, R. M., Roels, H. A., Nakagawa, S., Drezgic, M., Diamond, E., Park, R., Koller, W., Bowler, R. P., Mergler, D., &amp; Bouchard, M. (2007). Dose–effect relationships between manganese exposure and neurological, neuropsychological and pulmonary function in confined space bridge welders. </w:t>
      </w:r>
      <w:r w:rsidRPr="00CB4A14">
        <w:rPr>
          <w:i/>
        </w:rPr>
        <w:t>Occupational and environmental medicine</w:t>
      </w:r>
      <w:r w:rsidRPr="00CB4A14">
        <w:t>,</w:t>
      </w:r>
      <w:r w:rsidRPr="00CB4A14">
        <w:rPr>
          <w:i/>
        </w:rPr>
        <w:t xml:space="preserve"> 64</w:t>
      </w:r>
      <w:r w:rsidRPr="00CB4A14">
        <w:t xml:space="preserve">(3), 167-177. </w:t>
      </w:r>
    </w:p>
    <w:p w14:paraId="7AAB890F" w14:textId="557F6E21" w:rsidR="00CB4A14" w:rsidRPr="00CB4A14" w:rsidRDefault="00CB4A14" w:rsidP="00CB4A14">
      <w:pPr>
        <w:pStyle w:val="EndNoteBibliography"/>
        <w:spacing w:after="0"/>
        <w:ind w:left="720" w:hanging="720"/>
      </w:pPr>
      <w:r w:rsidRPr="00CB4A14">
        <w:t xml:space="preserve">CDC. (1978). </w:t>
      </w:r>
      <w:r w:rsidRPr="00CB4A14">
        <w:rPr>
          <w:i/>
        </w:rPr>
        <w:t>Safety and Health in Arc Welding and Gas Welding and Cutting</w:t>
      </w:r>
      <w:r w:rsidRPr="00CB4A14">
        <w:t xml:space="preserve">. Ohio: National Institute of Occupational Safety and Health (NIOSH) Retrieved from </w:t>
      </w:r>
      <w:hyperlink r:id="rId8" w:history="1">
        <w:r w:rsidRPr="00CB4A14">
          <w:rPr>
            <w:rStyle w:val="Hyperlink"/>
          </w:rPr>
          <w:t>https://stacks.cdc.gov/view/cdc/209336</w:t>
        </w:r>
      </w:hyperlink>
    </w:p>
    <w:p w14:paraId="56CB8D5F" w14:textId="740ABFA3" w:rsidR="00CB4A14" w:rsidRPr="00CB4A14" w:rsidRDefault="00CB4A14" w:rsidP="00CB4A14">
      <w:pPr>
        <w:pStyle w:val="EndNoteBibliography"/>
        <w:spacing w:after="0"/>
        <w:ind w:left="720" w:hanging="720"/>
      </w:pPr>
      <w:r w:rsidRPr="00CB4A14">
        <w:t xml:space="preserve">Cotzias, G. C., Horiuchi, K., Fuenzalida, S., &amp; Mena, I. (1968). Chronic manganese poisoning. Clearance of tissue manganese concentrations with persistance of the neurological picture. </w:t>
      </w:r>
      <w:r w:rsidRPr="00CB4A14">
        <w:rPr>
          <w:i/>
        </w:rPr>
        <w:t>Neurology</w:t>
      </w:r>
      <w:r w:rsidRPr="00CB4A14">
        <w:t>,</w:t>
      </w:r>
      <w:r w:rsidRPr="00CB4A14">
        <w:rPr>
          <w:i/>
        </w:rPr>
        <w:t xml:space="preserve"> 18</w:t>
      </w:r>
      <w:r w:rsidRPr="00CB4A14">
        <w:t xml:space="preserve">(4), 376-382. </w:t>
      </w:r>
      <w:hyperlink r:id="rId9" w:history="1">
        <w:r w:rsidRPr="00CB4A14">
          <w:rPr>
            <w:rStyle w:val="Hyperlink"/>
          </w:rPr>
          <w:t>https://doi.org/10.1212/wnl.18.4.376</w:t>
        </w:r>
      </w:hyperlink>
      <w:r w:rsidRPr="00CB4A14">
        <w:t xml:space="preserve"> </w:t>
      </w:r>
    </w:p>
    <w:p w14:paraId="15559003" w14:textId="77777777" w:rsidR="00CB4A14" w:rsidRPr="00CB4A14" w:rsidRDefault="00CB4A14" w:rsidP="00CB4A14">
      <w:pPr>
        <w:pStyle w:val="EndNoteBibliography"/>
        <w:spacing w:after="0"/>
        <w:ind w:left="720" w:hanging="720"/>
      </w:pPr>
      <w:r w:rsidRPr="00CB4A14">
        <w:t xml:space="preserve">Dixon, D., Johnston, M., Rowley, D., &amp; Pollard, B. (2008). Using the ICF and psychological models of behavior to predict mobility limitations. </w:t>
      </w:r>
      <w:r w:rsidRPr="00CB4A14">
        <w:rPr>
          <w:i/>
        </w:rPr>
        <w:t>Rehabilitation Psychology</w:t>
      </w:r>
      <w:r w:rsidRPr="00CB4A14">
        <w:t>,</w:t>
      </w:r>
      <w:r w:rsidRPr="00CB4A14">
        <w:rPr>
          <w:i/>
        </w:rPr>
        <w:t xml:space="preserve"> 53</w:t>
      </w:r>
      <w:r w:rsidRPr="00CB4A14">
        <w:t xml:space="preserve">(2), 191. </w:t>
      </w:r>
    </w:p>
    <w:p w14:paraId="119EE608" w14:textId="1C2FA029" w:rsidR="00CB4A14" w:rsidRPr="00CB4A14" w:rsidRDefault="00CB4A14" w:rsidP="00CB4A14">
      <w:pPr>
        <w:pStyle w:val="EndNoteBibliography"/>
        <w:spacing w:after="0"/>
        <w:ind w:left="720" w:hanging="720"/>
      </w:pPr>
      <w:r w:rsidRPr="00CB4A14">
        <w:t xml:space="preserve">Downs, S., Marquez, J., &amp; Chiarelli, P. (2013). The Berg Balance Scale has high intra- and inter-rater reliability but absolute reliability varies across the scale: a systematic review. </w:t>
      </w:r>
      <w:r w:rsidRPr="00CB4A14">
        <w:rPr>
          <w:i/>
        </w:rPr>
        <w:t>J Physiother</w:t>
      </w:r>
      <w:r w:rsidRPr="00CB4A14">
        <w:t>,</w:t>
      </w:r>
      <w:r w:rsidRPr="00CB4A14">
        <w:rPr>
          <w:i/>
        </w:rPr>
        <w:t xml:space="preserve"> 59</w:t>
      </w:r>
      <w:r w:rsidRPr="00CB4A14">
        <w:t xml:space="preserve">(2), 93-99. </w:t>
      </w:r>
      <w:hyperlink r:id="rId10" w:history="1">
        <w:r w:rsidRPr="00CB4A14">
          <w:rPr>
            <w:rStyle w:val="Hyperlink"/>
          </w:rPr>
          <w:t>https://doi.org/10.1016/s1836-9553(13)70161-9</w:t>
        </w:r>
      </w:hyperlink>
      <w:r w:rsidRPr="00CB4A14">
        <w:t xml:space="preserve"> </w:t>
      </w:r>
    </w:p>
    <w:p w14:paraId="78A3A041" w14:textId="76CCB2A4" w:rsidR="00CB4A14" w:rsidRPr="00CB4A14" w:rsidRDefault="00CB4A14" w:rsidP="00CB4A14">
      <w:pPr>
        <w:pStyle w:val="EndNoteBibliography"/>
        <w:spacing w:after="0"/>
        <w:ind w:left="720" w:hanging="720"/>
      </w:pPr>
      <w:r w:rsidRPr="00CB4A14">
        <w:t xml:space="preserve">Godi, M., Franchignoni, F., Caligari, M., Giordano, A., Turcato, A. M., &amp; Nardone, A. (2013). Comparison of reliability, validity, and responsiveness of the mini-BESTest and Berg Balance Scale in patients with balance disorders. </w:t>
      </w:r>
      <w:r w:rsidRPr="00CB4A14">
        <w:rPr>
          <w:i/>
        </w:rPr>
        <w:t>Phys Ther</w:t>
      </w:r>
      <w:r w:rsidRPr="00CB4A14">
        <w:t>,</w:t>
      </w:r>
      <w:r w:rsidRPr="00CB4A14">
        <w:rPr>
          <w:i/>
        </w:rPr>
        <w:t xml:space="preserve"> 93</w:t>
      </w:r>
      <w:r w:rsidRPr="00CB4A14">
        <w:t xml:space="preserve">(2), 158-167. </w:t>
      </w:r>
      <w:hyperlink r:id="rId11" w:history="1">
        <w:r w:rsidRPr="00CB4A14">
          <w:rPr>
            <w:rStyle w:val="Hyperlink"/>
          </w:rPr>
          <w:t>https://doi.org/10.2522/ptj.20120171</w:t>
        </w:r>
      </w:hyperlink>
      <w:r w:rsidRPr="00CB4A14">
        <w:t xml:space="preserve"> </w:t>
      </w:r>
    </w:p>
    <w:p w14:paraId="46D1A01B" w14:textId="539678E4" w:rsidR="00CB4A14" w:rsidRPr="00CB4A14" w:rsidRDefault="00CB4A14" w:rsidP="00CB4A14">
      <w:pPr>
        <w:pStyle w:val="EndNoteBibliography"/>
        <w:spacing w:after="0"/>
        <w:ind w:left="720" w:hanging="720"/>
      </w:pPr>
      <w:r w:rsidRPr="00CB4A14">
        <w:t xml:space="preserve">Huang, C. C., Chu, N. S., Lu, C. S., Chen, R. S., &amp; Calne, D. B. (1998). Long-term progression in chronic manganism: ten years of follow-up. </w:t>
      </w:r>
      <w:r w:rsidRPr="00CB4A14">
        <w:rPr>
          <w:i/>
        </w:rPr>
        <w:t>Neurology</w:t>
      </w:r>
      <w:r w:rsidRPr="00CB4A14">
        <w:t>,</w:t>
      </w:r>
      <w:r w:rsidRPr="00CB4A14">
        <w:rPr>
          <w:i/>
        </w:rPr>
        <w:t xml:space="preserve"> 50</w:t>
      </w:r>
      <w:r w:rsidRPr="00CB4A14">
        <w:t xml:space="preserve">(3), 698-700. </w:t>
      </w:r>
      <w:hyperlink r:id="rId12" w:history="1">
        <w:r w:rsidRPr="00CB4A14">
          <w:rPr>
            <w:rStyle w:val="Hyperlink"/>
          </w:rPr>
          <w:t>https://doi.org/10.1212/wnl.50.3.698</w:t>
        </w:r>
      </w:hyperlink>
      <w:r w:rsidRPr="00CB4A14">
        <w:t xml:space="preserve"> </w:t>
      </w:r>
    </w:p>
    <w:p w14:paraId="15F00EDE" w14:textId="30CAC63D" w:rsidR="00CB4A14" w:rsidRPr="00CB4A14" w:rsidRDefault="00CB4A14" w:rsidP="00CB4A14">
      <w:pPr>
        <w:pStyle w:val="EndNoteBibliography"/>
        <w:spacing w:after="0"/>
        <w:ind w:left="720" w:hanging="720"/>
      </w:pPr>
      <w:r w:rsidRPr="00CB4A14">
        <w:t xml:space="preserve">Jankovic, J. (2005). Searching for a relationship between manganese and welding and Parkinson's disease. </w:t>
      </w:r>
      <w:r w:rsidRPr="00CB4A14">
        <w:rPr>
          <w:i/>
        </w:rPr>
        <w:t>Neurology</w:t>
      </w:r>
      <w:r w:rsidRPr="00CB4A14">
        <w:t>,</w:t>
      </w:r>
      <w:r w:rsidRPr="00CB4A14">
        <w:rPr>
          <w:i/>
        </w:rPr>
        <w:t xml:space="preserve"> 64</w:t>
      </w:r>
      <w:r w:rsidRPr="00CB4A14">
        <w:t xml:space="preserve">(12), 2021-2028. </w:t>
      </w:r>
      <w:hyperlink r:id="rId13" w:history="1">
        <w:r w:rsidRPr="00CB4A14">
          <w:rPr>
            <w:rStyle w:val="Hyperlink"/>
          </w:rPr>
          <w:t>https://doi.org/10.1212/01.Wnl.0000166916.40902.63</w:t>
        </w:r>
      </w:hyperlink>
      <w:r w:rsidRPr="00CB4A14">
        <w:t xml:space="preserve"> </w:t>
      </w:r>
    </w:p>
    <w:p w14:paraId="3B8D863F" w14:textId="77777777" w:rsidR="00CB4A14" w:rsidRPr="00CB4A14" w:rsidRDefault="00CB4A14" w:rsidP="00CB4A14">
      <w:pPr>
        <w:pStyle w:val="EndNoteBibliography"/>
        <w:spacing w:after="0"/>
        <w:ind w:left="720" w:hanging="720"/>
      </w:pPr>
      <w:r w:rsidRPr="00CB4A14">
        <w:lastRenderedPageBreak/>
        <w:t xml:space="preserve">Josephs, K., Ahlskog, J., Klos, K., Kumar, N., Fealey, R., Trenerry, M., &amp; Cowl, C. (2005). Neurologic manifestations in welders with pallidal MRI T1 hyperintensity. </w:t>
      </w:r>
      <w:r w:rsidRPr="00CB4A14">
        <w:rPr>
          <w:i/>
        </w:rPr>
        <w:t>Neurology</w:t>
      </w:r>
      <w:r w:rsidRPr="00CB4A14">
        <w:t>,</w:t>
      </w:r>
      <w:r w:rsidRPr="00CB4A14">
        <w:rPr>
          <w:i/>
        </w:rPr>
        <w:t xml:space="preserve"> 64</w:t>
      </w:r>
      <w:r w:rsidRPr="00CB4A14">
        <w:t xml:space="preserve">(12), 2033-2039. </w:t>
      </w:r>
    </w:p>
    <w:p w14:paraId="7F52FF08" w14:textId="321EEB38" w:rsidR="00CB4A14" w:rsidRPr="00CB4A14" w:rsidRDefault="00CB4A14" w:rsidP="00CB4A14">
      <w:pPr>
        <w:pStyle w:val="EndNoteBibliography"/>
        <w:spacing w:after="0"/>
        <w:ind w:left="720" w:hanging="720"/>
      </w:pPr>
      <w:r w:rsidRPr="00CB4A14">
        <w:t xml:space="preserve">Magano, D., Barros, A. S., Massano, J., Alsuwaidi, L., &amp; Taveira-Gomes, T. (2025). Non-motor symptoms as critical predictors of quality of life in Parkinson’s disease: a machine learning approach. </w:t>
      </w:r>
      <w:r w:rsidRPr="00CB4A14">
        <w:rPr>
          <w:i/>
        </w:rPr>
        <w:t>Health and Quality of Life Outcomes</w:t>
      </w:r>
      <w:r w:rsidRPr="00CB4A14">
        <w:t xml:space="preserve">. </w:t>
      </w:r>
      <w:hyperlink r:id="rId14" w:history="1">
        <w:r w:rsidRPr="00CB4A14">
          <w:rPr>
            <w:rStyle w:val="Hyperlink"/>
          </w:rPr>
          <w:t>https://doi.org/10.1186/s12955-025-02451-2</w:t>
        </w:r>
      </w:hyperlink>
      <w:r w:rsidRPr="00CB4A14">
        <w:t xml:space="preserve"> </w:t>
      </w:r>
    </w:p>
    <w:p w14:paraId="57E87833" w14:textId="77777777" w:rsidR="00CB4A14" w:rsidRPr="00CB4A14" w:rsidRDefault="00CB4A14" w:rsidP="00CB4A14">
      <w:pPr>
        <w:pStyle w:val="EndNoteBibliography"/>
        <w:spacing w:after="0"/>
        <w:ind w:left="720" w:hanging="720"/>
      </w:pPr>
      <w:r w:rsidRPr="00CB4A14">
        <w:t xml:space="preserve">MISHRA, A., NAIR, N. S., KUMAR, K. H., Binu, V., &amp; HEESH, S. S. (2022). Application of Principal Component Analysis in Dealing with Multicollinearity in Modelling Clinical Data. </w:t>
      </w:r>
      <w:r w:rsidRPr="00CB4A14">
        <w:rPr>
          <w:i/>
        </w:rPr>
        <w:t>Journal of Clinical &amp; Diagnostic Research</w:t>
      </w:r>
      <w:r w:rsidRPr="00CB4A14">
        <w:t>,</w:t>
      </w:r>
      <w:r w:rsidRPr="00CB4A14">
        <w:rPr>
          <w:i/>
        </w:rPr>
        <w:t xml:space="preserve"> 16</w:t>
      </w:r>
      <w:r w:rsidRPr="00CB4A14">
        <w:t xml:space="preserve">(7). </w:t>
      </w:r>
    </w:p>
    <w:p w14:paraId="1F25F700" w14:textId="6D96C832" w:rsidR="00CB4A14" w:rsidRPr="00CB4A14" w:rsidRDefault="00CB4A14" w:rsidP="00CB4A14">
      <w:pPr>
        <w:pStyle w:val="EndNoteBibliography"/>
        <w:spacing w:after="0"/>
        <w:ind w:left="720" w:hanging="720"/>
      </w:pPr>
      <w:r w:rsidRPr="00CB4A14">
        <w:t xml:space="preserve">Racette, B. A., Criswell, S. R., Lundin, J. I., Hobson, A., Seixas, N., Kotzbauer, P. T., Evanoff, B. A., Perlmutter, J. S., Zhang, J., Sheppard, L., &amp; Checkoway, H. (2012). Increased risk of parkinsonism associated with welding exposure. </w:t>
      </w:r>
      <w:r w:rsidRPr="00CB4A14">
        <w:rPr>
          <w:i/>
        </w:rPr>
        <w:t>Neurotoxicology</w:t>
      </w:r>
      <w:r w:rsidRPr="00CB4A14">
        <w:t>,</w:t>
      </w:r>
      <w:r w:rsidRPr="00CB4A14">
        <w:rPr>
          <w:i/>
        </w:rPr>
        <w:t xml:space="preserve"> 33</w:t>
      </w:r>
      <w:r w:rsidRPr="00CB4A14">
        <w:t xml:space="preserve">(5), 1356-1361. </w:t>
      </w:r>
      <w:hyperlink r:id="rId15" w:history="1">
        <w:r w:rsidRPr="00CB4A14">
          <w:rPr>
            <w:rStyle w:val="Hyperlink"/>
          </w:rPr>
          <w:t>https://doi.org/https://doi.org/10.1016/j.neuro.2012.08.011</w:t>
        </w:r>
      </w:hyperlink>
      <w:r w:rsidRPr="00CB4A14">
        <w:t xml:space="preserve"> </w:t>
      </w:r>
    </w:p>
    <w:p w14:paraId="7520BD2F" w14:textId="57568511" w:rsidR="00CB4A14" w:rsidRPr="00CB4A14" w:rsidRDefault="00CB4A14" w:rsidP="00CB4A14">
      <w:pPr>
        <w:pStyle w:val="EndNoteBibliography"/>
        <w:spacing w:after="0"/>
        <w:ind w:left="720" w:hanging="720"/>
      </w:pPr>
      <w:r w:rsidRPr="00CB4A14">
        <w:t xml:space="preserve">Racette, B. A., Searles Nielsen, S., Criswell, S. R., Sheppard, L., Seixas, N., Warden, M. N., &amp; Checkoway, H. (2017). Dose-dependent progression of parkinsonism in manganese-exposed welders. </w:t>
      </w:r>
      <w:r w:rsidRPr="00CB4A14">
        <w:rPr>
          <w:i/>
        </w:rPr>
        <w:t>Neurology</w:t>
      </w:r>
      <w:r w:rsidRPr="00CB4A14">
        <w:t>,</w:t>
      </w:r>
      <w:r w:rsidRPr="00CB4A14">
        <w:rPr>
          <w:i/>
        </w:rPr>
        <w:t xml:space="preserve"> 88</w:t>
      </w:r>
      <w:r w:rsidRPr="00CB4A14">
        <w:t xml:space="preserve">(4), 344-351. </w:t>
      </w:r>
      <w:hyperlink r:id="rId16" w:history="1">
        <w:r w:rsidRPr="00CB4A14">
          <w:rPr>
            <w:rStyle w:val="Hyperlink"/>
          </w:rPr>
          <w:t>https://doi.org/10.1212/wnl.0000000000003533</w:t>
        </w:r>
      </w:hyperlink>
      <w:r w:rsidRPr="00CB4A14">
        <w:t xml:space="preserve"> </w:t>
      </w:r>
    </w:p>
    <w:p w14:paraId="4E529905" w14:textId="77777777" w:rsidR="00CB4A14" w:rsidRPr="00CB4A14" w:rsidRDefault="00CB4A14" w:rsidP="00CB4A14">
      <w:pPr>
        <w:pStyle w:val="EndNoteBibliography"/>
        <w:spacing w:after="0"/>
        <w:ind w:left="720" w:hanging="720"/>
      </w:pPr>
      <w:r w:rsidRPr="00CB4A14">
        <w:t xml:space="preserve">Russell, K. G., Eccleston, J., Lewis, S. M., &amp; Woods, D. C. (2009). Design considerations for small experiments and simple logistic regression. </w:t>
      </w:r>
      <w:r w:rsidRPr="00CB4A14">
        <w:rPr>
          <w:i/>
        </w:rPr>
        <w:t>Journal of Statistical Computation and Simulation</w:t>
      </w:r>
      <w:r w:rsidRPr="00CB4A14">
        <w:t>,</w:t>
      </w:r>
      <w:r w:rsidRPr="00CB4A14">
        <w:rPr>
          <w:i/>
        </w:rPr>
        <w:t xml:space="preserve"> 79</w:t>
      </w:r>
      <w:r w:rsidRPr="00CB4A14">
        <w:t xml:space="preserve">(1), 81-91. </w:t>
      </w:r>
    </w:p>
    <w:p w14:paraId="24402D6A" w14:textId="77777777" w:rsidR="00CB4A14" w:rsidRPr="00CB4A14" w:rsidRDefault="00CB4A14" w:rsidP="00CB4A14">
      <w:pPr>
        <w:pStyle w:val="EndNoteBibliography"/>
        <w:spacing w:after="0"/>
        <w:ind w:left="720" w:hanging="720"/>
      </w:pPr>
      <w:r w:rsidRPr="00CB4A14">
        <w:t xml:space="preserve">Schwab, S. M., &amp; Zeleznik, A. J. (2020). Using the language of the ICF to distinguish physical therapy and occupational therapy services in the acute care setting. </w:t>
      </w:r>
      <w:r w:rsidRPr="00CB4A14">
        <w:rPr>
          <w:i/>
        </w:rPr>
        <w:t>Journal of Acute Care Physical Therapy</w:t>
      </w:r>
      <w:r w:rsidRPr="00CB4A14">
        <w:t>,</w:t>
      </w:r>
      <w:r w:rsidRPr="00CB4A14">
        <w:rPr>
          <w:i/>
        </w:rPr>
        <w:t xml:space="preserve"> 11</w:t>
      </w:r>
      <w:r w:rsidRPr="00CB4A14">
        <w:t xml:space="preserve">(1), 40-43. </w:t>
      </w:r>
    </w:p>
    <w:p w14:paraId="5A0828D4" w14:textId="77777777" w:rsidR="00CB4A14" w:rsidRPr="00CB4A14" w:rsidRDefault="00CB4A14" w:rsidP="00CB4A14">
      <w:pPr>
        <w:pStyle w:val="EndNoteBibliography"/>
        <w:spacing w:after="0"/>
        <w:ind w:left="720" w:hanging="720"/>
      </w:pPr>
      <w:r w:rsidRPr="00CB4A14">
        <w:t xml:space="preserve">Tsuji, M., Koriyama, C., Ishihara, Y., Isse, T., Ishizuka, T., Hasegawa, W., Goto, M., Tanaka, R., Kakiuchi, N., &amp; Hori, H. (2023). Associations between welding fume exposure and neurological function in Japanese male welders and non-welders. </w:t>
      </w:r>
      <w:r w:rsidRPr="00CB4A14">
        <w:rPr>
          <w:i/>
        </w:rPr>
        <w:t>Journal of Occupational Health</w:t>
      </w:r>
      <w:r w:rsidRPr="00CB4A14">
        <w:t>,</w:t>
      </w:r>
      <w:r w:rsidRPr="00CB4A14">
        <w:rPr>
          <w:i/>
        </w:rPr>
        <w:t xml:space="preserve"> 65</w:t>
      </w:r>
      <w:r w:rsidRPr="00CB4A14">
        <w:t xml:space="preserve">(1), e12393. </w:t>
      </w:r>
    </w:p>
    <w:p w14:paraId="5F031D2D" w14:textId="77777777" w:rsidR="00CB4A14" w:rsidRPr="00CB4A14" w:rsidRDefault="00CB4A14" w:rsidP="00CB4A14">
      <w:pPr>
        <w:pStyle w:val="EndNoteBibliography"/>
        <w:spacing w:after="0"/>
        <w:ind w:left="720" w:hanging="720"/>
      </w:pPr>
      <w:r w:rsidRPr="00CB4A14">
        <w:t xml:space="preserve">Wahlström, V., Olsson, D., Öhberg, F., Olsson, T., &amp; Slunga Järvholm, L. (2020). Underlying factors explaining physical behaviors among office workers—an exploratory analysis. </w:t>
      </w:r>
      <w:r w:rsidRPr="00CB4A14">
        <w:rPr>
          <w:i/>
        </w:rPr>
        <w:t>Int J Environ Res Public Health</w:t>
      </w:r>
      <w:r w:rsidRPr="00CB4A14">
        <w:t>,</w:t>
      </w:r>
      <w:r w:rsidRPr="00CB4A14">
        <w:rPr>
          <w:i/>
        </w:rPr>
        <w:t xml:space="preserve"> 17</w:t>
      </w:r>
      <w:r w:rsidRPr="00CB4A14">
        <w:t xml:space="preserve">(24), 9158. </w:t>
      </w:r>
    </w:p>
    <w:p w14:paraId="2A223B3D" w14:textId="77777777" w:rsidR="00CB4A14" w:rsidRPr="00CB4A14" w:rsidRDefault="00CB4A14" w:rsidP="00CB4A14">
      <w:pPr>
        <w:pStyle w:val="EndNoteBibliography"/>
        <w:ind w:left="720" w:hanging="720"/>
      </w:pPr>
      <w:r w:rsidRPr="00CB4A14">
        <w:t xml:space="preserve">Wastensson, G., Sallsten, G., Bast-Pettersen, R., &amp; Barregard, L. (2012). Neuromotor function in ship welders after cessation of manganese exposure. </w:t>
      </w:r>
      <w:r w:rsidRPr="00CB4A14">
        <w:rPr>
          <w:i/>
        </w:rPr>
        <w:t>International Archives of Occupational and Environmental Health</w:t>
      </w:r>
      <w:r w:rsidRPr="00CB4A14">
        <w:t>,</w:t>
      </w:r>
      <w:r w:rsidRPr="00CB4A14">
        <w:rPr>
          <w:i/>
        </w:rPr>
        <w:t xml:space="preserve"> 85</w:t>
      </w:r>
      <w:r w:rsidRPr="00CB4A14">
        <w:t xml:space="preserve">(6), 703-713. </w:t>
      </w:r>
    </w:p>
    <w:p w14:paraId="492F274A" w14:textId="64158F2A" w:rsidR="00BF27AA" w:rsidRPr="00E74CAC" w:rsidRDefault="009D7BB9" w:rsidP="00E74CAC">
      <w:pPr>
        <w:jc w:val="both"/>
      </w:pPr>
      <w:r w:rsidRPr="00E74CAC">
        <w:fldChar w:fldCharType="end"/>
      </w:r>
    </w:p>
    <w:sectPr w:rsidR="00BF27AA" w:rsidRPr="00E74CAC" w:rsidSect="00A44C6C">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211"/>
    <w:multiLevelType w:val="multilevel"/>
    <w:tmpl w:val="F63C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67E63"/>
    <w:multiLevelType w:val="multilevel"/>
    <w:tmpl w:val="DD98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926E73"/>
    <w:multiLevelType w:val="hybridMultilevel"/>
    <w:tmpl w:val="181C5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9B7F2F"/>
    <w:multiLevelType w:val="multilevel"/>
    <w:tmpl w:val="EAE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C67DD"/>
    <w:multiLevelType w:val="multilevel"/>
    <w:tmpl w:val="971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814128">
    <w:abstractNumId w:val="0"/>
  </w:num>
  <w:num w:numId="2" w16cid:durableId="978340551">
    <w:abstractNumId w:val="4"/>
  </w:num>
  <w:num w:numId="3" w16cid:durableId="833179045">
    <w:abstractNumId w:val="1"/>
  </w:num>
  <w:num w:numId="4" w16cid:durableId="30962698">
    <w:abstractNumId w:val="3"/>
  </w:num>
  <w:num w:numId="5" w16cid:durableId="908343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Q2NTQzMTQwMzEyMzNQ0lEKTi0uzszPAykwqQUAyY/miiwAAAA="/>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xzwr02rlft2rzetvs2prd5y2zf50xpxfd95&quot;&gt;My EndNote Library&lt;record-ids&gt;&lt;item&gt;1479&lt;/item&gt;&lt;item&gt;1525&lt;/item&gt;&lt;item&gt;1526&lt;/item&gt;&lt;item&gt;1527&lt;/item&gt;&lt;item&gt;1528&lt;/item&gt;&lt;item&gt;1529&lt;/item&gt;&lt;item&gt;1530&lt;/item&gt;&lt;item&gt;1531&lt;/item&gt;&lt;item&gt;1532&lt;/item&gt;&lt;item&gt;1533&lt;/item&gt;&lt;item&gt;1534&lt;/item&gt;&lt;item&gt;1535&lt;/item&gt;&lt;item&gt;1536&lt;/item&gt;&lt;item&gt;1537&lt;/item&gt;&lt;item&gt;1538&lt;/item&gt;&lt;item&gt;1539&lt;/item&gt;&lt;item&gt;1540&lt;/item&gt;&lt;item&gt;1541&lt;/item&gt;&lt;item&gt;1542&lt;/item&gt;&lt;item&gt;1543&lt;/item&gt;&lt;item&gt;1544&lt;/item&gt;&lt;/record-ids&gt;&lt;/item&gt;&lt;/Libraries&gt;"/>
  </w:docVars>
  <w:rsids>
    <w:rsidRoot w:val="005151BD"/>
    <w:rsid w:val="00004241"/>
    <w:rsid w:val="00022CBE"/>
    <w:rsid w:val="00027F67"/>
    <w:rsid w:val="00045189"/>
    <w:rsid w:val="000464F2"/>
    <w:rsid w:val="0005178C"/>
    <w:rsid w:val="0007548D"/>
    <w:rsid w:val="00082EA6"/>
    <w:rsid w:val="00093288"/>
    <w:rsid w:val="000C41E9"/>
    <w:rsid w:val="000C5A2F"/>
    <w:rsid w:val="000E4F74"/>
    <w:rsid w:val="000F393B"/>
    <w:rsid w:val="0012459A"/>
    <w:rsid w:val="00135453"/>
    <w:rsid w:val="00141B55"/>
    <w:rsid w:val="00163080"/>
    <w:rsid w:val="0016503E"/>
    <w:rsid w:val="001715F4"/>
    <w:rsid w:val="001800E2"/>
    <w:rsid w:val="00183E2E"/>
    <w:rsid w:val="001A0EF7"/>
    <w:rsid w:val="001B7273"/>
    <w:rsid w:val="001D4FBE"/>
    <w:rsid w:val="001D7D13"/>
    <w:rsid w:val="001E41D5"/>
    <w:rsid w:val="001F6034"/>
    <w:rsid w:val="00203F10"/>
    <w:rsid w:val="00224315"/>
    <w:rsid w:val="0023598C"/>
    <w:rsid w:val="002437CB"/>
    <w:rsid w:val="00263769"/>
    <w:rsid w:val="00277280"/>
    <w:rsid w:val="00285992"/>
    <w:rsid w:val="002A4048"/>
    <w:rsid w:val="002B1B60"/>
    <w:rsid w:val="002C3F32"/>
    <w:rsid w:val="002E2D94"/>
    <w:rsid w:val="00300099"/>
    <w:rsid w:val="00301407"/>
    <w:rsid w:val="00325AD2"/>
    <w:rsid w:val="00333E3A"/>
    <w:rsid w:val="00341EE0"/>
    <w:rsid w:val="00361EAB"/>
    <w:rsid w:val="00367DCF"/>
    <w:rsid w:val="003719B7"/>
    <w:rsid w:val="00397497"/>
    <w:rsid w:val="003A4C44"/>
    <w:rsid w:val="003A6CF9"/>
    <w:rsid w:val="003A7B8C"/>
    <w:rsid w:val="003B0896"/>
    <w:rsid w:val="003B6352"/>
    <w:rsid w:val="003C079C"/>
    <w:rsid w:val="003D09C6"/>
    <w:rsid w:val="003D4AFD"/>
    <w:rsid w:val="003E7198"/>
    <w:rsid w:val="0040064E"/>
    <w:rsid w:val="00403BDB"/>
    <w:rsid w:val="00407ADF"/>
    <w:rsid w:val="00407CF9"/>
    <w:rsid w:val="00421874"/>
    <w:rsid w:val="00446EBB"/>
    <w:rsid w:val="004567A6"/>
    <w:rsid w:val="00462FB8"/>
    <w:rsid w:val="004718AB"/>
    <w:rsid w:val="004E4C2E"/>
    <w:rsid w:val="005151BD"/>
    <w:rsid w:val="00525A1F"/>
    <w:rsid w:val="00530E0A"/>
    <w:rsid w:val="0053529E"/>
    <w:rsid w:val="005537D5"/>
    <w:rsid w:val="00557D52"/>
    <w:rsid w:val="00560ABE"/>
    <w:rsid w:val="0057046A"/>
    <w:rsid w:val="0058536C"/>
    <w:rsid w:val="005C5740"/>
    <w:rsid w:val="005C5B65"/>
    <w:rsid w:val="005D24B4"/>
    <w:rsid w:val="005E532B"/>
    <w:rsid w:val="005E7C43"/>
    <w:rsid w:val="00611BEA"/>
    <w:rsid w:val="00617F34"/>
    <w:rsid w:val="00626561"/>
    <w:rsid w:val="00632DBD"/>
    <w:rsid w:val="00637C0C"/>
    <w:rsid w:val="00641083"/>
    <w:rsid w:val="00642CC5"/>
    <w:rsid w:val="006439DC"/>
    <w:rsid w:val="00672C44"/>
    <w:rsid w:val="006A15DA"/>
    <w:rsid w:val="006A40DF"/>
    <w:rsid w:val="006A7D73"/>
    <w:rsid w:val="006C38B3"/>
    <w:rsid w:val="006F04F9"/>
    <w:rsid w:val="006F0A5C"/>
    <w:rsid w:val="006F1F02"/>
    <w:rsid w:val="006F6D83"/>
    <w:rsid w:val="00737502"/>
    <w:rsid w:val="007411D2"/>
    <w:rsid w:val="00745FCE"/>
    <w:rsid w:val="00757BC4"/>
    <w:rsid w:val="00764687"/>
    <w:rsid w:val="00774858"/>
    <w:rsid w:val="00783347"/>
    <w:rsid w:val="00791DB0"/>
    <w:rsid w:val="007A410C"/>
    <w:rsid w:val="007D5CC2"/>
    <w:rsid w:val="007E7F87"/>
    <w:rsid w:val="0081324B"/>
    <w:rsid w:val="008214E6"/>
    <w:rsid w:val="00834463"/>
    <w:rsid w:val="00834CA8"/>
    <w:rsid w:val="008443DA"/>
    <w:rsid w:val="00850E0F"/>
    <w:rsid w:val="0086178A"/>
    <w:rsid w:val="00863BE5"/>
    <w:rsid w:val="00865CF3"/>
    <w:rsid w:val="00867AD6"/>
    <w:rsid w:val="00893F6B"/>
    <w:rsid w:val="008A1245"/>
    <w:rsid w:val="008B6DB6"/>
    <w:rsid w:val="008D200C"/>
    <w:rsid w:val="008E18EB"/>
    <w:rsid w:val="008F72B5"/>
    <w:rsid w:val="00904010"/>
    <w:rsid w:val="009048AD"/>
    <w:rsid w:val="00921167"/>
    <w:rsid w:val="009211F0"/>
    <w:rsid w:val="0093002E"/>
    <w:rsid w:val="009328F0"/>
    <w:rsid w:val="009360A3"/>
    <w:rsid w:val="00937092"/>
    <w:rsid w:val="009478A9"/>
    <w:rsid w:val="0095146E"/>
    <w:rsid w:val="0096047B"/>
    <w:rsid w:val="00972E01"/>
    <w:rsid w:val="0098292E"/>
    <w:rsid w:val="00984E5D"/>
    <w:rsid w:val="009958FE"/>
    <w:rsid w:val="009A4622"/>
    <w:rsid w:val="009A6876"/>
    <w:rsid w:val="009C3AC8"/>
    <w:rsid w:val="009D5C10"/>
    <w:rsid w:val="009D7BB9"/>
    <w:rsid w:val="009E20FB"/>
    <w:rsid w:val="00A03FB5"/>
    <w:rsid w:val="00A1644D"/>
    <w:rsid w:val="00A16BDD"/>
    <w:rsid w:val="00A40B86"/>
    <w:rsid w:val="00A44C6C"/>
    <w:rsid w:val="00A50660"/>
    <w:rsid w:val="00A57CAA"/>
    <w:rsid w:val="00A75317"/>
    <w:rsid w:val="00A76632"/>
    <w:rsid w:val="00AA0DF3"/>
    <w:rsid w:val="00AB0B09"/>
    <w:rsid w:val="00AB77EE"/>
    <w:rsid w:val="00AD623E"/>
    <w:rsid w:val="00AE43F3"/>
    <w:rsid w:val="00AF63CE"/>
    <w:rsid w:val="00B218CA"/>
    <w:rsid w:val="00B30698"/>
    <w:rsid w:val="00B34202"/>
    <w:rsid w:val="00B5352C"/>
    <w:rsid w:val="00B61261"/>
    <w:rsid w:val="00B84FB0"/>
    <w:rsid w:val="00BA286F"/>
    <w:rsid w:val="00BA658C"/>
    <w:rsid w:val="00BB7CC9"/>
    <w:rsid w:val="00BC7A2C"/>
    <w:rsid w:val="00BD0F28"/>
    <w:rsid w:val="00BD48F7"/>
    <w:rsid w:val="00BD4D4F"/>
    <w:rsid w:val="00BD4F96"/>
    <w:rsid w:val="00BF27AA"/>
    <w:rsid w:val="00BF7588"/>
    <w:rsid w:val="00C03A7E"/>
    <w:rsid w:val="00C11760"/>
    <w:rsid w:val="00C16112"/>
    <w:rsid w:val="00C4641A"/>
    <w:rsid w:val="00C7158C"/>
    <w:rsid w:val="00C771FC"/>
    <w:rsid w:val="00C92E51"/>
    <w:rsid w:val="00C97902"/>
    <w:rsid w:val="00CA4879"/>
    <w:rsid w:val="00CB4A14"/>
    <w:rsid w:val="00CC59D2"/>
    <w:rsid w:val="00CE6AB7"/>
    <w:rsid w:val="00CF0F33"/>
    <w:rsid w:val="00CF21A7"/>
    <w:rsid w:val="00CF3D9F"/>
    <w:rsid w:val="00D06DCB"/>
    <w:rsid w:val="00D1666C"/>
    <w:rsid w:val="00D356EB"/>
    <w:rsid w:val="00D459FD"/>
    <w:rsid w:val="00D64E06"/>
    <w:rsid w:val="00D90F5F"/>
    <w:rsid w:val="00D91C13"/>
    <w:rsid w:val="00DA05DE"/>
    <w:rsid w:val="00DA280B"/>
    <w:rsid w:val="00DB5651"/>
    <w:rsid w:val="00DD098C"/>
    <w:rsid w:val="00DD46B0"/>
    <w:rsid w:val="00DF5102"/>
    <w:rsid w:val="00DF59FD"/>
    <w:rsid w:val="00DF74B0"/>
    <w:rsid w:val="00E00512"/>
    <w:rsid w:val="00E12466"/>
    <w:rsid w:val="00E132A8"/>
    <w:rsid w:val="00E20FF3"/>
    <w:rsid w:val="00E42027"/>
    <w:rsid w:val="00E4612F"/>
    <w:rsid w:val="00E74CAC"/>
    <w:rsid w:val="00E86BA8"/>
    <w:rsid w:val="00E90C6F"/>
    <w:rsid w:val="00E92ABD"/>
    <w:rsid w:val="00EA53F8"/>
    <w:rsid w:val="00EC6AA2"/>
    <w:rsid w:val="00EC6B8D"/>
    <w:rsid w:val="00ED313F"/>
    <w:rsid w:val="00EE0BFB"/>
    <w:rsid w:val="00EE42C6"/>
    <w:rsid w:val="00EE45F9"/>
    <w:rsid w:val="00EE7363"/>
    <w:rsid w:val="00EE78FB"/>
    <w:rsid w:val="00EF5945"/>
    <w:rsid w:val="00F14C57"/>
    <w:rsid w:val="00F177A2"/>
    <w:rsid w:val="00F33DBA"/>
    <w:rsid w:val="00F346CB"/>
    <w:rsid w:val="00F351E2"/>
    <w:rsid w:val="00F37090"/>
    <w:rsid w:val="00F4036D"/>
    <w:rsid w:val="00F759CC"/>
    <w:rsid w:val="00F824FA"/>
    <w:rsid w:val="00FA4B89"/>
    <w:rsid w:val="00FA642E"/>
    <w:rsid w:val="00FB0F03"/>
    <w:rsid w:val="00FB27AD"/>
    <w:rsid w:val="00FC1AF2"/>
    <w:rsid w:val="00FC3AAE"/>
    <w:rsid w:val="00FF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D6FB0"/>
  <w15:chartTrackingRefBased/>
  <w15:docId w15:val="{ACB7EC0B-5EFC-4CBE-8A32-59995F484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5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5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1BD"/>
    <w:rPr>
      <w:rFonts w:eastAsiaTheme="majorEastAsia" w:cstheme="majorBidi"/>
      <w:color w:val="272727" w:themeColor="text1" w:themeTint="D8"/>
    </w:rPr>
  </w:style>
  <w:style w:type="paragraph" w:styleId="Title">
    <w:name w:val="Title"/>
    <w:basedOn w:val="Normal"/>
    <w:next w:val="Normal"/>
    <w:link w:val="TitleChar"/>
    <w:uiPriority w:val="10"/>
    <w:qFormat/>
    <w:rsid w:val="00515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1BD"/>
    <w:pPr>
      <w:spacing w:before="160"/>
      <w:jc w:val="center"/>
    </w:pPr>
    <w:rPr>
      <w:i/>
      <w:iCs/>
      <w:color w:val="404040" w:themeColor="text1" w:themeTint="BF"/>
    </w:rPr>
  </w:style>
  <w:style w:type="character" w:customStyle="1" w:styleId="QuoteChar">
    <w:name w:val="Quote Char"/>
    <w:basedOn w:val="DefaultParagraphFont"/>
    <w:link w:val="Quote"/>
    <w:uiPriority w:val="29"/>
    <w:rsid w:val="005151BD"/>
    <w:rPr>
      <w:i/>
      <w:iCs/>
      <w:color w:val="404040" w:themeColor="text1" w:themeTint="BF"/>
    </w:rPr>
  </w:style>
  <w:style w:type="paragraph" w:styleId="ListParagraph">
    <w:name w:val="List Paragraph"/>
    <w:basedOn w:val="Normal"/>
    <w:uiPriority w:val="34"/>
    <w:qFormat/>
    <w:rsid w:val="005151BD"/>
    <w:pPr>
      <w:ind w:left="720"/>
      <w:contextualSpacing/>
    </w:pPr>
  </w:style>
  <w:style w:type="character" w:styleId="IntenseEmphasis">
    <w:name w:val="Intense Emphasis"/>
    <w:basedOn w:val="DefaultParagraphFont"/>
    <w:uiPriority w:val="21"/>
    <w:qFormat/>
    <w:rsid w:val="005151BD"/>
    <w:rPr>
      <w:i/>
      <w:iCs/>
      <w:color w:val="0F4761" w:themeColor="accent1" w:themeShade="BF"/>
    </w:rPr>
  </w:style>
  <w:style w:type="paragraph" w:styleId="IntenseQuote">
    <w:name w:val="Intense Quote"/>
    <w:basedOn w:val="Normal"/>
    <w:next w:val="Normal"/>
    <w:link w:val="IntenseQuoteChar"/>
    <w:uiPriority w:val="30"/>
    <w:qFormat/>
    <w:rsid w:val="00515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1BD"/>
    <w:rPr>
      <w:i/>
      <w:iCs/>
      <w:color w:val="0F4761" w:themeColor="accent1" w:themeShade="BF"/>
    </w:rPr>
  </w:style>
  <w:style w:type="character" w:styleId="IntenseReference">
    <w:name w:val="Intense Reference"/>
    <w:basedOn w:val="DefaultParagraphFont"/>
    <w:uiPriority w:val="32"/>
    <w:qFormat/>
    <w:rsid w:val="005151BD"/>
    <w:rPr>
      <w:b/>
      <w:bCs/>
      <w:smallCaps/>
      <w:color w:val="0F4761" w:themeColor="accent1" w:themeShade="BF"/>
      <w:spacing w:val="5"/>
    </w:rPr>
  </w:style>
  <w:style w:type="paragraph" w:styleId="NormalWeb">
    <w:name w:val="Normal (Web)"/>
    <w:basedOn w:val="Normal"/>
    <w:uiPriority w:val="99"/>
    <w:semiHidden/>
    <w:unhideWhenUsed/>
    <w:rsid w:val="009360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4C2E"/>
    <w:rPr>
      <w:b/>
      <w:bCs/>
    </w:rPr>
  </w:style>
  <w:style w:type="character" w:styleId="HTMLCode">
    <w:name w:val="HTML Code"/>
    <w:basedOn w:val="DefaultParagraphFont"/>
    <w:uiPriority w:val="99"/>
    <w:semiHidden/>
    <w:unhideWhenUsed/>
    <w:rsid w:val="008D200C"/>
    <w:rPr>
      <w:rFonts w:ascii="Courier New" w:eastAsia="Times New Roman" w:hAnsi="Courier New" w:cs="Courier New"/>
      <w:sz w:val="20"/>
      <w:szCs w:val="20"/>
    </w:rPr>
  </w:style>
  <w:style w:type="character" w:styleId="Emphasis">
    <w:name w:val="Emphasis"/>
    <w:basedOn w:val="DefaultParagraphFont"/>
    <w:uiPriority w:val="20"/>
    <w:qFormat/>
    <w:rsid w:val="008F72B5"/>
    <w:rPr>
      <w:i/>
      <w:iCs/>
    </w:rPr>
  </w:style>
  <w:style w:type="paragraph" w:customStyle="1" w:styleId="EndNoteBibliographyTitle">
    <w:name w:val="EndNote Bibliography Title"/>
    <w:basedOn w:val="Normal"/>
    <w:link w:val="EndNoteBibliographyTitleChar"/>
    <w:rsid w:val="009D7BB9"/>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9D7BB9"/>
    <w:rPr>
      <w:rFonts w:ascii="Aptos" w:hAnsi="Aptos"/>
      <w:noProof/>
    </w:rPr>
  </w:style>
  <w:style w:type="paragraph" w:customStyle="1" w:styleId="EndNoteBibliography">
    <w:name w:val="EndNote Bibliography"/>
    <w:basedOn w:val="Normal"/>
    <w:link w:val="EndNoteBibliographyChar"/>
    <w:rsid w:val="009D7BB9"/>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9D7BB9"/>
    <w:rPr>
      <w:rFonts w:ascii="Aptos" w:hAnsi="Aptos"/>
      <w:noProof/>
    </w:rPr>
  </w:style>
  <w:style w:type="character" w:styleId="Hyperlink">
    <w:name w:val="Hyperlink"/>
    <w:basedOn w:val="DefaultParagraphFont"/>
    <w:uiPriority w:val="99"/>
    <w:unhideWhenUsed/>
    <w:rsid w:val="009D7BB9"/>
    <w:rPr>
      <w:color w:val="467886" w:themeColor="hyperlink"/>
      <w:u w:val="single"/>
    </w:rPr>
  </w:style>
  <w:style w:type="character" w:styleId="UnresolvedMention">
    <w:name w:val="Unresolved Mention"/>
    <w:basedOn w:val="DefaultParagraphFont"/>
    <w:uiPriority w:val="99"/>
    <w:semiHidden/>
    <w:unhideWhenUsed/>
    <w:rsid w:val="009D7BB9"/>
    <w:rPr>
      <w:color w:val="605E5C"/>
      <w:shd w:val="clear" w:color="auto" w:fill="E1DFDD"/>
    </w:rPr>
  </w:style>
  <w:style w:type="character" w:styleId="LineNumber">
    <w:name w:val="line number"/>
    <w:basedOn w:val="DefaultParagraphFont"/>
    <w:uiPriority w:val="99"/>
    <w:semiHidden/>
    <w:unhideWhenUsed/>
    <w:rsid w:val="00A44C6C"/>
  </w:style>
  <w:style w:type="paragraph" w:styleId="NoSpacing">
    <w:name w:val="No Spacing"/>
    <w:uiPriority w:val="1"/>
    <w:qFormat/>
    <w:rsid w:val="00EE78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964008">
      <w:bodyDiv w:val="1"/>
      <w:marLeft w:val="0"/>
      <w:marRight w:val="0"/>
      <w:marTop w:val="0"/>
      <w:marBottom w:val="0"/>
      <w:divBdr>
        <w:top w:val="none" w:sz="0" w:space="0" w:color="auto"/>
        <w:left w:val="none" w:sz="0" w:space="0" w:color="auto"/>
        <w:bottom w:val="none" w:sz="0" w:space="0" w:color="auto"/>
        <w:right w:val="none" w:sz="0" w:space="0" w:color="auto"/>
      </w:divBdr>
    </w:div>
    <w:div w:id="1318847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s.cdc.gov/view/cdc/209336" TargetMode="External"/><Relationship Id="rId13" Type="http://schemas.openxmlformats.org/officeDocument/2006/relationships/hyperlink" Target="https://doi.org/10.1212/01.Wnl.0000166916.40902.6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https://doi.org/10.1016/j.neuro.2011.06.004" TargetMode="External"/><Relationship Id="rId12" Type="http://schemas.openxmlformats.org/officeDocument/2006/relationships/hyperlink" Target="https://doi.org/10.1212/wnl.50.3.69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212/wnl.0000000000003533" TargetMode="External"/><Relationship Id="rId1" Type="http://schemas.openxmlformats.org/officeDocument/2006/relationships/numbering" Target="numbering.xml"/><Relationship Id="rId6" Type="http://schemas.openxmlformats.org/officeDocument/2006/relationships/hyperlink" Target="https://doi.org/10.1080/713611032" TargetMode="External"/><Relationship Id="rId11" Type="http://schemas.openxmlformats.org/officeDocument/2006/relationships/hyperlink" Target="https://doi.org/10.2522/ptj.20120171" TargetMode="External"/><Relationship Id="rId5" Type="http://schemas.openxmlformats.org/officeDocument/2006/relationships/hyperlink" Target="https://doi.org/10.1007/s00420-024-02077-9" TargetMode="External"/><Relationship Id="rId15" Type="http://schemas.openxmlformats.org/officeDocument/2006/relationships/hyperlink" Target="https://doi.org/https://doi.org/10.1016/j.neuro.2012.08.011" TargetMode="External"/><Relationship Id="rId10" Type="http://schemas.openxmlformats.org/officeDocument/2006/relationships/hyperlink" Target="https://doi.org/10.1016/s1836-9553(13)70161-9" TargetMode="External"/><Relationship Id="rId4" Type="http://schemas.openxmlformats.org/officeDocument/2006/relationships/webSettings" Target="webSettings.xml"/><Relationship Id="rId9" Type="http://schemas.openxmlformats.org/officeDocument/2006/relationships/hyperlink" Target="https://doi.org/10.1212/wnl.18.4.376" TargetMode="External"/><Relationship Id="rId14" Type="http://schemas.openxmlformats.org/officeDocument/2006/relationships/hyperlink" Target="https://doi.org/10.1186/s12955-025-0245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8793</Words>
  <Characters>50124</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Krishnan Muthaiah</dc:creator>
  <cp:keywords/>
  <dc:description/>
  <cp:lastModifiedBy>Vijay Krishnan</cp:lastModifiedBy>
  <cp:revision>8</cp:revision>
  <dcterms:created xsi:type="dcterms:W3CDTF">2025-12-31T01:53:00Z</dcterms:created>
  <dcterms:modified xsi:type="dcterms:W3CDTF">2026-01-01T01:31:00Z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59ba9ec3-704c-4c9e-a76c-bfb8d41d0bef</vt:lpwstr>
  </property>
</Properties>
</file>