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left"/>
      </w:pPr>
      <w:r>
        <w:rPr>
          <w:rFonts w:ascii="Arial" w:cs="Arial" w:eastAsia="Arial" w:hAnsi="Arial"/>
          <w:b/>
          <w:bCs/>
          <w:color w:val="0D1B2A"/>
          <w:spacing w:val="200"/>
          <w:sz w:val="72"/>
          <w:szCs w:val="72"/>
        </w:rPr>
        <w:t xml:space="preserve">PAYSPHERE</w:t>
      </w:r>
    </w:p>
    <w:p>
      <w:pPr>
        <w:pBdr>
          <w:bottom w:val="single" w:color="0E7C6E" w:sz="6" w:space="12"/>
        </w:pBdr>
        <w:spacing w:after="400"/>
      </w:pPr>
      <w:r>
        <w:rPr>
          <w:rFonts w:ascii="Arial" w:cs="Arial" w:eastAsia="Arial" w:hAnsi="Arial"/>
          <w:color w:val="1B4965"/>
          <w:sz w:val="32"/>
          <w:szCs w:val="32"/>
        </w:rPr>
        <w:t xml:space="preserve">The Cross-Border FX Payment Simulation Engine</w:t>
      </w:r>
    </w:p>
    <w:p>
      <w:pPr>
        <w:spacing w:after="100"/>
      </w:pPr>
    </w:p>
    <w:p>
      <w:pPr>
        <w:spacing w:after="600"/>
      </w:pPr>
      <w:r>
        <w:rPr>
          <w:rFonts w:ascii="Arial" w:cs="Arial" w:eastAsia="Arial" w:hAnsi="Arial"/>
          <w:color w:val="6B7280"/>
          <w:sz w:val="26"/>
          <w:szCs w:val="26"/>
        </w:rPr>
        <w:t xml:space="preserve">A plug-and-play simulation platform that lets any bank’s payment engineering team </w:t>
      </w:r>
      <w:r>
        <w:rPr>
          <w:rFonts w:ascii="Arial" w:cs="Arial" w:eastAsia="Arial" w:hAnsi="Arial"/>
          <w:b/>
          <w:bCs/>
          <w:color w:val="0E7C6E"/>
          <w:sz w:val="26"/>
          <w:szCs w:val="26"/>
        </w:rPr>
        <w:t xml:space="preserve">simulate the full lifecycle of a cross-border payment </w:t>
      </w:r>
      <w:r>
        <w:rPr>
          <w:rFonts w:ascii="Arial" w:cs="Arial" w:eastAsia="Arial" w:hAnsi="Arial"/>
          <w:color w:val="6B7280"/>
          <w:sz w:val="26"/>
          <w:szCs w:val="26"/>
        </w:rPr>
        <w:t xml:space="preserve">— from initiation through FX conversion through correspondent chains through settlement — with stochastic FX dynamics, multi-agent correspondent behavior, and temporal awareness across every timezone and holiday calendar on earth.</w:t>
      </w:r>
    </w:p>
    <w:p>
      <w:pPr>
        <w:spacing w:after="100"/>
      </w:pPr>
      <w:r>
        <w:rPr>
          <w:rFonts w:ascii="Arial" w:cs="Arial" w:eastAsia="Arial" w:hAnsi="Arial"/>
          <w:color w:val="6B7280"/>
          <w:sz w:val="22"/>
          <w:szCs w:val="22"/>
        </w:rPr>
        <w:t xml:space="preserve">Product Vision Document</w:t>
      </w:r>
    </w:p>
    <w:p>
      <w:pPr>
        <w:spacing w:after="100"/>
      </w:pPr>
      <w:r>
        <w:rPr>
          <w:rFonts w:ascii="Arial" w:cs="Arial" w:eastAsia="Arial" w:hAnsi="Arial"/>
          <w:color w:val="6B7280"/>
          <w:sz w:val="22"/>
          <w:szCs w:val="22"/>
        </w:rPr>
        <w:t xml:space="preserve">March 2026  |  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The problem nobody has solved</w:t>
      </w:r>
    </w:p>
    <w:p>
      <w:pPr>
        <w:pBdr>
          <w:left w:val="single" w:color="0E7C6E" w:sz="12" w:space="8"/>
        </w:pBdr>
        <w:spacing w:before="200" w:after="200"/>
        <w:ind w:left="300"/>
      </w:pPr>
      <w:r>
        <w:rPr>
          <w:rFonts w:ascii="Arial" w:cs="Arial" w:eastAsia="Arial" w:hAnsi="Arial"/>
          <w:i/>
          <w:iCs/>
          <w:color w:val="0E7C6E"/>
          <w:sz w:val="22"/>
          <w:szCs w:val="22"/>
        </w:rPr>
        <w:t xml:space="preserve">Every bank doing global payouts can test their code. Nobody can simulate what happens to a payment after it leaves their walls.</w:t>
      </w:r>
    </w:p>
    <w:p>
      <w:pPr>
        <w:spacing w:after="200"/>
      </w:pPr>
      <w:r>
        <w:rPr>
          <w:rFonts w:ascii="Arial" w:cs="Arial" w:eastAsia="Arial" w:hAnsi="Arial"/>
          <w:color w:val="374151"/>
          <w:sz w:val="22"/>
          <w:szCs w:val="22"/>
        </w:rPr>
        <w:t xml:space="preserve">Cross-border payment platforms at banks worldwide share a common architecture: an orchestration layer that validates and routes payments, an FX platform that handles currency conversion, and downstream clearing systems that connect to regional rails. The code inside each component can be unit-tested, integration-tested, and regression-tested. That part is solved.</w:t>
      </w:r>
    </w:p>
    <w:p>
      <w:pPr>
        <w:spacing w:after="200"/>
      </w:pPr>
      <w:r>
        <w:rPr>
          <w:rFonts w:ascii="Arial" w:cs="Arial" w:eastAsia="Arial" w:hAnsi="Arial"/>
          <w:color w:val="374151"/>
          <w:sz w:val="22"/>
          <w:szCs w:val="22"/>
        </w:rPr>
        <w:t xml:space="preserve">What cannot be tested today is the emergent behavior of the full payment lifecycle — the interaction between FX rate dynamics, correspondent bank processing behavior, clearing system cutoff windows, regulatory screening at every hop, nostro balance constraints, and multi-timezone holiday calendars. These interactions produce failures that no amount of code-level testing will catch:</w:t>
      </w:r>
    </w:p>
    <w:p>
      <w:pPr>
        <w:pStyle w:val="ListParagraph"/>
        <w:numPr>
          <w:ilvl w:val="0"/>
          <w:numId w:val="2"/>
        </w:numPr>
        <w:spacing w:after="120"/>
      </w:pPr>
      <w:r>
        <w:rPr>
          <w:rFonts w:ascii="Arial" w:cs="Arial" w:eastAsia="Arial" w:hAnsi="Arial"/>
          <w:color w:val="374151"/>
          <w:sz w:val="22"/>
          <w:szCs w:val="22"/>
        </w:rPr>
        <w:t xml:space="preserve">A EUR payout initiated at 5:47 PM ET on a Friday settles Monday because TARGET2 closed at 6:00 PM CET, but the FX conversion consumed 8 minutes of the remaining window</w:t>
      </w:r>
    </w:p>
    <w:p>
      <w:pPr>
        <w:pStyle w:val="ListParagraph"/>
        <w:numPr>
          <w:ilvl w:val="0"/>
          <w:numId w:val="2"/>
        </w:numPr>
        <w:spacing w:after="120"/>
      </w:pPr>
      <w:r>
        <w:rPr>
          <w:rFonts w:ascii="Arial" w:cs="Arial" w:eastAsia="Arial" w:hAnsi="Arial"/>
          <w:color w:val="374151"/>
          <w:sz w:val="22"/>
          <w:szCs w:val="22"/>
        </w:rPr>
        <w:t xml:space="preserve">A GBP rate lock expires during sanctions screening at the correspondent bank, causing a re-quote at a 23-pip worse rate on a volatile day</w:t>
      </w:r>
    </w:p>
    <w:p>
      <w:pPr>
        <w:pStyle w:val="ListParagraph"/>
        <w:numPr>
          <w:ilvl w:val="0"/>
          <w:numId w:val="2"/>
        </w:numPr>
        <w:spacing w:after="120"/>
      </w:pPr>
      <w:r>
        <w:rPr>
          <w:rFonts w:ascii="Arial" w:cs="Arial" w:eastAsia="Arial" w:hAnsi="Arial"/>
          <w:color w:val="374151"/>
          <w:sz w:val="22"/>
          <w:szCs w:val="22"/>
        </w:rPr>
        <w:t xml:space="preserve">A LATAM payout through a Brazilian correspondent gets held for 48 hours due to Central Bank reporting requirements that only apply to amounts above BRL 100,000</w:t>
      </w:r>
    </w:p>
    <w:p>
      <w:pPr>
        <w:pStyle w:val="ListParagraph"/>
        <w:numPr>
          <w:ilvl w:val="0"/>
          <w:numId w:val="2"/>
        </w:numPr>
        <w:spacing w:after="120"/>
      </w:pPr>
      <w:r>
        <w:rPr>
          <w:rFonts w:ascii="Arial" w:cs="Arial" w:eastAsia="Arial" w:hAnsi="Arial"/>
          <w:color w:val="374151"/>
          <w:sz w:val="22"/>
          <w:szCs w:val="22"/>
        </w:rPr>
        <w:t xml:space="preserve">A nostro balance runs dry mid-batch because two marketplace clients’ EUR payouts hit the same correspondent simultaneously</w:t>
      </w:r>
    </w:p>
    <w:p>
      <w:pPr>
        <w:pStyle w:val="ListParagraph"/>
        <w:numPr>
          <w:ilvl w:val="0"/>
          <w:numId w:val="2"/>
        </w:numPr>
        <w:spacing w:after="120"/>
      </w:pPr>
      <w:r>
        <w:rPr>
          <w:rFonts w:ascii="Arial" w:cs="Arial" w:eastAsia="Arial" w:hAnsi="Arial"/>
          <w:color w:val="374151"/>
          <w:sz w:val="22"/>
          <w:szCs w:val="22"/>
        </w:rPr>
        <w:t xml:space="preserve">A return after settlement forces an FX unwind at a rate 40 pips different from the original conversion, and the platform’s recon engine doesn’t account for the FX delta</w:t>
      </w:r>
    </w:p>
    <w:p>
      <w:pPr>
        <w:spacing w:after="200"/>
      </w:pPr>
      <w:r>
        <w:rPr>
          <w:rFonts w:ascii="Arial" w:cs="Arial" w:eastAsia="Arial" w:hAnsi="Arial"/>
          <w:color w:val="374151"/>
          <w:sz w:val="22"/>
          <w:szCs w:val="22"/>
        </w:rPr>
        <w:t xml:space="preserve">These are not bugs in any single system. They are emergent properties of a multi-party, multi-timezone, multi-currency, stochastic environment. They can only be discovered by simulating the entire environment.</w:t>
      </w:r>
    </w:p>
    <w:p>
      <w:pPr>
        <w:spacing w:after="200"/>
      </w:pPr>
      <w:r>
        <w:rPr>
          <w:rFonts w:ascii="Arial" w:cs="Arial" w:eastAsia="Arial" w:hAnsi="Arial"/>
          <w:b/>
          <w:bCs/>
          <w:color w:val="0D1B2A"/>
          <w:sz w:val="22"/>
          <w:szCs w:val="22"/>
        </w:rPr>
        <w:t xml:space="preserve">PaySphere is the first platform purpose-built to do this.</w:t>
      </w:r>
    </w:p>
    <w:p>
      <w:pPr>
        <w:pBdr>
          <w:bottom w:val="single" w:color="E5E7EB" w:sz="2" w:space="8"/>
        </w:pBdr>
        <w:spacing w:before="300" w:after="300"/>
      </w:pPr>
    </w:p>
    <w:p>
      <w:pPr>
        <w:pStyle w:val="Heading1"/>
      </w:pPr>
      <w:r>
        <w:t xml:space="preserve">What PaySphere is</w:t>
      </w:r>
    </w:p>
    <w:p>
      <w:pPr>
        <w:spacing w:after="200"/>
      </w:pPr>
      <w:r>
        <w:rPr>
          <w:rFonts w:ascii="Arial" w:cs="Arial" w:eastAsia="Arial" w:hAnsi="Arial"/>
          <w:color w:val="374151"/>
          <w:sz w:val="22"/>
          <w:szCs w:val="22"/>
        </w:rPr>
        <w:t xml:space="preserve">PaySphere is a plug-and-play simulation engine that creates a full digital twin of the cross-border payment universe. A bank’s real payment orchestration code runs unmodified inside this simulated universe, where FX markets move, correspondent banks process on their own schedules, clearing systems enforce their real cutoffs, and regulators screen at every hop.</w:t>
      </w:r>
    </w:p>
    <w:p>
      <w:pPr>
        <w:spacing w:after="200"/>
      </w:pPr>
      <w:r>
        <w:rPr>
          <w:rFonts w:ascii="Arial" w:cs="Arial" w:eastAsia="Arial" w:hAnsi="Arial"/>
          <w:color w:val="374151"/>
          <w:sz w:val="22"/>
          <w:szCs w:val="22"/>
        </w:rPr>
        <w:t xml:space="preserve">It is not a mock server. It is not a regression test framework. It is not a sandbox environment with static responses. PaySphere is a stochastic multi-agent simulation where every external entity a payment touches is modeled as an independent agent with learned behavior.</w:t>
      </w:r>
    </w:p>
    <w:p>
      <w:pPr>
        <w:pStyle w:val="Heading2"/>
      </w:pPr>
      <w:r>
        <w:t xml:space="preserve">Core design principles</w:t>
      </w:r>
    </w:p>
    <w:p>
      <w:pPr>
        <w:spacing w:after="200"/>
      </w:pPr>
      <w:r>
        <w:rPr>
          <w:rFonts w:ascii="Arial" w:cs="Arial" w:eastAsia="Arial" w:hAnsi="Arial"/>
          <w:b/>
          <w:bCs/>
          <w:color w:val="374151"/>
          <w:sz w:val="22"/>
          <w:szCs w:val="22"/>
        </w:rPr>
        <w:t xml:space="preserve">Plug-and-play, not rip-and-replace. </w:t>
      </w:r>
      <w:r>
        <w:rPr>
          <w:rFonts w:ascii="Arial" w:cs="Arial" w:eastAsia="Arial" w:hAnsi="Arial"/>
          <w:color w:val="374151"/>
          <w:sz w:val="22"/>
          <w:szCs w:val="22"/>
        </w:rPr>
        <w:t xml:space="preserve">PaySphere integrates at the boundaries of any bank’s existing architecture. It intercepts outbound calls to FX platforms, downstream clearing systems, and correspondent networks, and responds with simulated behavior. The bank’s code does not change. No refactoring. No new abstractions. If a bank can deploy a reverse proxy, they can deploy PaySphere.</w:t>
      </w:r>
    </w:p>
    <w:p>
      <w:pPr>
        <w:spacing w:after="200"/>
      </w:pPr>
      <w:r>
        <w:rPr>
          <w:rFonts w:ascii="Arial" w:cs="Arial" w:eastAsia="Arial" w:hAnsi="Arial"/>
          <w:b/>
          <w:bCs/>
          <w:color w:val="374151"/>
          <w:sz w:val="22"/>
          <w:szCs w:val="22"/>
        </w:rPr>
        <w:t xml:space="preserve">Learned behavior, not scripted mocks. </w:t>
      </w:r>
      <w:r>
        <w:rPr>
          <w:rFonts w:ascii="Arial" w:cs="Arial" w:eastAsia="Arial" w:hAnsi="Arial"/>
          <w:color w:val="374151"/>
          <w:sz w:val="22"/>
          <w:szCs w:val="22"/>
        </w:rPr>
        <w:t xml:space="preserve">Each simulated agent’s behavior is trained on real data — actual FX tick data, actual correspondent processing logs, actual clearing system acknowledgment patterns. A correspondent bank agent doesn’t respond in a fixed 45 minutes; it responds in 12–180 minutes with a distribution shaped by time of day, message priority, current queue depth, and historical patterns specific to that institution.</w:t>
      </w:r>
    </w:p>
    <w:p>
      <w:pPr>
        <w:spacing w:after="200"/>
      </w:pPr>
      <w:r>
        <w:rPr>
          <w:rFonts w:ascii="Arial" w:cs="Arial" w:eastAsia="Arial" w:hAnsi="Arial"/>
          <w:b/>
          <w:bCs/>
          <w:color w:val="374151"/>
          <w:sz w:val="22"/>
          <w:szCs w:val="22"/>
        </w:rPr>
        <w:t xml:space="preserve">Stochastic, not deterministic. </w:t>
      </w:r>
      <w:r>
        <w:rPr>
          <w:rFonts w:ascii="Arial" w:cs="Arial" w:eastAsia="Arial" w:hAnsi="Arial"/>
          <w:color w:val="374151"/>
          <w:sz w:val="22"/>
          <w:szCs w:val="22"/>
        </w:rPr>
        <w:t xml:space="preserve">Every simulation run is different, just like reality. FX rates follow a stochastic process. Correspondent processing times are sampled from learned distributions. Sanctions screening hits are probabilistic. Running the same payment 10,000 times produces a distribution of outcomes — settlement times, costs, failure modes — that reveals the true risk profile of that payment type.</w:t>
      </w:r>
    </w:p>
    <w:p>
      <w:pPr>
        <w:spacing w:after="200"/>
      </w:pPr>
      <w:r>
        <w:rPr>
          <w:rFonts w:ascii="Arial" w:cs="Arial" w:eastAsia="Arial" w:hAnsi="Arial"/>
          <w:b/>
          <w:bCs/>
          <w:color w:val="374151"/>
          <w:sz w:val="22"/>
          <w:szCs w:val="22"/>
        </w:rPr>
        <w:t xml:space="preserve">Time is a first-class dimension. </w:t>
      </w:r>
      <w:r>
        <w:rPr>
          <w:rFonts w:ascii="Arial" w:cs="Arial" w:eastAsia="Arial" w:hAnsi="Arial"/>
          <w:color w:val="374151"/>
          <w:sz w:val="22"/>
          <w:szCs w:val="22"/>
        </w:rPr>
        <w:t xml:space="preserve">Every agent in the simulation operates on a virtual clock that can be set to any point in time. “Run this as if it’s December 31 at 5:55 PM ET” adjusts every cutoff window, every holiday calendar, every FX market session, and every correspondent bank’s processing schedule. Time-travel testing catches the failures that only manifest on year-end, quarter-end, or the Friday before a national holiday.</w:t>
      </w:r>
    </w:p>
    <w:p>
      <w:pPr>
        <w:spacing w:after="200"/>
      </w:pPr>
      <w:r>
        <w:rPr>
          <w:rFonts w:ascii="Arial" w:cs="Arial" w:eastAsia="Arial" w:hAnsi="Arial"/>
          <w:b/>
          <w:bCs/>
          <w:color w:val="374151"/>
          <w:sz w:val="22"/>
          <w:szCs w:val="22"/>
        </w:rPr>
        <w:t xml:space="preserve">Universal architecture, bank-specific training. </w:t>
      </w:r>
      <w:r>
        <w:rPr>
          <w:rFonts w:ascii="Arial" w:cs="Arial" w:eastAsia="Arial" w:hAnsi="Arial"/>
          <w:color w:val="374151"/>
          <w:sz w:val="22"/>
          <w:szCs w:val="22"/>
        </w:rPr>
        <w:t xml:space="preserve">The simulation engine is the same for every bank. The agent models are trained on each bank’s specific data — their FX execution patterns, their correspondent relationships, their clearing submission timing. PaySphere at Bank A behaves differently from PaySphere at Bank B because their payment ecosystems are different.</w:t>
      </w:r>
    </w:p>
    <w:p>
      <w:pPr>
        <w:pBdr>
          <w:bottom w:val="single" w:color="E5E7EB" w:sz="2" w:space="8"/>
        </w:pBdr>
        <w:spacing w:before="300" w:after="300"/>
      </w:pPr>
    </w:p>
    <w:p>
      <w:pPr>
        <w:pStyle w:val="Heading1"/>
      </w:pPr>
      <w:r>
        <w:t xml:space="preserve">The five simulation agents</w:t>
      </w:r>
    </w:p>
    <w:p>
      <w:pPr>
        <w:spacing w:after="200"/>
      </w:pPr>
      <w:r>
        <w:rPr>
          <w:rFonts w:ascii="Arial" w:cs="Arial" w:eastAsia="Arial" w:hAnsi="Arial"/>
          <w:color w:val="374151"/>
          <w:sz w:val="22"/>
          <w:szCs w:val="22"/>
        </w:rPr>
        <w:t xml:space="preserve">PaySphere models the cross-border payment universe as five independent agent types. Each agent is trained on real data and operates with its own internal state, timing, and failure modes.</w:t>
      </w:r>
    </w:p>
    <w:p>
      <w:pPr>
        <w:pStyle w:val="Heading2"/>
      </w:pPr>
      <w:r>
        <w:t xml:space="preserve">Agent 1: FX market simulator</w:t>
      </w:r>
    </w:p>
    <w:p>
      <w:pPr>
        <w:spacing w:after="200"/>
      </w:pPr>
      <w:r>
        <w:rPr>
          <w:rFonts w:ascii="Arial" w:cs="Arial" w:eastAsia="Arial" w:hAnsi="Arial"/>
          <w:color w:val="374151"/>
          <w:sz w:val="22"/>
          <w:szCs w:val="22"/>
        </w:rPr>
        <w:t xml:space="preserve">The FX market simulator generates realistic currency rate behavior throughout the lifetime of a payment. It is not a static rate lookup — it is a stochastic process model trained on historical FX tick data that produces rate paths with realistic volatility, spread dynamics, and temporal patterns.</w:t>
      </w:r>
    </w:p>
    <w:p>
      <w:pPr>
        <w:pStyle w:val="Heading3"/>
      </w:pPr>
      <w:r>
        <w:t xml:space="preserve">What it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656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Rate dynamics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Geometric Brownian motion calibrated per currency pair. EUR/USD behaves differently from USD/BRL or USD/TRY. Volatility scales with time of day, day of week, and proximity to major economic events.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Spread behavior</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Bid-ask spreads widen during off-hours, around news events, and for exotic pairs. Trained on actual spread data from the bank’s FX execution logs.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Rate lock windows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Simulates quote-to-execution lifecycle. If the bank’s lock window is 120 seconds and the payment takes 130 seconds to clear screening, the rate expires and a re-quote is triggered at the current (moved) rate.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Weekend / holiday gaps</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Friday close to Monday open can produce 50+ pip gaps. PaySphere models gap distributions per pair, trained on historical opening data.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FX fixing windows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Currencies with official daily fixings (BRL PTAX, CNY PBOC) have specific windows where rates are determined. Payments timed around these windows have different cost profiles.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Margin / markup</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Simulates the bank’s internal FX desk markup and how it varies by client tier, amount, and currency pair.</w:t>
            </w:r>
          </w:p>
        </w:tc>
      </w:tr>
    </w:tbl>
    <w:p>
      <w:pPr>
        <w:spacing w:after="200"/>
      </w:pPr>
      <w:r>
        <w:rPr>
          <w:rFonts w:ascii="Arial" w:cs="Arial" w:eastAsia="Arial" w:hAnsi="Arial"/>
          <w:color w:val="374151"/>
          <w:sz w:val="22"/>
          <w:szCs w:val="22"/>
        </w:rPr>
        <w:t xml:space="preserve"/>
      </w:r>
    </w:p>
    <w:p>
      <w:pPr>
        <w:pStyle w:val="Heading3"/>
      </w:pPr>
      <w:r>
        <w:t xml:space="preserve">Training data</w:t>
      </w:r>
    </w:p>
    <w:p>
      <w:pPr>
        <w:spacing w:after="200"/>
      </w:pPr>
      <w:r>
        <w:rPr>
          <w:rFonts w:ascii="Arial" w:cs="Arial" w:eastAsia="Arial" w:hAnsi="Arial"/>
          <w:color w:val="374151"/>
          <w:sz w:val="22"/>
          <w:szCs w:val="22"/>
        </w:rPr>
        <w:t xml:space="preserve">The FX simulator is trained on the bank’s actual FX execution logs: every quote issued, every fill executed, every rejection, every re-quote, every lock expiry. For banks without sufficient FX tick history, PaySphere provides a pre-trained base model calibrated on publicly available interbank rate data, which is then fine-tuned on the bank’s specific execution patterns.</w:t>
      </w:r>
    </w:p>
    <w:p>
      <w:pPr>
        <w:pBdr>
          <w:left w:val="single" w:color="0E7C6E" w:sz="12" w:space="8"/>
        </w:pBdr>
        <w:spacing w:before="200" w:after="200"/>
        <w:ind w:left="300"/>
      </w:pPr>
      <w:r>
        <w:rPr>
          <w:rFonts w:ascii="Arial" w:cs="Arial" w:eastAsia="Arial" w:hAnsi="Arial"/>
          <w:i/>
          <w:iCs/>
          <w:color w:val="0E7C6E"/>
          <w:sz w:val="22"/>
          <w:szCs w:val="22"/>
        </w:rPr>
        <w:t xml:space="preserve">The FX simulator doesn’t replay historical rates. It generates statistically realistic rate paths. This means every simulation run is unique, exposing the bank to the full distribution of possible FX outcomes — not just the ones that happened to occur in the past.</w:t>
      </w:r>
    </w:p>
    <w:p>
      <w:pPr>
        <w:pStyle w:val="Heading2"/>
      </w:pPr>
      <w:r>
        <w:t xml:space="preserve">Agent 2: Correspondent bank agents</w:t>
      </w:r>
    </w:p>
    <w:p>
      <w:pPr>
        <w:spacing w:after="200"/>
      </w:pPr>
      <w:r>
        <w:rPr>
          <w:rFonts w:ascii="Arial" w:cs="Arial" w:eastAsia="Arial" w:hAnsi="Arial"/>
          <w:color w:val="374151"/>
          <w:sz w:val="22"/>
          <w:szCs w:val="22"/>
        </w:rPr>
        <w:t xml:space="preserve">Each correspondent bank in the simulation is modeled as an independent agent with its own processing windows, queue behavior, fee structure, screening logic, and failure modes. This is the agent that models the black box — what happens to a payment after it leaves the bank’s walls.</w:t>
      </w:r>
    </w:p>
    <w:p>
      <w:pPr>
        <w:pStyle w:val="Heading3"/>
      </w:pPr>
      <w:r>
        <w:t xml:space="preserve">What each agent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656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Processing windows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When the correspondent accepts and processes messages. Varies by bank, by currency, by day. Learned from SWIFT gpi tracker data showing actual processing timestamps.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Queue behavior</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FIFO? Priority by amount? Client tier? Queue depth affects processing latency. The agent learns that month-end queue depth at Bank X is 3x normal, causing 2-hour delays.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Fee deductions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SHA/BEN/OUR charging semantics. Some correspondents deduct from principal, some charge separately. Amounts vary by corridor, currency, and relationship tier. This directly affects what the beneficiary receives.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Sanctions screening</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Each correspondent runs its own screening with its own watchlist version, false positive rate, and manual review timing. A payment that clears the originating bank’s screening may be held for 4+ hours at a correspondent.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Failure modes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System outages (probabilistic), liquidity constraints on the correspondent’s nostro, format rejection (the correspondent’s parser is stricter than expected), and “investigation” holds where the correspondent requests additional information.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Response timing</w:t>
            </w:r>
          </w:p>
        </w:tc>
        <w:tc>
          <w:tcPr>
            <w:tcW w:type="dxa" w:w="6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Not a fixed latency. A probability distribution learned from actual gpi status data. The model knows that JP Morgan’s median EUR processing time is 22 minutes but P99 is 3.5 hours, while Deutsche Bank’s median is 45 minutes but P99 is only 2.1 hours.</w:t>
            </w:r>
          </w:p>
        </w:tc>
      </w:tr>
    </w:tbl>
    <w:p>
      <w:pPr>
        <w:spacing w:after="200"/>
      </w:pPr>
      <w:r>
        <w:rPr>
          <w:rFonts w:ascii="Arial" w:cs="Arial" w:eastAsia="Arial" w:hAnsi="Arial"/>
          <w:color w:val="374151"/>
          <w:sz w:val="22"/>
          <w:szCs w:val="22"/>
        </w:rPr>
        <w:t xml:space="preserve"/>
      </w:r>
    </w:p>
    <w:p>
      <w:pPr>
        <w:pStyle w:val="Heading3"/>
      </w:pPr>
      <w:r>
        <w:t xml:space="preserve">Training data</w:t>
      </w:r>
    </w:p>
    <w:p>
      <w:pPr>
        <w:spacing w:after="200"/>
      </w:pPr>
      <w:r>
        <w:rPr>
          <w:rFonts w:ascii="Arial" w:cs="Arial" w:eastAsia="Arial" w:hAnsi="Arial"/>
          <w:color w:val="374151"/>
          <w:sz w:val="22"/>
          <w:szCs w:val="22"/>
        </w:rPr>
        <w:t xml:space="preserve">SWIFT gpi tracker data is the primary training source. Every gpi status update (ACSP, ACCC, RJCT) with its timestamp provides ground truth for correspondent behavior. For banks without gpi data, PaySphere provides pre-trained correspondent profiles based on industry-aggregated behavior patterns (anonymized across licensees).</w:t>
      </w:r>
    </w:p>
    <w:p>
      <w:pPr>
        <w:pStyle w:val="Heading2"/>
      </w:pPr>
      <w:r>
        <w:t xml:space="preserve">Agent 3: Regional clearing system simulators</w:t>
      </w:r>
    </w:p>
    <w:p>
      <w:pPr>
        <w:spacing w:after="200"/>
      </w:pPr>
      <w:r>
        <w:rPr>
          <w:rFonts w:ascii="Arial" w:cs="Arial" w:eastAsia="Arial" w:hAnsi="Arial"/>
          <w:color w:val="374151"/>
          <w:sz w:val="22"/>
          <w:szCs w:val="22"/>
        </w:rPr>
        <w:t xml:space="preserve">Each clearing system (TARGET2, SEPA, CHAPS, BACS, Fedwire, CHIPS, SPEI, PIX, BOJ-NET, RTGS variants across APAC) is simulated with its real operating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22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Systems</w:t>
            </w:r>
          </w:p>
        </w:tc>
        <w:tc>
          <w:tcPr>
            <w:tcW w:type="dxa" w:w="22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Key behavior</w:t>
            </w:r>
          </w:p>
        </w:tc>
        <w:tc>
          <w:tcPr>
            <w:tcW w:type="dxa" w:w="316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cases simulated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EMEA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TARGET2, SEPA CT, SEPA Inst, CHAPS, BACS, Faster Payments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TARGET2 cutoffs, SEPA batch cycles, BACS 3-day, FPS instant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UK holiday but DE open; SEPA Inst amount cap; TARGET2 maintenance window</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LATAM</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PIX, SPEI, LBTR, CIP/CIH</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PIX 24/7, SPEI cutoffs, PTAX fixing, Central Bank holds</w:t>
            </w:r>
          </w:p>
        </w:tc>
        <w:tc>
          <w:tcPr>
            <w:tcW w:type="dxa" w:w="3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BRL regulatory reporting hold above BRL 100K; Mexican holiday but US open; PIX beneficiary bank offline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APAC</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BOJ-NET, RTGS (IN), CHATS (HK), MEPS+ (SG), RITS (AU)</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Timezone-first processing, CNY PBOC fixing, INR LRS limits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Payment initiated ET afternoon hits APAC next-day; Indian bank holiday mismatch; CNY capital controls</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NAMR</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Fedwire, CHIPS, ACH, RTP, FedNow</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Fedwire cutoffs, CHIPS netting, ACH windows, RTP 24/7</w:t>
            </w:r>
          </w:p>
        </w:tc>
        <w:tc>
          <w:tcPr>
            <w:tcW w:type="dxa" w:w="31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Fedwire 3rd-party cutoff vs reserve bank cutoff; ACH same-day window miss; RTP amount cap exceeded</w:t>
            </w:r>
          </w:p>
        </w:tc>
      </w:tr>
    </w:tbl>
    <w:p>
      <w:pPr>
        <w:spacing w:after="200"/>
      </w:pPr>
      <w:r>
        <w:rPr>
          <w:rFonts w:ascii="Arial" w:cs="Arial" w:eastAsia="Arial" w:hAnsi="Arial"/>
          <w:color w:val="374151"/>
          <w:sz w:val="22"/>
          <w:szCs w:val="22"/>
        </w:rPr>
        <w:t xml:space="preserve"/>
      </w:r>
    </w:p>
    <w:p>
      <w:pPr>
        <w:spacing w:after="200"/>
      </w:pPr>
      <w:r>
        <w:rPr>
          <w:rFonts w:ascii="Arial" w:cs="Arial" w:eastAsia="Arial" w:hAnsi="Arial"/>
          <w:color w:val="374151"/>
          <w:sz w:val="22"/>
          <w:szCs w:val="22"/>
        </w:rPr>
        <w:t xml:space="preserve">Each clearing simulator also models format transformation — the conversion from the bank’s internal canonical format to the clearing system’s required format (SWIFT MT to ISO 20022 pacs.008, or vice versa). This catches data truncation, field mapping errors, and character encoding issues that cause rejections at the clearing system.</w:t>
      </w:r>
    </w:p>
    <w:p>
      <w:pPr>
        <w:pStyle w:val="Heading2"/>
      </w:pPr>
      <w:r>
        <w:t xml:space="preserve">Agent 4: Nostro balance simulator</w:t>
      </w:r>
    </w:p>
    <w:p>
      <w:pPr>
        <w:spacing w:after="200"/>
      </w:pPr>
      <w:r>
        <w:rPr>
          <w:rFonts w:ascii="Arial" w:cs="Arial" w:eastAsia="Arial" w:hAnsi="Arial"/>
          <w:color w:val="374151"/>
          <w:sz w:val="22"/>
          <w:szCs w:val="22"/>
        </w:rPr>
        <w:t xml:space="preserve">The bank’s nostro accounts at each correspondent in each currency have real balances that fluctuate throughout the day. PaySphere models these balances and their impact on payment execution.</w:t>
      </w:r>
    </w:p>
    <w:p>
      <w:pPr>
        <w:pStyle w:val="ListParagraph"/>
        <w:numPr>
          <w:ilvl w:val="0"/>
          <w:numId w:val="2"/>
        </w:numPr>
        <w:spacing w:after="120"/>
      </w:pPr>
      <w:r>
        <w:rPr>
          <w:rFonts w:ascii="Arial" w:cs="Arial" w:eastAsia="Arial" w:hAnsi="Arial"/>
          <w:color w:val="374151"/>
          <w:sz w:val="22"/>
          <w:szCs w:val="22"/>
        </w:rPr>
        <w:t xml:space="preserve">Pre-funding requirements: does the bank have enough EUR at Deutsche Bank to cover this payout? If not, does it trigger an automatic funding request, and how long does that take?</w:t>
      </w:r>
    </w:p>
    <w:p>
      <w:pPr>
        <w:pStyle w:val="ListParagraph"/>
        <w:numPr>
          <w:ilvl w:val="0"/>
          <w:numId w:val="2"/>
        </w:numPr>
        <w:spacing w:after="120"/>
      </w:pPr>
      <w:r>
        <w:rPr>
          <w:rFonts w:ascii="Arial" w:cs="Arial" w:eastAsia="Arial" w:hAnsi="Arial"/>
          <w:color w:val="374151"/>
          <w:sz w:val="22"/>
          <w:szCs w:val="22"/>
        </w:rPr>
        <w:t xml:space="preserve">Intraday credit limits: the correspondent extends intraday credit up to a limit. What happens when the bank hits the limit mid-batch?</w:t>
      </w:r>
    </w:p>
    <w:p>
      <w:pPr>
        <w:pStyle w:val="ListParagraph"/>
        <w:numPr>
          <w:ilvl w:val="0"/>
          <w:numId w:val="2"/>
        </w:numPr>
        <w:spacing w:after="120"/>
      </w:pPr>
      <w:r>
        <w:rPr>
          <w:rFonts w:ascii="Arial" w:cs="Arial" w:eastAsia="Arial" w:hAnsi="Arial"/>
          <w:color w:val="374151"/>
          <w:sz w:val="22"/>
          <w:szCs w:val="22"/>
        </w:rPr>
        <w:t xml:space="preserve">Multi-client competition: Amazon’s EUR payouts and VRBO’s EUR payouts draw from the same nostro. A large Amazon batch at 2 PM may leave insufficient balance for VRBO’s 3 PM batch.</w:t>
      </w:r>
    </w:p>
    <w:p>
      <w:pPr>
        <w:pStyle w:val="ListParagraph"/>
        <w:numPr>
          <w:ilvl w:val="0"/>
          <w:numId w:val="2"/>
        </w:numPr>
        <w:spacing w:after="120"/>
      </w:pPr>
      <w:r>
        <w:rPr>
          <w:rFonts w:ascii="Arial" w:cs="Arial" w:eastAsia="Arial" w:hAnsi="Arial"/>
          <w:color w:val="374151"/>
          <w:sz w:val="22"/>
          <w:szCs w:val="22"/>
        </w:rPr>
        <w:t xml:space="preserve">End-of-day sweeps: automated balance sweeps change available funds at predictable times. The simulator models these and their interaction with payment timing.</w:t>
      </w:r>
    </w:p>
    <w:p>
      <w:pPr>
        <w:pStyle w:val="Heading2"/>
      </w:pPr>
      <w:r>
        <w:t xml:space="preserve">Agent 5: Temporal and calendar engine</w:t>
      </w:r>
    </w:p>
    <w:p>
      <w:pPr>
        <w:spacing w:after="200"/>
      </w:pPr>
      <w:r>
        <w:rPr>
          <w:rFonts w:ascii="Arial" w:cs="Arial" w:eastAsia="Arial" w:hAnsi="Arial"/>
          <w:color w:val="374151"/>
          <w:sz w:val="22"/>
          <w:szCs w:val="22"/>
        </w:rPr>
        <w:t xml:space="preserve">Time is the silent variable that makes cross-border payments unpredictable. PaySphere’s temporal engine provides a virtual clock that controls every other agent and models the full complexity of global time.</w:t>
      </w:r>
    </w:p>
    <w:p>
      <w:pPr>
        <w:pStyle w:val="ListParagraph"/>
        <w:numPr>
          <w:ilvl w:val="0"/>
          <w:numId w:val="2"/>
        </w:numPr>
        <w:spacing w:after="120"/>
      </w:pPr>
      <w:r>
        <w:rPr>
          <w:rFonts w:ascii="Arial" w:cs="Arial" w:eastAsia="Arial" w:hAnsi="Arial"/>
          <w:color w:val="374151"/>
          <w:sz w:val="22"/>
          <w:szCs w:val="22"/>
        </w:rPr>
        <w:t xml:space="preserve">Multi-timezone coordination: a payment initiated at 4:47 PM ET is simultaneously 9:47 PM GMT, 10:47 PM CET, and 5:47 AM JST (next day). Each agent operates in its local time.</w:t>
      </w:r>
    </w:p>
    <w:p>
      <w:pPr>
        <w:pStyle w:val="ListParagraph"/>
        <w:numPr>
          <w:ilvl w:val="0"/>
          <w:numId w:val="2"/>
        </w:numPr>
        <w:spacing w:after="120"/>
      </w:pPr>
      <w:r>
        <w:rPr>
          <w:rFonts w:ascii="Arial" w:cs="Arial" w:eastAsia="Arial" w:hAnsi="Arial"/>
          <w:color w:val="374151"/>
          <w:sz w:val="22"/>
          <w:szCs w:val="22"/>
        </w:rPr>
        <w:t xml:space="preserve">Holiday calendars for every jurisdiction: Fed holidays, UK bank holidays, TARGET2 holidays, Brazilian holidays, Japanese holidays, Indian holidays, Chinese holidays — plus regional and local holidays that affect specific banks or clearing systems.</w:t>
      </w:r>
    </w:p>
    <w:p>
      <w:pPr>
        <w:pStyle w:val="ListParagraph"/>
        <w:numPr>
          <w:ilvl w:val="0"/>
          <w:numId w:val="2"/>
        </w:numPr>
        <w:spacing w:after="120"/>
      </w:pPr>
      <w:r>
        <w:rPr>
          <w:rFonts w:ascii="Arial" w:cs="Arial" w:eastAsia="Arial" w:hAnsi="Arial"/>
          <w:color w:val="374151"/>
          <w:sz w:val="22"/>
          <w:szCs w:val="22"/>
        </w:rPr>
        <w:t xml:space="preserve">DST transitions: when the US springs forward but Europe hasn’t yet, the Fedwire/TARGET2 cutoff alignment shifts by one hour. This produces a one-week window each spring and fall where timing assumptions break.</w:t>
      </w:r>
    </w:p>
    <w:p>
      <w:pPr>
        <w:pStyle w:val="ListParagraph"/>
        <w:numPr>
          <w:ilvl w:val="0"/>
          <w:numId w:val="2"/>
        </w:numPr>
        <w:spacing w:after="120"/>
      </w:pPr>
      <w:r>
        <w:rPr>
          <w:rFonts w:ascii="Arial" w:cs="Arial" w:eastAsia="Arial" w:hAnsi="Arial"/>
          <w:color w:val="374151"/>
          <w:sz w:val="22"/>
          <w:szCs w:val="22"/>
        </w:rPr>
        <w:t xml:space="preserve">Time-travel capability: set the virtual clock to any date and time, past or future, and all agents adjust. Test year-end, quarter-end, Ramadan, Chinese New Year, or any other date-specific scenario.</w:t>
      </w:r>
    </w:p>
    <w:p>
      <w:pPr>
        <w:pBdr>
          <w:bottom w:val="single" w:color="E5E7EB" w:sz="2" w:space="8"/>
        </w:pBdr>
        <w:spacing w:before="300" w:after="300"/>
      </w:pPr>
    </w:p>
    <w:p>
      <w:pPr>
        <w:pStyle w:val="Heading1"/>
      </w:pPr>
      <w:r>
        <w:t xml:space="preserve">How PaySphere plugs into any bank</w:t>
      </w:r>
    </w:p>
    <w:p>
      <w:pPr>
        <w:spacing w:after="200"/>
      </w:pPr>
      <w:r>
        <w:rPr>
          <w:rFonts w:ascii="Arial" w:cs="Arial" w:eastAsia="Arial" w:hAnsi="Arial"/>
          <w:color w:val="374151"/>
          <w:sz w:val="22"/>
          <w:szCs w:val="22"/>
        </w:rPr>
        <w:t xml:space="preserve">PaySphere’s integration model is designed for zero-code-change deployment. It operates at the network boundary between the bank’s payment systems and their external counterparts.</w:t>
      </w:r>
    </w:p>
    <w:p>
      <w:pPr>
        <w:pStyle w:val="Heading2"/>
      </w:pPr>
      <w:r>
        <w:t xml:space="preserve">Integration architecture</w:t>
      </w:r>
    </w:p>
    <w:p>
      <w:pPr>
        <w:spacing w:after="200"/>
      </w:pPr>
      <w:r>
        <w:rPr>
          <w:rFonts w:ascii="Arial" w:cs="Arial" w:eastAsia="Arial" w:hAnsi="Arial"/>
          <w:b/>
          <w:bCs/>
          <w:color w:val="0E7C6E"/>
          <w:sz w:val="22"/>
          <w:szCs w:val="22"/>
        </w:rPr>
        <w:t xml:space="preserve">Step 1: Identify boundaries. </w:t>
      </w:r>
      <w:r>
        <w:rPr>
          <w:rFonts w:ascii="Arial" w:cs="Arial" w:eastAsia="Arial" w:hAnsi="Arial"/>
          <w:color w:val="374151"/>
          <w:sz w:val="22"/>
          <w:szCs w:val="22"/>
        </w:rPr>
        <w:t xml:space="preserve">Every bank’s payment platform has three external boundaries: (a) the connection to their FX platform or desk, (b) the connection to downstream clearing and settlement systems, and (c) the return path where confirmations, statuses, and exceptions flow back. These boundaries exist regardless of the bank’s internal architecture.</w:t>
      </w:r>
    </w:p>
    <w:p>
      <w:pPr>
        <w:spacing w:after="200"/>
      </w:pPr>
      <w:r>
        <w:rPr>
          <w:rFonts w:ascii="Arial" w:cs="Arial" w:eastAsia="Arial" w:hAnsi="Arial"/>
          <w:b/>
          <w:bCs/>
          <w:color w:val="0E7C6E"/>
          <w:sz w:val="22"/>
          <w:szCs w:val="22"/>
        </w:rPr>
        <w:t xml:space="preserve">Step 2: Deploy interceptors. </w:t>
      </w:r>
      <w:r>
        <w:rPr>
          <w:rFonts w:ascii="Arial" w:cs="Arial" w:eastAsia="Arial" w:hAnsi="Arial"/>
          <w:color w:val="374151"/>
          <w:sz w:val="22"/>
          <w:szCs w:val="22"/>
        </w:rPr>
        <w:t xml:space="preserve">PaySphere deploys lightweight interceptors at each boundary. In simulation mode, outbound calls to FX and clearing are routed to PaySphere’s agents instead of real systems. Inbound confirmations and status messages are generated by the agents. In passthrough mode, calls go to real systems and PaySphere observes passively (learning mode).</w:t>
      </w:r>
    </w:p>
    <w:p>
      <w:pPr>
        <w:spacing w:after="200"/>
      </w:pPr>
      <w:r>
        <w:rPr>
          <w:rFonts w:ascii="Arial" w:cs="Arial" w:eastAsia="Arial" w:hAnsi="Arial"/>
          <w:b/>
          <w:bCs/>
          <w:color w:val="0E7C6E"/>
          <w:sz w:val="22"/>
          <w:szCs w:val="22"/>
        </w:rPr>
        <w:t xml:space="preserve">Step 3: Train agents. </w:t>
      </w:r>
      <w:r>
        <w:rPr>
          <w:rFonts w:ascii="Arial" w:cs="Arial" w:eastAsia="Arial" w:hAnsi="Arial"/>
          <w:color w:val="374151"/>
          <w:sz w:val="22"/>
          <w:szCs w:val="22"/>
        </w:rPr>
        <w:t xml:space="preserve">PaySphere runs in passthrough/learning mode for 30–60 days, observing real traffic patterns: FX quotes and fills, clearing submission and acknowledgment timing, correspondent status messages, nostro movements. This training data builds bank-specific agent models.</w:t>
      </w:r>
    </w:p>
    <w:p>
      <w:pPr>
        <w:spacing w:after="200"/>
      </w:pPr>
      <w:r>
        <w:rPr>
          <w:rFonts w:ascii="Arial" w:cs="Arial" w:eastAsia="Arial" w:hAnsi="Arial"/>
          <w:b/>
          <w:bCs/>
          <w:color w:val="0E7C6E"/>
          <w:sz w:val="22"/>
          <w:szCs w:val="22"/>
        </w:rPr>
        <w:t xml:space="preserve">Step 4: Simulate. </w:t>
      </w:r>
      <w:r>
        <w:rPr>
          <w:rFonts w:ascii="Arial" w:cs="Arial" w:eastAsia="Arial" w:hAnsi="Arial"/>
          <w:color w:val="374151"/>
          <w:sz w:val="22"/>
          <w:szCs w:val="22"/>
        </w:rPr>
        <w:t xml:space="preserve">Switch to simulation mode. The bank’s real payment code runs against PaySphere’s agents. No code changes to the bank’s systems. The orchestration layer, FX integration, and clearing submission logic all execute their real code — they simply talk to simulated counterparts.</w:t>
      </w:r>
    </w:p>
    <w:p>
      <w:pPr>
        <w:pStyle w:val="Heading2"/>
      </w:pPr>
      <w:r>
        <w:t xml:space="preserve">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68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368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Passthrough</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Real traffic flows to real systems. PaySphere observes and learns.</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Initial training period. Continuous model refinement.</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Shadow</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Real traffic flows to real systems AND PaySphere. Results compared.</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Validate simulation accuracy before going live.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Simulation</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Traffic routed to PaySphere agents only. No real money moves.</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Full lifecycle testing. Scenario discovery. CI/CD.</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Time-travel</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Simulation mode with virtual clock set to a specific date/time.</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Test year-end, holidays, DST transitions, future dates.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Monte Carlo</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Same payment run N times with stochastic variation across all agents.</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Discover probability distributions of outcomes. Find rare failures.</w:t>
            </w:r>
          </w:p>
        </w:tc>
      </w:tr>
    </w:tbl>
    <w:p>
      <w:pPr>
        <w:spacing w:after="200"/>
      </w:pPr>
      <w:r>
        <w:rPr>
          <w:rFonts w:ascii="Arial" w:cs="Arial" w:eastAsia="Arial" w:hAnsi="Arial"/>
          <w:color w:val="374151"/>
          <w:sz w:val="22"/>
          <w:szCs w:val="22"/>
        </w:rPr>
        <w:t xml:space="preserve"/>
      </w:r>
    </w:p>
    <w:p>
      <w:pPr>
        <w:pBdr>
          <w:bottom w:val="single" w:color="E5E7EB" w:sz="2" w:space="8"/>
        </w:pBdr>
        <w:spacing w:before="300" w:after="300"/>
      </w:pPr>
    </w:p>
    <w:p>
      <w:pPr>
        <w:pStyle w:val="Heading1"/>
      </w:pPr>
      <w:r>
        <w:t xml:space="preserve">The AI/ML engine — what makes this unprecedented</w:t>
      </w:r>
    </w:p>
    <w:p>
      <w:pPr>
        <w:spacing w:after="200"/>
      </w:pPr>
      <w:r>
        <w:rPr>
          <w:rFonts w:ascii="Arial" w:cs="Arial" w:eastAsia="Arial" w:hAnsi="Arial"/>
          <w:color w:val="374151"/>
          <w:sz w:val="22"/>
          <w:szCs w:val="22"/>
        </w:rPr>
        <w:t xml:space="preserve">PaySphere’s simulation agents are not rule-based systems. They are machine learning models trained on real-world payment data. This section details the model architecture for each agent.</w:t>
      </w:r>
    </w:p>
    <w:p>
      <w:pPr>
        <w:pStyle w:val="Heading2"/>
      </w:pPr>
      <w:r>
        <w:t xml:space="preserve">FX rate generation: Conditional diffusion model</w:t>
      </w:r>
    </w:p>
    <w:p>
      <w:pPr>
        <w:spacing w:after="200"/>
      </w:pPr>
      <w:r>
        <w:rPr>
          <w:rFonts w:ascii="Arial" w:cs="Arial" w:eastAsia="Arial" w:hAnsi="Arial"/>
          <w:color w:val="374151"/>
          <w:sz w:val="22"/>
          <w:szCs w:val="22"/>
        </w:rPr>
        <w:t xml:space="preserve">PaySphere uses a conditional diffusion model to generate FX rate paths. Unlike simple geometric Brownian motion, diffusion models capture the complex, non-Gaussian dynamics of real FX markets — fat tails, volatility clustering, mean reversion, and jump discontinuities.</w:t>
      </w:r>
    </w:p>
    <w:p>
      <w:pPr>
        <w:spacing w:after="200"/>
      </w:pPr>
      <w:r>
        <w:rPr>
          <w:rFonts w:ascii="Arial" w:cs="Arial" w:eastAsia="Arial" w:hAnsi="Arial"/>
          <w:color w:val="374151"/>
          <w:sz w:val="22"/>
          <w:szCs w:val="22"/>
        </w:rPr>
        <w:t xml:space="preserve">The model is conditioned on: currency pair, time of day, day of week, proximity to known events (central bank meetings, economic data releases, month-end flows), and current market regime (trending, range-bound, crisis). It generates rate paths that are statistically indistinguishable from real market data when evaluated on standard distributional tests.</w:t>
      </w:r>
    </w:p>
    <w:p>
      <w:pPr>
        <w:pStyle w:val="Heading2"/>
      </w:pPr>
      <w:r>
        <w:t xml:space="preserve">Correspondent behavior: Temporal point process</w:t>
      </w:r>
    </w:p>
    <w:p>
      <w:pPr>
        <w:spacing w:after="200"/>
      </w:pPr>
      <w:r>
        <w:rPr>
          <w:rFonts w:ascii="Arial" w:cs="Arial" w:eastAsia="Arial" w:hAnsi="Arial"/>
          <w:color w:val="374151"/>
          <w:sz w:val="22"/>
          <w:szCs w:val="22"/>
        </w:rPr>
        <w:t xml:space="preserve">Each correspondent bank agent uses a neural temporal point process to model when events occur (message processing, screening completion, settlement confirmation). Unlike fixed-delay models, temporal point processes capture the intensity of event arrival as a function of time and context.</w:t>
      </w:r>
    </w:p>
    <w:p>
      <w:pPr>
        <w:spacing w:after="200"/>
      </w:pPr>
      <w:r>
        <w:rPr>
          <w:rFonts w:ascii="Arial" w:cs="Arial" w:eastAsia="Arial" w:hAnsi="Arial"/>
          <w:color w:val="374151"/>
          <w:sz w:val="22"/>
          <w:szCs w:val="22"/>
        </w:rPr>
        <w:t xml:space="preserve">The model learns that JP Morgan’s EUR processing intensity peaks at 10:00 AM ET (US morning batch), dips during lunch, and has a secondary peak at 2:00 PM ET. It learns that processing intensity drops by 60% on days when FOMC minutes are released (staff distraction). It learns that queue depth above 1,200 messages triggers a regime change where processing slows from median 22 minutes to median 58 minutes.</w:t>
      </w:r>
    </w:p>
    <w:p>
      <w:pPr>
        <w:pStyle w:val="Heading2"/>
      </w:pPr>
      <w:r>
        <w:t xml:space="preserve">Settlement outcome prediction: Gradient-boosted ensemble</w:t>
      </w:r>
    </w:p>
    <w:p>
      <w:pPr>
        <w:spacing w:after="200"/>
      </w:pPr>
      <w:r>
        <w:rPr>
          <w:rFonts w:ascii="Arial" w:cs="Arial" w:eastAsia="Arial" w:hAnsi="Arial"/>
          <w:color w:val="374151"/>
          <w:sz w:val="22"/>
          <w:szCs w:val="22"/>
        </w:rPr>
        <w:t xml:space="preserve">For each simulated payment, PaySphere predicts the probability distribution of settlement outcomes using a gradient-boosted ensemble (XGBoost) trained on historical settlement data. Features include: corridor, amount, currency pair, time of initiation, day of week, correspondent chain, nostro balance state, and clearing system load.</w:t>
      </w:r>
    </w:p>
    <w:p>
      <w:pPr>
        <w:spacing w:after="200"/>
      </w:pPr>
      <w:r>
        <w:rPr>
          <w:rFonts w:ascii="Arial" w:cs="Arial" w:eastAsia="Arial" w:hAnsi="Arial"/>
          <w:color w:val="374151"/>
          <w:sz w:val="22"/>
          <w:szCs w:val="22"/>
        </w:rPr>
        <w:t xml:space="preserve">The ensemble outputs: probability of same-day settlement, probability of next-day settlement, probability of exception (broken down by exception type), expected intermediary fee deductions, and expected final beneficiary amount. These predictions are validated against held-out real settlement data, achieving 94% accuracy on settlement-day prediction and 87% accuracy on exception-type prediction.</w:t>
      </w:r>
    </w:p>
    <w:p>
      <w:pPr>
        <w:pStyle w:val="Heading2"/>
      </w:pPr>
      <w:r>
        <w:t xml:space="preserve">Scenario discovery: Reinforcement learning explorer</w:t>
      </w:r>
    </w:p>
    <w:p>
      <w:pPr>
        <w:spacing w:after="200"/>
      </w:pPr>
      <w:r>
        <w:rPr>
          <w:rFonts w:ascii="Arial" w:cs="Arial" w:eastAsia="Arial" w:hAnsi="Arial"/>
          <w:color w:val="374151"/>
          <w:sz w:val="22"/>
          <w:szCs w:val="22"/>
        </w:rPr>
        <w:t xml:space="preserve">The most innovative ML component. PaySphere uses a reinforcement learning agent whose objective is to discover payment scenarios that cause failures or unexpected behavior. The RL agent learns to manipulate the simulation’s controllable variables (payment amount, timing, currency pair, corridor) to maximize the probability of finding edge cases.</w:t>
      </w:r>
    </w:p>
    <w:p>
      <w:pPr>
        <w:spacing w:after="200"/>
      </w:pPr>
      <w:r>
        <w:rPr>
          <w:rFonts w:ascii="Arial" w:cs="Arial" w:eastAsia="Arial" w:hAnsi="Arial"/>
          <w:color w:val="374151"/>
          <w:sz w:val="22"/>
          <w:szCs w:val="22"/>
        </w:rPr>
        <w:t xml:space="preserve">Over thousands of episodes, the RL explorer discovers that: payments of exactly $9,950 to Brazilian sellers at 3:47 PM BRT trigger a regulatory hold 34% of the time because they’re close to the BRL 50,000 threshold after conversion at current rates. Or that GBP payouts initiated between 11:55 AM and 12:05 PM ET on the third Friday of each month have a 12% higher rejection rate because CHAPS is processing month-end flows and queue depth peaks.</w:t>
      </w:r>
    </w:p>
    <w:p>
      <w:pPr>
        <w:pBdr>
          <w:left w:val="single" w:color="0E7C6E" w:sz="12" w:space="8"/>
        </w:pBdr>
        <w:spacing w:before="200" w:after="200"/>
        <w:ind w:left="300"/>
      </w:pPr>
      <w:r>
        <w:rPr>
          <w:rFonts w:ascii="Arial" w:cs="Arial" w:eastAsia="Arial" w:hAnsi="Arial"/>
          <w:i/>
          <w:iCs/>
          <w:color w:val="0E7C6E"/>
          <w:sz w:val="22"/>
          <w:szCs w:val="22"/>
        </w:rPr>
        <w:t xml:space="preserve">The RL explorer finds the payment failures that no human test engineer would think to write test cases for — because they emerge from the interaction of multiple agents, not from any single system’s behavior.</w:t>
      </w:r>
    </w:p>
    <w:p>
      <w:pPr>
        <w:pBdr>
          <w:bottom w:val="single" w:color="E5E7EB" w:sz="2" w:space="8"/>
        </w:pBdr>
        <w:spacing w:before="300" w:after="300"/>
      </w:pPr>
    </w:p>
    <w:p>
      <w:pPr>
        <w:pStyle w:val="Heading1"/>
      </w:pPr>
      <w:r>
        <w:t xml:space="preserve">What PaySphere outputs</w:t>
      </w:r>
    </w:p>
    <w:p>
      <w:pPr>
        <w:pStyle w:val="Heading2"/>
      </w:pPr>
      <w:r>
        <w:t xml:space="preserve">Simulation run report</w:t>
      </w:r>
    </w:p>
    <w:p>
      <w:pPr>
        <w:spacing w:after="200"/>
      </w:pPr>
      <w:r>
        <w:rPr>
          <w:rFonts w:ascii="Arial" w:cs="Arial" w:eastAsia="Arial" w:hAnsi="Arial"/>
          <w:color w:val="374151"/>
          <w:sz w:val="22"/>
          <w:szCs w:val="22"/>
        </w:rPr>
        <w:t xml:space="preserve">Every simulation run produces a detailed report with:</w:t>
      </w:r>
    </w:p>
    <w:p>
      <w:pPr>
        <w:pStyle w:val="ListParagraph"/>
        <w:numPr>
          <w:ilvl w:val="0"/>
          <w:numId w:val="2"/>
        </w:numPr>
        <w:spacing w:after="120"/>
      </w:pPr>
      <w:r>
        <w:rPr>
          <w:rFonts w:ascii="Arial" w:cs="Arial" w:eastAsia="Arial" w:hAnsi="Arial"/>
          <w:color w:val="374151"/>
          <w:sz w:val="22"/>
          <w:szCs w:val="22"/>
        </w:rPr>
        <w:t xml:space="preserve">Settlement outcome distribution: histogram of settlement times across all simulated payments, broken down by corridor and currency pair</w:t>
      </w:r>
    </w:p>
    <w:p>
      <w:pPr>
        <w:pStyle w:val="ListParagraph"/>
        <w:numPr>
          <w:ilvl w:val="0"/>
          <w:numId w:val="2"/>
        </w:numPr>
        <w:spacing w:after="120"/>
      </w:pPr>
      <w:r>
        <w:rPr>
          <w:rFonts w:ascii="Arial" w:cs="Arial" w:eastAsia="Arial" w:hAnsi="Arial"/>
          <w:color w:val="374151"/>
          <w:sz w:val="22"/>
          <w:szCs w:val="22"/>
        </w:rPr>
        <w:t xml:space="preserve">Exception analysis: every simulated exception with root cause chain (which agent caused it, at what time, why, and what the downstream impact was)</w:t>
      </w:r>
    </w:p>
    <w:p>
      <w:pPr>
        <w:pStyle w:val="ListParagraph"/>
        <w:numPr>
          <w:ilvl w:val="0"/>
          <w:numId w:val="2"/>
        </w:numPr>
        <w:spacing w:after="120"/>
      </w:pPr>
      <w:r>
        <w:rPr>
          <w:rFonts w:ascii="Arial" w:cs="Arial" w:eastAsia="Arial" w:hAnsi="Arial"/>
          <w:color w:val="374151"/>
          <w:sz w:val="22"/>
          <w:szCs w:val="22"/>
        </w:rPr>
        <w:t xml:space="preserve">FX impact analysis: total FX slippage cost across the simulation, broken down by lock-window expiry, weekend gap, spread widening, and re-quote</w:t>
      </w:r>
    </w:p>
    <w:p>
      <w:pPr>
        <w:pStyle w:val="ListParagraph"/>
        <w:numPr>
          <w:ilvl w:val="0"/>
          <w:numId w:val="2"/>
        </w:numPr>
        <w:spacing w:after="120"/>
      </w:pPr>
      <w:r>
        <w:rPr>
          <w:rFonts w:ascii="Arial" w:cs="Arial" w:eastAsia="Arial" w:hAnsi="Arial"/>
          <w:color w:val="374151"/>
          <w:sz w:val="22"/>
          <w:szCs w:val="22"/>
        </w:rPr>
        <w:t xml:space="preserve">Correspondent performance: per-correspondent processing time distribution, fee behavior, and failure rate</w:t>
      </w:r>
    </w:p>
    <w:p>
      <w:pPr>
        <w:pStyle w:val="ListParagraph"/>
        <w:numPr>
          <w:ilvl w:val="0"/>
          <w:numId w:val="2"/>
        </w:numPr>
        <w:spacing w:after="120"/>
      </w:pPr>
      <w:r>
        <w:rPr>
          <w:rFonts w:ascii="Arial" w:cs="Arial" w:eastAsia="Arial" w:hAnsi="Arial"/>
          <w:color w:val="374151"/>
          <w:sz w:val="22"/>
          <w:szCs w:val="22"/>
        </w:rPr>
        <w:t xml:space="preserve">SLA risk assessment: percentage of payments that would breach each marketplace client’s SLA, broken down by root cause</w:t>
      </w:r>
    </w:p>
    <w:p>
      <w:pPr>
        <w:pStyle w:val="ListParagraph"/>
        <w:numPr>
          <w:ilvl w:val="0"/>
          <w:numId w:val="2"/>
        </w:numPr>
        <w:spacing w:after="120"/>
      </w:pPr>
      <w:r>
        <w:rPr>
          <w:rFonts w:ascii="Arial" w:cs="Arial" w:eastAsia="Arial" w:hAnsi="Arial"/>
          <w:color w:val="374151"/>
          <w:sz w:val="22"/>
          <w:szCs w:val="22"/>
        </w:rPr>
        <w:t xml:space="preserve">Nostro utilization: peak and trough balance at each correspondent through the simulation, with alerts for insufficient-funds risk</w:t>
      </w:r>
    </w:p>
    <w:p>
      <w:pPr>
        <w:pStyle w:val="Heading2"/>
      </w:pPr>
      <w:r>
        <w:t xml:space="preserve">Discovered scenarios</w:t>
      </w:r>
    </w:p>
    <w:p>
      <w:pPr>
        <w:spacing w:after="200"/>
      </w:pPr>
      <w:r>
        <w:rPr>
          <w:rFonts w:ascii="Arial" w:cs="Arial" w:eastAsia="Arial" w:hAnsi="Arial"/>
          <w:color w:val="374151"/>
          <w:sz w:val="22"/>
          <w:szCs w:val="22"/>
        </w:rPr>
        <w:t xml:space="preserve">The RL explorer’s most valuable output: a ranked list of newly discovered failure scenarios, each with a complete narrative explanation and reproduction steps. These are scenarios no human engineer anticipated — emergent behaviors that only manifest in the full multi-agent simulation.</w:t>
      </w:r>
    </w:p>
    <w:p>
      <w:pPr>
        <w:pStyle w:val="Heading2"/>
      </w:pPr>
      <w:r>
        <w:t xml:space="preserve">Counterfactual analysis</w:t>
      </w:r>
    </w:p>
    <w:p>
      <w:pPr>
        <w:spacing w:after="200"/>
      </w:pPr>
      <w:r>
        <w:rPr>
          <w:rFonts w:ascii="Arial" w:cs="Arial" w:eastAsia="Arial" w:hAnsi="Arial"/>
          <w:color w:val="374151"/>
          <w:sz w:val="22"/>
          <w:szCs w:val="22"/>
        </w:rPr>
        <w:t xml:space="preserve">For any failed or delayed payment, PaySphere can answer: “What if we had done X instead?” What if the payment was initiated 30 minutes earlier? What if we used a different correspondent? What if the FX lock window was 60 seconds instead of 120? Each counterfactual runs 1,000 simulations and produces a probability distribution of the alternative outcome.</w:t>
      </w:r>
    </w:p>
    <w:p>
      <w:pPr>
        <w:pBdr>
          <w:bottom w:val="single" w:color="E5E7EB" w:sz="2" w:space="8"/>
        </w:pBdr>
        <w:spacing w:before="300" w:after="300"/>
      </w:pPr>
    </w:p>
    <w:p>
      <w:pPr>
        <w:pStyle w:val="Heading1"/>
      </w:pPr>
      <w:r>
        <w:t xml:space="preserve">The platform play — licensing model</w:t>
      </w:r>
    </w:p>
    <w:p>
      <w:pPr>
        <w:spacing w:after="200"/>
      </w:pPr>
      <w:r>
        <w:rPr>
          <w:rFonts w:ascii="Arial" w:cs="Arial" w:eastAsia="Arial" w:hAnsi="Arial"/>
          <w:color w:val="374151"/>
          <w:sz w:val="22"/>
          <w:szCs w:val="22"/>
        </w:rPr>
        <w:t xml:space="preserve">PaySphere is designed for licensing to any bank with a cross-border payment platform. The licensing model creates a network-effect flywheel that strengthens the product over time.</w:t>
      </w:r>
    </w:p>
    <w:p>
      <w:pPr>
        <w:pStyle w:val="Heading2"/>
      </w:pPr>
      <w:r>
        <w:t xml:space="preserve">What each bank gets</w:t>
      </w:r>
    </w:p>
    <w:p>
      <w:pPr>
        <w:pStyle w:val="ListParagraph"/>
        <w:numPr>
          <w:ilvl w:val="0"/>
          <w:numId w:val="2"/>
        </w:numPr>
        <w:spacing w:after="120"/>
      </w:pPr>
      <w:r>
        <w:rPr>
          <w:rFonts w:ascii="Arial" w:cs="Arial" w:eastAsia="Arial" w:hAnsi="Arial"/>
          <w:color w:val="374151"/>
          <w:sz w:val="22"/>
          <w:szCs w:val="22"/>
        </w:rPr>
        <w:t xml:space="preserve">PaySphere engine: the simulation runtime, all five agent types, the RL explorer, and the reporting layer</w:t>
      </w:r>
    </w:p>
    <w:p>
      <w:pPr>
        <w:pStyle w:val="ListParagraph"/>
        <w:numPr>
          <w:ilvl w:val="0"/>
          <w:numId w:val="2"/>
        </w:numPr>
        <w:spacing w:after="120"/>
      </w:pPr>
      <w:r>
        <w:rPr>
          <w:rFonts w:ascii="Arial" w:cs="Arial" w:eastAsia="Arial" w:hAnsi="Arial"/>
          <w:color w:val="374151"/>
          <w:sz w:val="22"/>
          <w:szCs w:val="22"/>
        </w:rPr>
        <w:t xml:space="preserve">Pre-trained base models: FX dynamics for 40+ currency pairs, correspondent profiles for 200+ major correspondents, clearing system simulators for all major global rails</w:t>
      </w:r>
    </w:p>
    <w:p>
      <w:pPr>
        <w:pStyle w:val="ListParagraph"/>
        <w:numPr>
          <w:ilvl w:val="0"/>
          <w:numId w:val="2"/>
        </w:numPr>
        <w:spacing w:after="120"/>
      </w:pPr>
      <w:r>
        <w:rPr>
          <w:rFonts w:ascii="Arial" w:cs="Arial" w:eastAsia="Arial" w:hAnsi="Arial"/>
          <w:color w:val="374151"/>
          <w:sz w:val="22"/>
          <w:szCs w:val="22"/>
        </w:rPr>
        <w:t xml:space="preserve">Bank-specific training pipeline: tools to train agent models on the bank’s own FX execution data, gpi tracker logs, clearing submission/confirmation data, and nostro statements</w:t>
      </w:r>
    </w:p>
    <w:p>
      <w:pPr>
        <w:pStyle w:val="ListParagraph"/>
        <w:numPr>
          <w:ilvl w:val="0"/>
          <w:numId w:val="2"/>
        </w:numPr>
        <w:spacing w:after="120"/>
      </w:pPr>
      <w:r>
        <w:rPr>
          <w:rFonts w:ascii="Arial" w:cs="Arial" w:eastAsia="Arial" w:hAnsi="Arial"/>
          <w:color w:val="374151"/>
          <w:sz w:val="22"/>
          <w:szCs w:val="22"/>
        </w:rPr>
        <w:t xml:space="preserve">Integration SDK: interceptors for common payment messaging protocols (SWIFT MX/MT, ISO 20022, proprietary APIs) with configurable routing between passthrough and simulation modes</w:t>
      </w:r>
    </w:p>
    <w:p>
      <w:pPr>
        <w:pStyle w:val="ListParagraph"/>
        <w:numPr>
          <w:ilvl w:val="0"/>
          <w:numId w:val="2"/>
        </w:numPr>
        <w:spacing w:after="120"/>
      </w:pPr>
      <w:r>
        <w:rPr>
          <w:rFonts w:ascii="Arial" w:cs="Arial" w:eastAsia="Arial" w:hAnsi="Arial"/>
          <w:color w:val="374151"/>
          <w:sz w:val="22"/>
          <w:szCs w:val="22"/>
        </w:rPr>
        <w:t xml:space="preserve">CI/CD integration: plugins for Jenkins, GitHub Actions, GitLab CI, and Azure DevOps to run simulation suites as part of the deployment pipeline</w:t>
      </w:r>
    </w:p>
    <w:p>
      <w:pPr>
        <w:pStyle w:val="Heading2"/>
      </w:pPr>
      <w:r>
        <w:t xml:space="preserve">The network effect</w:t>
      </w:r>
    </w:p>
    <w:p>
      <w:pPr>
        <w:spacing w:after="200"/>
      </w:pPr>
      <w:r>
        <w:rPr>
          <w:rFonts w:ascii="Arial" w:cs="Arial" w:eastAsia="Arial" w:hAnsi="Arial"/>
          <w:color w:val="374151"/>
          <w:sz w:val="22"/>
          <w:szCs w:val="22"/>
        </w:rPr>
        <w:t xml:space="preserve">Every licensee’s simulation data (anonymized) improves the base models for all licensees:</w:t>
      </w:r>
    </w:p>
    <w:p>
      <w:pPr>
        <w:pStyle w:val="ListParagraph"/>
        <w:numPr>
          <w:ilvl w:val="0"/>
          <w:numId w:val="2"/>
        </w:numPr>
        <w:spacing w:after="120"/>
      </w:pPr>
      <w:r>
        <w:rPr>
          <w:rFonts w:ascii="Arial" w:cs="Arial" w:eastAsia="Arial" w:hAnsi="Arial"/>
          <w:color w:val="374151"/>
          <w:sz w:val="22"/>
          <w:szCs w:val="22"/>
        </w:rPr>
        <w:t xml:space="preserve">Correspondent profiles become more accurate as more banks contribute gpi observations for the same correspondents from different angles</w:t>
      </w:r>
    </w:p>
    <w:p>
      <w:pPr>
        <w:pStyle w:val="ListParagraph"/>
        <w:numPr>
          <w:ilvl w:val="0"/>
          <w:numId w:val="2"/>
        </w:numPr>
        <w:spacing w:after="120"/>
      </w:pPr>
      <w:r>
        <w:rPr>
          <w:rFonts w:ascii="Arial" w:cs="Arial" w:eastAsia="Arial" w:hAnsi="Arial"/>
          <w:color w:val="374151"/>
          <w:sz w:val="22"/>
          <w:szCs w:val="22"/>
        </w:rPr>
        <w:t xml:space="preserve">The RL explorer’s discovered scenarios from Bank A’s simulation are generalized and tested against Bank B’s configuration — finding cross-bank failure patterns</w:t>
      </w:r>
    </w:p>
    <w:p>
      <w:pPr>
        <w:pStyle w:val="ListParagraph"/>
        <w:numPr>
          <w:ilvl w:val="0"/>
          <w:numId w:val="2"/>
        </w:numPr>
        <w:spacing w:after="120"/>
      </w:pPr>
      <w:r>
        <w:rPr>
          <w:rFonts w:ascii="Arial" w:cs="Arial" w:eastAsia="Arial" w:hAnsi="Arial"/>
          <w:color w:val="374151"/>
          <w:sz w:val="22"/>
          <w:szCs w:val="22"/>
        </w:rPr>
        <w:t xml:space="preserve">Clearing system simulators get more precise as more banks contribute submission/acknowledgment timing data</w:t>
      </w:r>
    </w:p>
    <w:p>
      <w:pPr>
        <w:pStyle w:val="ListParagraph"/>
        <w:numPr>
          <w:ilvl w:val="0"/>
          <w:numId w:val="2"/>
        </w:numPr>
        <w:spacing w:after="120"/>
      </w:pPr>
      <w:r>
        <w:rPr>
          <w:rFonts w:ascii="Arial" w:cs="Arial" w:eastAsia="Arial" w:hAnsi="Arial"/>
          <w:color w:val="374151"/>
          <w:sz w:val="22"/>
          <w:szCs w:val="22"/>
        </w:rPr>
        <w:t xml:space="preserve">The pre-trained FX model improves as more banks contribute execution data across more currency pairs and market conditions</w:t>
      </w:r>
    </w:p>
    <w:p>
      <w:pPr>
        <w:pBdr>
          <w:left w:val="single" w:color="0E7C6E" w:sz="12" w:space="8"/>
        </w:pBdr>
        <w:spacing w:before="200" w:after="200"/>
        <w:ind w:left="300"/>
      </w:pPr>
      <w:r>
        <w:rPr>
          <w:rFonts w:ascii="Arial" w:cs="Arial" w:eastAsia="Arial" w:hAnsi="Arial"/>
          <w:i/>
          <w:iCs/>
          <w:color w:val="0E7C6E"/>
          <w:sz w:val="22"/>
          <w:szCs w:val="22"/>
        </w:rPr>
        <w:t xml:space="preserve">A bank that licenses PaySphere in year 3 gets the accumulated learning from years 1–2 across every other licensee. The simulation gets better for everyone, every quarter. This is the moat.</w:t>
      </w:r>
    </w:p>
    <w:p>
      <w:pPr>
        <w:pStyle w:val="Heading2"/>
      </w:pPr>
      <w: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348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Structure</w:t>
            </w:r>
          </w:p>
        </w:tc>
        <w:tc>
          <w:tcPr>
            <w:tcW w:type="dxa" w:w="348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driver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Platform license</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Annual fee, tiered by transaction volume and number of corridors</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Core revenue. Scales with bank size.</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Simulation compute</w:t>
            </w:r>
          </w:p>
        </w:tc>
        <w:tc>
          <w:tcPr>
            <w:tcW w:type="dxa" w:w="34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Usage-based pricing for Monte Carlo runs and RL explorer episodes</w:t>
            </w:r>
          </w:p>
        </w:tc>
        <w:tc>
          <w:tcPr>
            <w:tcW w:type="dxa" w:w="34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Aligns cost with value. Heavy users pay more.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Agent marketplace</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Revenue share for third-party agent contributions (specialized correspondents, exotic clearing systems)</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Ecosystem play. Specialists build niche agents.</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Professional services</w:t>
            </w:r>
          </w:p>
        </w:tc>
        <w:tc>
          <w:tcPr>
            <w:tcW w:type="dxa" w:w="34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Integration, custom agent training, scenario library development</w:t>
            </w:r>
          </w:p>
        </w:tc>
        <w:tc>
          <w:tcPr>
            <w:tcW w:type="dxa" w:w="34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High-touch onboarding for Tier 1 banks.</w:t>
            </w:r>
          </w:p>
        </w:tc>
      </w:tr>
    </w:tbl>
    <w:p>
      <w:pPr>
        <w:spacing w:after="200"/>
      </w:pPr>
      <w:r>
        <w:rPr>
          <w:rFonts w:ascii="Arial" w:cs="Arial" w:eastAsia="Arial" w:hAnsi="Arial"/>
          <w:color w:val="374151"/>
          <w:sz w:val="22"/>
          <w:szCs w:val="22"/>
        </w:rPr>
        <w:t xml:space="preserve"/>
      </w:r>
    </w:p>
    <w:p>
      <w:pPr>
        <w:pBdr>
          <w:bottom w:val="single" w:color="E5E7EB" w:sz="2" w:space="8"/>
        </w:pBdr>
        <w:spacing w:before="300" w:after="300"/>
      </w:pPr>
    </w:p>
    <w:p>
      <w:pPr>
        <w:pStyle w:val="Heading1"/>
      </w:pPr>
      <w:r>
        <w:t xml:space="preserve">Competitive landscape</w:t>
      </w:r>
    </w:p>
    <w:p>
      <w:pPr>
        <w:spacing w:after="200"/>
      </w:pPr>
      <w:r>
        <w:rPr>
          <w:rFonts w:ascii="Arial" w:cs="Arial" w:eastAsia="Arial" w:hAnsi="Arial"/>
          <w:color w:val="374151"/>
          <w:sz w:val="22"/>
          <w:szCs w:val="22"/>
        </w:rPr>
        <w:t xml:space="preserve">No direct competitor exists. Adjacent players address fragments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Player</w:t>
            </w:r>
          </w:p>
        </w:tc>
        <w:tc>
          <w:tcPr>
            <w:tcW w:type="dxa" w:w="368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3680"/>
            <w:tcBorders>
              <w:top w:val="single" w:color="D1D5DB" w:sz="1"/>
              <w:left w:val="single" w:color="D1D5DB" w:sz="1"/>
              <w:bottom w:val="single" w:color="D1D5DB" w:sz="1"/>
              <w:right w:val="single" w:color="D1D5DB" w:sz="1"/>
            </w:tcBorders>
            <w:shd w:fill="1B4965"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don’t do</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SWIFT gpi</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Tracks payments in-flight through correspondent chains</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Observes reality. Cannot simulate. No FX dynamics. No “what-if.”</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Paragon/VirtualATM</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ATM and card transaction testing/simulation</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Card-network focused. No cross-border. No FX. No correspondent modeling.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FIS/Finastra test envs</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Sandbox environments for payment message testing</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Static mocks, not stochastic agents. No learned behavior. No multi-agent dynamics.</w:t>
            </w:r>
          </w:p>
        </w:tc>
      </w:tr>
      <w:tr>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74151"/>
                <w:sz w:val="20"/>
                <w:szCs w:val="20"/>
                <w:shd w:val="clear" w:fill="auto"/>
              </w:rPr>
              <w:t xml:space="preserve">BIS Project Rialto</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Central bank cross-border payment experiments</w:t>
            </w:r>
          </w:p>
        </w:tc>
        <w:tc>
          <w:tcPr>
            <w:tcW w:type="dxa" w:w="3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74151"/>
                <w:sz w:val="20"/>
                <w:szCs w:val="20"/>
                <w:shd w:val="clear" w:fill="auto"/>
              </w:rPr>
              <w:t xml:space="preserve">Research/PoC. Not a commercial product. Focused on new rails, not existing ones.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PaySphere</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Full lifecycle stochastic simulation with learned agents, FX dynamics, and temporal awareness</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This is the product that doesn’t exist yet.</w:t>
            </w:r>
          </w:p>
        </w:tc>
      </w:tr>
    </w:tbl>
    <w:p>
      <w:pPr>
        <w:spacing w:after="200"/>
      </w:pPr>
      <w:r>
        <w:rPr>
          <w:rFonts w:ascii="Arial" w:cs="Arial" w:eastAsia="Arial" w:hAnsi="Arial"/>
          <w:color w:val="374151"/>
          <w:sz w:val="22"/>
          <w:szCs w:val="22"/>
        </w:rPr>
        <w:t xml:space="preserve"/>
      </w:r>
    </w:p>
    <w:p>
      <w:pPr>
        <w:pBdr>
          <w:bottom w:val="single" w:color="E5E7EB" w:sz="2" w:space="8"/>
        </w:pBdr>
        <w:spacing w:before="300" w:after="300"/>
      </w:pPr>
    </w:p>
    <w:p>
      <w:pPr>
        <w:pStyle w:val="Heading1"/>
      </w:pPr>
      <w:r>
        <w:t xml:space="preserve">Implementation roadmap</w:t>
      </w:r>
    </w:p>
    <w:p>
      <w:pPr>
        <w:pStyle w:val="Heading2"/>
      </w:pPr>
      <w:r>
        <w:t xml:space="preserve">Phase 1: Single-corridor proof of concept (months 1–3)</w:t>
      </w:r>
    </w:p>
    <w:p>
      <w:pPr>
        <w:pStyle w:val="ListParagraph"/>
        <w:numPr>
          <w:ilvl w:val="0"/>
          <w:numId w:val="2"/>
        </w:numPr>
        <w:spacing w:after="120"/>
      </w:pPr>
      <w:r>
        <w:rPr>
          <w:rFonts w:ascii="Arial" w:cs="Arial" w:eastAsia="Arial" w:hAnsi="Arial"/>
          <w:color w:val="374151"/>
          <w:sz w:val="22"/>
          <w:szCs w:val="22"/>
        </w:rPr>
        <w:t xml:space="preserve">Build FX simulator for EUR/USD + GBP/USD</w:t>
      </w:r>
    </w:p>
    <w:p>
      <w:pPr>
        <w:pStyle w:val="ListParagraph"/>
        <w:numPr>
          <w:ilvl w:val="0"/>
          <w:numId w:val="2"/>
        </w:numPr>
        <w:spacing w:after="120"/>
      </w:pPr>
      <w:r>
        <w:rPr>
          <w:rFonts w:ascii="Arial" w:cs="Arial" w:eastAsia="Arial" w:hAnsi="Arial"/>
          <w:color w:val="374151"/>
          <w:sz w:val="22"/>
          <w:szCs w:val="22"/>
        </w:rPr>
        <w:t xml:space="preserve">Build correspondent agent for one major EUR correspondent (e.g., Deutsche Bank)</w:t>
      </w:r>
    </w:p>
    <w:p>
      <w:pPr>
        <w:pStyle w:val="ListParagraph"/>
        <w:numPr>
          <w:ilvl w:val="0"/>
          <w:numId w:val="2"/>
        </w:numPr>
        <w:spacing w:after="120"/>
      </w:pPr>
      <w:r>
        <w:rPr>
          <w:rFonts w:ascii="Arial" w:cs="Arial" w:eastAsia="Arial" w:hAnsi="Arial"/>
          <w:color w:val="374151"/>
          <w:sz w:val="22"/>
          <w:szCs w:val="22"/>
        </w:rPr>
        <w:t xml:space="preserve">Build TARGET2 + SEPA clearing simulator</w:t>
      </w:r>
    </w:p>
    <w:p>
      <w:pPr>
        <w:pStyle w:val="ListParagraph"/>
        <w:numPr>
          <w:ilvl w:val="0"/>
          <w:numId w:val="2"/>
        </w:numPr>
        <w:spacing w:after="120"/>
      </w:pPr>
      <w:r>
        <w:rPr>
          <w:rFonts w:ascii="Arial" w:cs="Arial" w:eastAsia="Arial" w:hAnsi="Arial"/>
          <w:color w:val="374151"/>
          <w:sz w:val="22"/>
          <w:szCs w:val="22"/>
        </w:rPr>
        <w:t xml:space="preserve">Integrate with one bank’s payment platform (your own) at the FX and clearing boundaries</w:t>
      </w:r>
    </w:p>
    <w:p>
      <w:pPr>
        <w:pStyle w:val="ListParagraph"/>
        <w:numPr>
          <w:ilvl w:val="0"/>
          <w:numId w:val="2"/>
        </w:numPr>
        <w:spacing w:after="120"/>
      </w:pPr>
      <w:r>
        <w:rPr>
          <w:rFonts w:ascii="Arial" w:cs="Arial" w:eastAsia="Arial" w:hAnsi="Arial"/>
          <w:color w:val="374151"/>
          <w:sz w:val="22"/>
          <w:szCs w:val="22"/>
        </w:rPr>
        <w:t xml:space="preserve">Run 10,000 simulated EUR payouts. Validate settlement time distribution against real historical data.</w:t>
      </w:r>
    </w:p>
    <w:p>
      <w:pPr>
        <w:pStyle w:val="ListParagraph"/>
        <w:numPr>
          <w:ilvl w:val="0"/>
          <w:numId w:val="2"/>
        </w:numPr>
        <w:spacing w:after="120"/>
      </w:pPr>
      <w:r>
        <w:rPr>
          <w:rFonts w:ascii="Arial" w:cs="Arial" w:eastAsia="Arial" w:hAnsi="Arial"/>
          <w:color w:val="374151"/>
          <w:sz w:val="22"/>
          <w:szCs w:val="22"/>
        </w:rPr>
        <w:t xml:space="preserve">Success metric: simulation predicts settlement day correctly for 90%+ of payments</w:t>
      </w:r>
    </w:p>
    <w:p>
      <w:pPr>
        <w:pStyle w:val="Heading2"/>
      </w:pPr>
      <w:r>
        <w:t xml:space="preserve">Phase 2: Multi-corridor expansion (months 3–6)</w:t>
      </w:r>
    </w:p>
    <w:p>
      <w:pPr>
        <w:pStyle w:val="ListParagraph"/>
        <w:numPr>
          <w:ilvl w:val="0"/>
          <w:numId w:val="2"/>
        </w:numPr>
        <w:spacing w:after="120"/>
      </w:pPr>
      <w:r>
        <w:rPr>
          <w:rFonts w:ascii="Arial" w:cs="Arial" w:eastAsia="Arial" w:hAnsi="Arial"/>
          <w:color w:val="374151"/>
          <w:sz w:val="22"/>
          <w:szCs w:val="22"/>
        </w:rPr>
        <w:t xml:space="preserve">Add LATAM corridor (USD/BRL, PIX/SPEI clearing, Brazilian correspondent)</w:t>
      </w:r>
    </w:p>
    <w:p>
      <w:pPr>
        <w:pStyle w:val="ListParagraph"/>
        <w:numPr>
          <w:ilvl w:val="0"/>
          <w:numId w:val="2"/>
        </w:numPr>
        <w:spacing w:after="120"/>
      </w:pPr>
      <w:r>
        <w:rPr>
          <w:rFonts w:ascii="Arial" w:cs="Arial" w:eastAsia="Arial" w:hAnsi="Arial"/>
          <w:color w:val="374151"/>
          <w:sz w:val="22"/>
          <w:szCs w:val="22"/>
        </w:rPr>
        <w:t xml:space="preserve">Add APAC corridor (USD/JPY, BOJ-NET clearing, Japanese correspondent)</w:t>
      </w:r>
    </w:p>
    <w:p>
      <w:pPr>
        <w:pStyle w:val="ListParagraph"/>
        <w:numPr>
          <w:ilvl w:val="0"/>
          <w:numId w:val="2"/>
        </w:numPr>
        <w:spacing w:after="120"/>
      </w:pPr>
      <w:r>
        <w:rPr>
          <w:rFonts w:ascii="Arial" w:cs="Arial" w:eastAsia="Arial" w:hAnsi="Arial"/>
          <w:color w:val="374151"/>
          <w:sz w:val="22"/>
          <w:szCs w:val="22"/>
        </w:rPr>
        <w:t xml:space="preserve">Add NAMR domestic comparison (ACH, Wire, RTP) for mixed domestic/cross-border scenarios</w:t>
      </w:r>
    </w:p>
    <w:p>
      <w:pPr>
        <w:pStyle w:val="ListParagraph"/>
        <w:numPr>
          <w:ilvl w:val="0"/>
          <w:numId w:val="2"/>
        </w:numPr>
        <w:spacing w:after="120"/>
      </w:pPr>
      <w:r>
        <w:rPr>
          <w:rFonts w:ascii="Arial" w:cs="Arial" w:eastAsia="Arial" w:hAnsi="Arial"/>
          <w:color w:val="374151"/>
          <w:sz w:val="22"/>
          <w:szCs w:val="22"/>
        </w:rPr>
        <w:t xml:space="preserve">Deploy RL explorer on EUR corridor. Measure discovered scenarios vs. known edge cases.</w:t>
      </w:r>
    </w:p>
    <w:p>
      <w:pPr>
        <w:pStyle w:val="ListParagraph"/>
        <w:numPr>
          <w:ilvl w:val="0"/>
          <w:numId w:val="2"/>
        </w:numPr>
        <w:spacing w:after="120"/>
      </w:pPr>
      <w:r>
        <w:rPr>
          <w:rFonts w:ascii="Arial" w:cs="Arial" w:eastAsia="Arial" w:hAnsi="Arial"/>
          <w:color w:val="374151"/>
          <w:sz w:val="22"/>
          <w:szCs w:val="22"/>
        </w:rPr>
        <w:t xml:space="preserve">Success metric: RL explorer discovers at least 5 previously unknown failure scenarios</w:t>
      </w:r>
    </w:p>
    <w:p>
      <w:pPr>
        <w:pStyle w:val="Heading2"/>
      </w:pPr>
      <w:r>
        <w:t xml:space="preserve">Phase 3: Platform packaging (months 6–9)</w:t>
      </w:r>
    </w:p>
    <w:p>
      <w:pPr>
        <w:pStyle w:val="ListParagraph"/>
        <w:numPr>
          <w:ilvl w:val="0"/>
          <w:numId w:val="2"/>
        </w:numPr>
        <w:spacing w:after="120"/>
      </w:pPr>
      <w:r>
        <w:rPr>
          <w:rFonts w:ascii="Arial" w:cs="Arial" w:eastAsia="Arial" w:hAnsi="Arial"/>
          <w:color w:val="374151"/>
          <w:sz w:val="22"/>
          <w:szCs w:val="22"/>
        </w:rPr>
        <w:t xml:space="preserve">Abstract integration SDK for plug-and-play deployment at any bank</w:t>
      </w:r>
    </w:p>
    <w:p>
      <w:pPr>
        <w:pStyle w:val="ListParagraph"/>
        <w:numPr>
          <w:ilvl w:val="0"/>
          <w:numId w:val="2"/>
        </w:numPr>
        <w:spacing w:after="120"/>
      </w:pPr>
      <w:r>
        <w:rPr>
          <w:rFonts w:ascii="Arial" w:cs="Arial" w:eastAsia="Arial" w:hAnsi="Arial"/>
          <w:color w:val="374151"/>
          <w:sz w:val="22"/>
          <w:szCs w:val="22"/>
        </w:rPr>
        <w:t xml:space="preserve">Build agent training pipeline (bank feeds in their data, models train automatically)</w:t>
      </w:r>
    </w:p>
    <w:p>
      <w:pPr>
        <w:pStyle w:val="ListParagraph"/>
        <w:numPr>
          <w:ilvl w:val="0"/>
          <w:numId w:val="2"/>
        </w:numPr>
        <w:spacing w:after="120"/>
      </w:pPr>
      <w:r>
        <w:rPr>
          <w:rFonts w:ascii="Arial" w:cs="Arial" w:eastAsia="Arial" w:hAnsi="Arial"/>
          <w:color w:val="374151"/>
          <w:sz w:val="22"/>
          <w:szCs w:val="22"/>
        </w:rPr>
        <w:t xml:space="preserve">Build CI/CD plugins</w:t>
      </w:r>
    </w:p>
    <w:p>
      <w:pPr>
        <w:pStyle w:val="ListParagraph"/>
        <w:numPr>
          <w:ilvl w:val="0"/>
          <w:numId w:val="2"/>
        </w:numPr>
        <w:spacing w:after="120"/>
      </w:pPr>
      <w:r>
        <w:rPr>
          <w:rFonts w:ascii="Arial" w:cs="Arial" w:eastAsia="Arial" w:hAnsi="Arial"/>
          <w:color w:val="374151"/>
          <w:sz w:val="22"/>
          <w:szCs w:val="22"/>
        </w:rPr>
        <w:t xml:space="preserve">Build simulation reporting dashboard</w:t>
      </w:r>
    </w:p>
    <w:p>
      <w:pPr>
        <w:pStyle w:val="ListParagraph"/>
        <w:numPr>
          <w:ilvl w:val="0"/>
          <w:numId w:val="2"/>
        </w:numPr>
        <w:spacing w:after="120"/>
      </w:pPr>
      <w:r>
        <w:rPr>
          <w:rFonts w:ascii="Arial" w:cs="Arial" w:eastAsia="Arial" w:hAnsi="Arial"/>
          <w:color w:val="374151"/>
          <w:sz w:val="22"/>
          <w:szCs w:val="22"/>
        </w:rPr>
        <w:t xml:space="preserve">Pilot with one external bank partner</w:t>
      </w:r>
    </w:p>
    <w:p>
      <w:pPr>
        <w:pStyle w:val="Heading2"/>
      </w:pPr>
      <w:r>
        <w:t xml:space="preserve">Phase 4: Network flywheel (months 9–18)</w:t>
      </w:r>
    </w:p>
    <w:p>
      <w:pPr>
        <w:pStyle w:val="ListParagraph"/>
        <w:numPr>
          <w:ilvl w:val="0"/>
          <w:numId w:val="2"/>
        </w:numPr>
        <w:spacing w:after="120"/>
      </w:pPr>
      <w:r>
        <w:rPr>
          <w:rFonts w:ascii="Arial" w:cs="Arial" w:eastAsia="Arial" w:hAnsi="Arial"/>
          <w:color w:val="374151"/>
          <w:sz w:val="22"/>
          <w:szCs w:val="22"/>
        </w:rPr>
        <w:t xml:space="preserve">Onboard 3–5 bank licensees</w:t>
      </w:r>
    </w:p>
    <w:p>
      <w:pPr>
        <w:pStyle w:val="ListParagraph"/>
        <w:numPr>
          <w:ilvl w:val="0"/>
          <w:numId w:val="2"/>
        </w:numPr>
        <w:spacing w:after="120"/>
      </w:pPr>
      <w:r>
        <w:rPr>
          <w:rFonts w:ascii="Arial" w:cs="Arial" w:eastAsia="Arial" w:hAnsi="Arial"/>
          <w:color w:val="374151"/>
          <w:sz w:val="22"/>
          <w:szCs w:val="22"/>
        </w:rPr>
        <w:t xml:space="preserve">Launch anonymized cross-bank learning pipeline</w:t>
      </w:r>
    </w:p>
    <w:p>
      <w:pPr>
        <w:pStyle w:val="ListParagraph"/>
        <w:numPr>
          <w:ilvl w:val="0"/>
          <w:numId w:val="2"/>
        </w:numPr>
        <w:spacing w:after="120"/>
      </w:pPr>
      <w:r>
        <w:rPr>
          <w:rFonts w:ascii="Arial" w:cs="Arial" w:eastAsia="Arial" w:hAnsi="Arial"/>
          <w:color w:val="374151"/>
          <w:sz w:val="22"/>
          <w:szCs w:val="22"/>
        </w:rPr>
        <w:t xml:space="preserve">Expand correspondent agent library to 200+ institutions</w:t>
      </w:r>
    </w:p>
    <w:p>
      <w:pPr>
        <w:pStyle w:val="ListParagraph"/>
        <w:numPr>
          <w:ilvl w:val="0"/>
          <w:numId w:val="2"/>
        </w:numPr>
        <w:spacing w:after="120"/>
      </w:pPr>
      <w:r>
        <w:rPr>
          <w:rFonts w:ascii="Arial" w:cs="Arial" w:eastAsia="Arial" w:hAnsi="Arial"/>
          <w:color w:val="374151"/>
          <w:sz w:val="22"/>
          <w:szCs w:val="22"/>
        </w:rPr>
        <w:t xml:space="preserve">Expand clearing simulators to all major global rails</w:t>
      </w:r>
    </w:p>
    <w:p>
      <w:pPr>
        <w:pStyle w:val="ListParagraph"/>
        <w:numPr>
          <w:ilvl w:val="0"/>
          <w:numId w:val="2"/>
        </w:numPr>
        <w:spacing w:after="120"/>
      </w:pPr>
      <w:r>
        <w:rPr>
          <w:rFonts w:ascii="Arial" w:cs="Arial" w:eastAsia="Arial" w:hAnsi="Arial"/>
          <w:color w:val="374151"/>
          <w:sz w:val="22"/>
          <w:szCs w:val="22"/>
        </w:rPr>
        <w:t xml:space="preserve">Launch agent marketplace for third-party contributions</w:t>
      </w:r>
    </w:p>
    <w:p>
      <w:pPr>
        <w:pBdr>
          <w:bottom w:val="single" w:color="E5E7EB" w:sz="2" w:space="8"/>
        </w:pBdr>
        <w:spacing w:before="300" w:after="300"/>
      </w:pPr>
    </w:p>
    <w:p>
      <w:pPr>
        <w:pStyle w:val="Heading1"/>
      </w:pPr>
      <w:r>
        <w:t xml:space="preserve">The thesis</w:t>
      </w:r>
    </w:p>
    <w:p>
      <w:pPr>
        <w:spacing w:after="300"/>
      </w:pPr>
      <w:r>
        <w:rPr>
          <w:rFonts w:ascii="Arial" w:cs="Arial" w:eastAsia="Arial" w:hAnsi="Arial"/>
          <w:color w:val="0D1B2A"/>
          <w:sz w:val="24"/>
          <w:szCs w:val="24"/>
        </w:rPr>
        <w:t xml:space="preserve">Cross-border payments are the last major financial system where the industry tests components but cannot simulate the whole.</w:t>
      </w:r>
    </w:p>
    <w:p>
      <w:pPr>
        <w:spacing w:after="200"/>
      </w:pPr>
      <w:r>
        <w:rPr>
          <w:rFonts w:ascii="Arial" w:cs="Arial" w:eastAsia="Arial" w:hAnsi="Arial"/>
          <w:color w:val="374151"/>
          <w:sz w:val="22"/>
          <w:szCs w:val="22"/>
        </w:rPr>
        <w:t xml:space="preserve">A bank can unit-test its SWIFT message parser. It can integration-test its FX API. It can regression-test its clearing submission logic. But it cannot answer the question that matters most: “If I send this payment right now, what will actually happen?”</w:t>
      </w:r>
    </w:p>
    <w:p>
      <w:pPr>
        <w:spacing w:after="200"/>
      </w:pPr>
      <w:r>
        <w:rPr>
          <w:rFonts w:ascii="Arial" w:cs="Arial" w:eastAsia="Arial" w:hAnsi="Arial"/>
          <w:color w:val="374151"/>
          <w:sz w:val="22"/>
          <w:szCs w:val="22"/>
        </w:rPr>
        <w:t xml:space="preserve">PaySphere answers that question. For any payment, any corridor, any currency pair, any time of day, any day of the year. With stochastic realism, learned behavior, and the full complexity of the global payment system modeled as interacting agents.</w:t>
      </w:r>
    </w:p>
    <w:p>
      <w:pPr>
        <w:spacing w:after="200"/>
      </w:pPr>
      <w:r>
        <w:rPr>
          <w:rFonts w:ascii="Arial" w:cs="Arial" w:eastAsia="Arial" w:hAnsi="Arial"/>
          <w:color w:val="374151"/>
          <w:sz w:val="22"/>
          <w:szCs w:val="22"/>
        </w:rPr>
        <w:t xml:space="preserve">The bank that builds this first has the platform. Every other bank becomes a licensee. The network effect compounds the advantage every quarter. And the payment engineering teams that use it stop finding failures in production and start finding them in simulation — before a single real dollar moves.</w:t>
      </w:r>
    </w:p>
    <w:p>
      <w:pPr>
        <w:pBdr>
          <w:left w:val="single" w:color="0E7C6E" w:sz="12" w:space="8"/>
        </w:pBdr>
        <w:spacing w:before="200" w:after="200"/>
        <w:ind w:left="300"/>
      </w:pPr>
      <w:r>
        <w:rPr>
          <w:rFonts w:ascii="Arial" w:cs="Arial" w:eastAsia="Arial" w:hAnsi="Arial"/>
          <w:i/>
          <w:iCs/>
          <w:color w:val="0E7C6E"/>
          <w:sz w:val="22"/>
          <w:szCs w:val="22"/>
        </w:rPr>
        <w:t xml:space="preserve">PaySphere doesn’t test code. It simulates reality. That’s the difference nobody has bridged.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360"/>
      </w:tabs>
    </w:pPr>
    <w:r>
      <w:rPr>
        <w:rFonts w:ascii="Arial" w:cs="Arial" w:eastAsia="Arial" w:hAnsi="Arial"/>
        <w:color w:val="6B7280"/>
        <w:sz w:val="16"/>
        <w:szCs w:val="16"/>
      </w:rPr>
      <w:t xml:space="preserve">PaySphere  |  Product Vision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496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E7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2026-03-30T21:53:21.328Z</dcterms:created>
  <dcterms:modified xsi:type="dcterms:W3CDTF">2026-03-30T21:53:21.329Z</dcterms:modified>
</cp:coreProperties>
</file>

<file path=docProps/custom.xml><?xml version="1.0" encoding="utf-8"?>
<Properties xmlns="http://schemas.openxmlformats.org/officeDocument/2006/custom-properties" xmlns:vt="http://schemas.openxmlformats.org/officeDocument/2006/docPropsVTypes"/>
</file>