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line="276" w:lineRule="auto"/>
        <w:contextualSpacing w:val="0"/>
        <w:rPr>
          <w:rFonts w:ascii="Arial" w:cs="Arial" w:eastAsia="Arial" w:hAnsi="Arial"/>
          <w:sz w:val="22"/>
          <w:szCs w:val="22"/>
        </w:rPr>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pBdr/>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3/11/17</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8</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color w:val="222222"/>
                <w:sz w:val="19"/>
                <w:szCs w:val="19"/>
                <w:highlight w:val="white"/>
              </w:rPr>
            </w:pPr>
            <w:r w:rsidDel="00000000" w:rsidR="00000000" w:rsidRPr="00000000">
              <w:rPr>
                <w:rFonts w:ascii="Arial" w:cs="Arial" w:eastAsia="Arial" w:hAnsi="Arial"/>
                <w:rtl w:val="0"/>
              </w:rPr>
              <w:t xml:space="preserve">We met our TG professor to discuss our elevator pitch outline and also explained the developments we made on our current model. We also requested his suggestions for our business model and about any major constraints that may exist.</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07.jpg"/>
                  <a:graphic>
                    <a:graphicData uri="http://schemas.openxmlformats.org/drawingml/2006/picture">
                      <pic:pic>
                        <pic:nvPicPr>
                          <pic:cNvPr descr="kunal_signature.jpg" id="0" name="image07.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09.png"/>
                  <a:graphic>
                    <a:graphicData uri="http://schemas.openxmlformats.org/drawingml/2006/picture">
                      <pic:pic>
                        <pic:nvPicPr>
                          <pic:cNvPr descr="joseph_signature.png" id="0" name="image09.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08.png"/>
                  <a:graphic>
                    <a:graphicData uri="http://schemas.openxmlformats.org/drawingml/2006/picture">
                      <pic:pic>
                        <pic:nvPicPr>
                          <pic:cNvPr descr="scott_signature.png" id="0" name="image08.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05.jpg"/>
                  <a:graphic>
                    <a:graphicData uri="http://schemas.openxmlformats.org/drawingml/2006/picture">
                      <pic:pic>
                        <pic:nvPicPr>
                          <pic:cNvPr descr="Vijay_Signature.jpg" id="0" name="image05.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abs>
        <w:tab w:val="center" w:pos="4320"/>
        <w:tab w:val="right" w:pos="8640"/>
      </w:tabs>
      <w:spacing w:after="435"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5.jpg"/><Relationship Id="rId5" Type="http://schemas.openxmlformats.org/officeDocument/2006/relationships/image" Target="media/image07.jp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8.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