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Plan: Grid Frequency Control with 5G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aims to control the grid frequency in a simulated environment using distributed generation (DG) units and 5G communication. With the increasing penetration of renewable energy sources (RES), there is a critical need for a flexible, low-latency communication infrastructure. This project utilizes a Power-Hardware-in-the-Loop (PHIL) laboratory setup involving real-time computers and 5G communication modules to demonstrate efficient frequency control.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Splitting the Project into Tasks</w:t>
      </w:r>
    </w:p>
    <w:tbl>
      <w:tblPr>
        <w:tblStyle w:val="Table1"/>
        <w:tblW w:w="8625.0" w:type="dxa"/>
        <w:jc w:val="left"/>
        <w:tblInd w:w="-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160"/>
        <w:gridCol w:w="2160"/>
        <w:gridCol w:w="2160"/>
        <w:tblGridChange w:id="0">
          <w:tblGrid>
            <w:gridCol w:w="2145"/>
            <w:gridCol w:w="2160"/>
            <w:gridCol w:w="2160"/>
            <w:gridCol w:w="21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Subsystem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A: Familiarization &amp; Setup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Understand the demo setup including PHIL lab components, RTCs, DG units, and the Matlab/Simulink environment.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TA1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Study the PHIL lab documentation and hardware setup.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TA2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Explore the Matlab/Simulink models used for system control.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TA3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Test individual DG units and RTC integration.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B: 5G Communication Customization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Implement and validate the 5G communication interface for the demo setup.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TB1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Study the 5G module interface and configuration.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TB2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Test 5G network slicing setup for communication.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TB3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Defining the variables to be communicated from the RTCs by using topics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TB4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Test the 5g network setup after adding delay blocks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C: System Integration and Control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Integrate all components and test the overall frequency control loop.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Implement frequency control scheme across distributed RTCs.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Integrate communication and control systems.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D: Evaluation and Documentation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Analyze and compare results, and prepare documentation.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TD1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Evaluate system performance with both communication systems with and without delays in both Simulation and Hardware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TD2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Evaluate different topologies like Centralized, Localized and Distributed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TD3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Document setup, testing procedures, and findings.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TD4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Prepare final project report and presentation.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3. Task Organization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Task Ordering by Subsystem: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Subsystem A: TA1 → TA2 → TA3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Subsystem B: TB1 → TB2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Subsystem C: TC1 → TC2 → TC3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Subsystem D: TD1 (after TC3), TD2, TD3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Subsystem Dependencies: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Subsystem A &amp; B can be done in parallel.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Subsystem C depends on the completion of A and B.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Subsystem D follows Subsystem C.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4. Working Plan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TA1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Santhosh Kumar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TA2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Santhosh Kumar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TA3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Santhosh Kumar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Day 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TB1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Lubna Basha Mohammed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TB2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Lubna Basha Mohammed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Santhosh Kumar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Day 16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Day 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Santhosh Kumar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Day 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Day 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Santhosh Kumar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Day 27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Day 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TD1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Santhosh Kumar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Day 32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Day 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TD2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Lubna Basha Mohammed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Day 35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Day 37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TD3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Day 38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Day 42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Each student focuses on a primary subsystem to ensure efficiency and minimize task switching. Coordination meetings are planned at the end of each major subsystem phase to align integration and testing efforts.</w:t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Final Notes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Time buffers can be added if needed based on progress.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Integration testing is crucial and should start as soon as Subsystem C is functional.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Final presentation and report compilation span the last week.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JtyxZaMo4ktXQBuUnxn4T10Ww==">CgMxLjA4AHIhMTJMTHlXWG9XZG9veFRXalk0ZldxT2p4MHhvdDdhUXg1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