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LLM Judge Evaluation Terms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The LLM judge evaluates whether the annotator's written justification actually supports their ratings, uses real evidence from the responses, and follows sound logic.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What It Measures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How LLM Calculates 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alignment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Does the justification support the ratings given?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checks if the annotator's written explanation logically leads to their Likert score and dimension ratings. Values: aligned, partially_aligned, misaligned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factual_grounding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Are claims in the justification based on actual response content?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verifies that specific claims made in the justification (e.g., "Response B has more details") actually appear in Response A/B. Values: strong, adequate, weak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entailment_valid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 the conclusions follow from the evidence?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checks if the annotator's conclusion (e.g., "B is better") logically follows from the reasons they gave. Boolean: true/false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coherence_with_ratings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 there internal consistency?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checks if dimension scores (e.g., "A has Major Issues") are consistent with the overall Likert (e.g., "B is much better"). Flags contradictions.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reasoning_quality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 the logic sound and well-structured?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evaluates whether the annotator used clear reasoning, addressed relevant criteria, and avoided logical fallacies. Values: strong, adequate, weak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confidence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certain is the LLM about its assessment?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LLM self-reports certainty based on how much evidence was available and how clear-cut the evaluation was. Range: 0.0 to 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Overall justification quality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Weighted combination of above factors. 1.0 = perfect justification, 0.0 = completely invalid. Used in P1 score calculation.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color w:val="2E5A88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2026-01-12T10:29:41.690Z</dcterms:created>
  <dcterms:modified xsi:type="dcterms:W3CDTF">2026-01-12T10:29:41.691Z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