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25EBEDC9" w14:textId="77777777" w:rsidR="00904F37" w:rsidRDefault="00904F37" w:rsidP="00960D92">
      <w:pPr>
        <w:rPr>
          <w:rFonts w:asciiTheme="majorBidi" w:hAnsiTheme="majorBidi" w:cstheme="majorBidi"/>
          <w:b/>
          <w:bCs/>
          <w:color w:val="00B0F0"/>
          <w:shd w:val="clear" w:color="auto" w:fill="FFFFFF"/>
        </w:rPr>
      </w:pPr>
    </w:p>
    <w:p w14:paraId="48C450A6" w14:textId="4E10BEAE" w:rsidR="00960D92" w:rsidRDefault="00904F37" w:rsidP="00960D92">
      <w:pPr>
        <w:rPr>
          <w:rStyle w:val="apple-converted-space"/>
          <w:rFonts w:asciiTheme="majorBidi" w:hAnsiTheme="majorBidi" w:cstheme="majorBidi"/>
          <w:color w:val="00B0F0"/>
          <w:shd w:val="clear" w:color="auto" w:fill="FFFFFF"/>
        </w:rPr>
      </w:pPr>
      <w:r w:rsidRPr="00990BCD">
        <w:rPr>
          <w:rFonts w:asciiTheme="majorBidi" w:hAnsiTheme="majorBidi" w:cstheme="majorBidi"/>
          <w:strike/>
          <w:color w:val="00B0F0"/>
          <w:shd w:val="clear" w:color="auto" w:fill="FFFFFF"/>
        </w:rPr>
        <w:t xml:space="preserve">A) </w:t>
      </w:r>
      <w:r w:rsidR="00F51481" w:rsidRPr="00990BCD">
        <w:rPr>
          <w:rFonts w:asciiTheme="majorBidi" w:hAnsiTheme="majorBidi" w:cstheme="majorBidi"/>
          <w:strike/>
          <w:color w:val="00B0F0"/>
          <w:shd w:val="clear" w:color="auto" w:fill="FFFFFF"/>
        </w:rPr>
        <w:t>This is the right format for the LRF citation, I think</w:t>
      </w:r>
      <w:r w:rsidR="001B11D6" w:rsidRPr="00990BCD">
        <w:rPr>
          <w:rFonts w:asciiTheme="majorBidi" w:hAnsiTheme="majorBidi" w:cstheme="majorBidi"/>
          <w:strike/>
          <w:color w:val="00B0F0"/>
          <w:shd w:val="clear" w:color="auto" w:fill="FFFFFF"/>
        </w:rPr>
        <w:t>:</w:t>
      </w:r>
      <w:r w:rsidR="00F51481" w:rsidRPr="00990BCD">
        <w:rPr>
          <w:rFonts w:asciiTheme="majorBidi" w:hAnsiTheme="majorBidi" w:cstheme="majorBidi"/>
          <w:strike/>
          <w:color w:val="00B0F0"/>
          <w:shd w:val="clear" w:color="auto" w:fill="FFFFFF"/>
        </w:rPr>
        <w:t xml:space="preserve"> </w:t>
      </w:r>
      <w:r w:rsidR="00960D92" w:rsidRPr="00990BCD">
        <w:rPr>
          <w:rFonts w:asciiTheme="majorBidi" w:hAnsiTheme="majorBidi" w:cstheme="majorBidi"/>
          <w:strike/>
          <w:color w:val="00B0F0"/>
          <w:shd w:val="clear" w:color="auto" w:fill="FFFFFF"/>
        </w:rPr>
        <w:t>ASTM (2017). Standard Test Method for Luminous Reflectance Factor of Acoustical Materials by Use of Integrating-Sphere Reflectometers, Standard E1477-98</w:t>
      </w:r>
      <w:proofErr w:type="gramStart"/>
      <w:r w:rsidR="00960D92" w:rsidRPr="00990BCD">
        <w:rPr>
          <w:rFonts w:asciiTheme="majorBidi" w:hAnsiTheme="majorBidi" w:cstheme="majorBidi"/>
          <w:strike/>
          <w:color w:val="00B0F0"/>
          <w:shd w:val="clear" w:color="auto" w:fill="FFFFFF"/>
        </w:rPr>
        <w:t>A(</w:t>
      </w:r>
      <w:proofErr w:type="gramEnd"/>
      <w:r w:rsidR="00960D92" w:rsidRPr="00990BCD">
        <w:rPr>
          <w:rFonts w:asciiTheme="majorBidi" w:hAnsiTheme="majorBidi" w:cstheme="majorBidi"/>
          <w:strike/>
          <w:color w:val="00B0F0"/>
          <w:shd w:val="clear" w:color="auto" w:fill="FFFFFF"/>
        </w:rPr>
        <w:t>2017)e1, ASTM International, West Conshohocken, PA, 2017</w:t>
      </w:r>
      <w:r w:rsidR="00F51481" w:rsidRPr="00990BCD">
        <w:rPr>
          <w:rStyle w:val="apple-converted-space"/>
          <w:rFonts w:asciiTheme="majorBidi" w:hAnsiTheme="majorBidi" w:cstheme="majorBidi"/>
          <w:strike/>
          <w:color w:val="00B0F0"/>
          <w:shd w:val="clear" w:color="auto" w:fill="FFFFFF"/>
        </w:rPr>
        <w:t xml:space="preserve">, </w:t>
      </w:r>
      <w:hyperlink r:id="rId5" w:history="1">
        <w:r w:rsidR="00F208DE" w:rsidRPr="00990BCD">
          <w:rPr>
            <w:rStyle w:val="Hyperlink"/>
            <w:rFonts w:asciiTheme="majorBidi" w:hAnsiTheme="majorBidi" w:cstheme="majorBidi"/>
            <w:strike/>
            <w:shd w:val="clear" w:color="auto" w:fill="FFFFFF"/>
          </w:rPr>
          <w:t>www.astm.org</w:t>
        </w:r>
      </w:hyperlink>
      <w:r w:rsidR="00F51481" w:rsidRPr="00904F37">
        <w:rPr>
          <w:rStyle w:val="apple-converted-space"/>
          <w:rFonts w:asciiTheme="majorBidi" w:hAnsiTheme="majorBidi" w:cstheme="majorBidi"/>
          <w:color w:val="00B0F0"/>
          <w:shd w:val="clear" w:color="auto" w:fill="FFFFFF"/>
        </w:rPr>
        <w:t>.</w:t>
      </w:r>
    </w:p>
    <w:p w14:paraId="59C66A04" w14:textId="77777777" w:rsidR="00F208DE" w:rsidRDefault="00F208DE" w:rsidP="00960D92">
      <w:pPr>
        <w:rPr>
          <w:rStyle w:val="apple-converted-space"/>
          <w:rFonts w:asciiTheme="majorBidi" w:hAnsiTheme="majorBidi" w:cstheme="majorBidi"/>
          <w:color w:val="00B0F0"/>
          <w:shd w:val="clear" w:color="auto" w:fill="FFFFFF"/>
        </w:rPr>
      </w:pPr>
    </w:p>
    <w:p w14:paraId="736FEA0F" w14:textId="6C82C1BA" w:rsidR="00F208DE" w:rsidRPr="00990BCD" w:rsidRDefault="00E774F5" w:rsidP="00960D92">
      <w:pPr>
        <w:rPr>
          <w:rFonts w:asciiTheme="majorBidi" w:hAnsiTheme="majorBidi" w:cstheme="majorBidi"/>
          <w:strike/>
          <w:color w:val="00B0F0"/>
        </w:rPr>
      </w:pPr>
      <w:r w:rsidRPr="00990BCD">
        <w:rPr>
          <w:rStyle w:val="apple-converted-space"/>
          <w:rFonts w:asciiTheme="majorBidi" w:hAnsiTheme="majorBidi" w:cstheme="majorBidi"/>
          <w:strike/>
          <w:color w:val="00B0F0"/>
          <w:shd w:val="clear" w:color="auto" w:fill="FFFFFF"/>
        </w:rPr>
        <w:t>B</w:t>
      </w:r>
      <w:r w:rsidR="00F208DE" w:rsidRPr="00990BCD">
        <w:rPr>
          <w:rStyle w:val="apple-converted-space"/>
          <w:rFonts w:asciiTheme="majorBidi" w:hAnsiTheme="majorBidi" w:cstheme="majorBidi"/>
          <w:strike/>
          <w:color w:val="00B0F0"/>
          <w:shd w:val="clear" w:color="auto" w:fill="FFFFFF"/>
        </w:rPr>
        <w:t>) Change "LRV" -&gt; "LRF" in manuscript, and also "light reflectance value" -&gt; "luminous reflectance factor</w:t>
      </w:r>
      <w:proofErr w:type="gramStart"/>
      <w:r w:rsidR="00F208DE" w:rsidRPr="00990BCD">
        <w:rPr>
          <w:rStyle w:val="apple-converted-space"/>
          <w:rFonts w:asciiTheme="majorBidi" w:hAnsiTheme="majorBidi" w:cstheme="majorBidi"/>
          <w:strike/>
          <w:color w:val="00B0F0"/>
          <w:shd w:val="clear" w:color="auto" w:fill="FFFFFF"/>
        </w:rPr>
        <w:t>"</w:t>
      </w:r>
      <w:r w:rsidRPr="00990BCD">
        <w:rPr>
          <w:rStyle w:val="apple-converted-space"/>
          <w:rFonts w:asciiTheme="majorBidi" w:hAnsiTheme="majorBidi" w:cstheme="majorBidi"/>
          <w:strike/>
          <w:color w:val="00B0F0"/>
          <w:shd w:val="clear" w:color="auto" w:fill="FFFFFF"/>
        </w:rPr>
        <w:t xml:space="preserve">  I</w:t>
      </w:r>
      <w:proofErr w:type="gramEnd"/>
      <w:r w:rsidRPr="00990BCD">
        <w:rPr>
          <w:rStyle w:val="apple-converted-space"/>
          <w:rFonts w:asciiTheme="majorBidi" w:hAnsiTheme="majorBidi" w:cstheme="majorBidi"/>
          <w:strike/>
          <w:color w:val="00B0F0"/>
          <w:shd w:val="clear" w:color="auto" w:fill="FFFFFF"/>
        </w:rPr>
        <w:t xml:space="preserve"> have made and explained these changes in the response.</w:t>
      </w:r>
    </w:p>
    <w:p w14:paraId="394F62EF" w14:textId="77777777" w:rsidR="00960D92" w:rsidRPr="00904F37" w:rsidRDefault="00960D92" w:rsidP="00653297">
      <w:pPr>
        <w:jc w:val="both"/>
        <w:rPr>
          <w:rFonts w:asciiTheme="majorBidi" w:hAnsiTheme="majorBidi" w:cstheme="majorBidi"/>
          <w:color w:val="00B0F0"/>
        </w:rPr>
      </w:pPr>
    </w:p>
    <w:p w14:paraId="35932A7A" w14:textId="3B6D32EB" w:rsidR="00960D92" w:rsidRPr="00CC3D08" w:rsidRDefault="00E774F5" w:rsidP="00653297">
      <w:pPr>
        <w:jc w:val="both"/>
        <w:rPr>
          <w:rFonts w:asciiTheme="majorBidi" w:hAnsiTheme="majorBidi" w:cstheme="majorBidi"/>
          <w:strike/>
          <w:color w:val="00B0F0"/>
        </w:rPr>
      </w:pPr>
      <w:r w:rsidRPr="00CC3D08">
        <w:rPr>
          <w:rFonts w:asciiTheme="majorBidi" w:hAnsiTheme="majorBidi" w:cstheme="majorBidi"/>
          <w:strike/>
          <w:color w:val="00B0F0"/>
        </w:rPr>
        <w:t>C</w:t>
      </w:r>
      <w:r w:rsidR="00904F37" w:rsidRPr="00CC3D08">
        <w:rPr>
          <w:rFonts w:asciiTheme="majorBidi" w:hAnsiTheme="majorBidi" w:cstheme="majorBidi"/>
          <w:strike/>
          <w:color w:val="00B0F0"/>
        </w:rPr>
        <w:t xml:space="preserve">) </w:t>
      </w:r>
      <w:r w:rsidR="002F1C82" w:rsidRPr="00CC3D08">
        <w:rPr>
          <w:rFonts w:asciiTheme="majorBidi" w:hAnsiTheme="majorBidi" w:cstheme="majorBidi"/>
          <w:strike/>
          <w:color w:val="00B0F0"/>
        </w:rPr>
        <w:t>Note change of "light reflectance value (LRV)" to "luminous reflectance factor (LRF)." I am no longer sure where we came up with LRV.  LRF is what is in the reference we have.</w:t>
      </w:r>
    </w:p>
    <w:p w14:paraId="2670FDE8" w14:textId="77777777" w:rsidR="00E649DB" w:rsidRPr="00904F37" w:rsidRDefault="00E649DB" w:rsidP="00653297">
      <w:pPr>
        <w:jc w:val="both"/>
        <w:rPr>
          <w:rFonts w:asciiTheme="majorBidi" w:hAnsiTheme="majorBidi" w:cstheme="majorBidi"/>
          <w:color w:val="00B0F0"/>
        </w:rPr>
      </w:pPr>
    </w:p>
    <w:p w14:paraId="7BEEBF86" w14:textId="5046B53B" w:rsidR="00904F37" w:rsidRPr="000C07AB" w:rsidRDefault="00E774F5" w:rsidP="00653297">
      <w:pPr>
        <w:jc w:val="both"/>
        <w:rPr>
          <w:rFonts w:asciiTheme="majorBidi" w:hAnsiTheme="majorBidi" w:cstheme="majorBidi"/>
          <w:strike/>
          <w:color w:val="00B0F0"/>
          <w:lang w:bidi="he-IL"/>
        </w:rPr>
      </w:pPr>
      <w:r>
        <w:rPr>
          <w:rFonts w:asciiTheme="majorBidi" w:hAnsiTheme="majorBidi" w:cstheme="majorBidi"/>
          <w:color w:val="00B0F0"/>
        </w:rPr>
        <w:t>D</w:t>
      </w:r>
      <w:r w:rsidR="00904F37">
        <w:rPr>
          <w:rFonts w:asciiTheme="majorBidi" w:hAnsiTheme="majorBidi" w:cstheme="majorBidi"/>
          <w:color w:val="00B0F0"/>
        </w:rPr>
        <w:t xml:space="preserve">) </w:t>
      </w:r>
      <w:r w:rsidR="00904F37" w:rsidRPr="000C07AB">
        <w:rPr>
          <w:rFonts w:asciiTheme="majorBidi" w:hAnsiTheme="majorBidi" w:cstheme="majorBidi"/>
          <w:strike/>
          <w:color w:val="00B0F0"/>
        </w:rPr>
        <w:t>This "</w:t>
      </w:r>
      <w:r w:rsidR="00904F37" w:rsidRPr="000C07AB">
        <w:rPr>
          <w:rFonts w:asciiTheme="majorBidi" w:hAnsiTheme="majorBidi" w:cstheme="majorBidi"/>
          <w:strike/>
          <w:color w:val="00B0F0"/>
          <w:lang w:bidi="he-IL"/>
        </w:rPr>
        <w:t>(</w:t>
      </w:r>
      <w:proofErr w:type="gramStart"/>
      <w:r w:rsidR="00904F37" w:rsidRPr="000C07AB">
        <w:rPr>
          <w:rFonts w:asciiTheme="majorBidi" w:hAnsiTheme="majorBidi" w:cstheme="majorBidi"/>
          <w:strike/>
          <w:color w:val="00B0F0"/>
          <w:lang w:bidi="he-IL"/>
        </w:rPr>
        <w:t>http://rendertoolbox.org )</w:t>
      </w:r>
      <w:proofErr w:type="gramEnd"/>
      <w:r w:rsidR="00904F37" w:rsidRPr="000C07AB">
        <w:rPr>
          <w:rFonts w:asciiTheme="majorBidi" w:hAnsiTheme="majorBidi" w:cstheme="majorBidi"/>
          <w:strike/>
          <w:color w:val="00B0F0"/>
          <w:lang w:bidi="he-IL"/>
        </w:rPr>
        <w:t xml:space="preserve"> (</w:t>
      </w:r>
      <w:proofErr w:type="spellStart"/>
      <w:r w:rsidR="00904F37" w:rsidRPr="000C07AB">
        <w:rPr>
          <w:rFonts w:asciiTheme="majorBidi" w:hAnsiTheme="majorBidi" w:cstheme="majorBidi"/>
          <w:strike/>
          <w:color w:val="00B0F0"/>
          <w:lang w:bidi="he-IL"/>
        </w:rPr>
        <w:t>Heasly</w:t>
      </w:r>
      <w:proofErr w:type="spellEnd"/>
      <w:r w:rsidR="00904F37" w:rsidRPr="000C07AB">
        <w:rPr>
          <w:rFonts w:asciiTheme="majorBidi" w:hAnsiTheme="majorBidi" w:cstheme="majorBidi"/>
          <w:strike/>
          <w:color w:val="00B0F0"/>
          <w:lang w:bidi="he-IL"/>
        </w:rPr>
        <w:t xml:space="preserve">, </w:t>
      </w:r>
      <w:proofErr w:type="spellStart"/>
      <w:r w:rsidR="00904F37" w:rsidRPr="000C07AB">
        <w:rPr>
          <w:rFonts w:asciiTheme="majorBidi" w:hAnsiTheme="majorBidi" w:cstheme="majorBidi"/>
          <w:strike/>
          <w:color w:val="00B0F0"/>
          <w:lang w:bidi="he-IL"/>
        </w:rPr>
        <w:t>Cottaris</w:t>
      </w:r>
      <w:proofErr w:type="spellEnd"/>
      <w:r w:rsidR="00904F37" w:rsidRPr="000C07AB">
        <w:rPr>
          <w:rFonts w:asciiTheme="majorBidi" w:hAnsiTheme="majorBidi" w:cstheme="majorBidi"/>
          <w:strike/>
          <w:color w:val="00B0F0"/>
          <w:lang w:bidi="he-IL"/>
        </w:rPr>
        <w:t>, Lichtman, Xiao, &amp; Brainard , 2014 )," should read like this:</w:t>
      </w:r>
    </w:p>
    <w:p w14:paraId="0742C8F8" w14:textId="0CDF63BC" w:rsidR="00904F37" w:rsidRPr="000C07AB" w:rsidRDefault="00904F37" w:rsidP="00653297">
      <w:pPr>
        <w:jc w:val="both"/>
        <w:rPr>
          <w:rFonts w:asciiTheme="majorBidi" w:hAnsiTheme="majorBidi" w:cstheme="majorBidi"/>
          <w:strike/>
          <w:color w:val="00B0F0"/>
          <w:lang w:bidi="he-IL"/>
        </w:rPr>
      </w:pPr>
      <w:r w:rsidRPr="000C07AB">
        <w:rPr>
          <w:rFonts w:asciiTheme="majorBidi" w:hAnsiTheme="majorBidi" w:cstheme="majorBidi"/>
          <w:strike/>
          <w:color w:val="00B0F0"/>
          <w:lang w:bidi="he-IL"/>
        </w:rPr>
        <w:t>(</w:t>
      </w:r>
      <w:proofErr w:type="gramStart"/>
      <w:r w:rsidRPr="000C07AB">
        <w:rPr>
          <w:rFonts w:asciiTheme="majorBidi" w:hAnsiTheme="majorBidi" w:cstheme="majorBidi"/>
          <w:strike/>
          <w:color w:val="00B0F0"/>
          <w:lang w:bidi="he-IL"/>
        </w:rPr>
        <w:t>http://rendertoolbox.org ;</w:t>
      </w:r>
      <w:proofErr w:type="gramEnd"/>
      <w:r w:rsidRPr="000C07AB">
        <w:rPr>
          <w:rFonts w:asciiTheme="majorBidi" w:hAnsiTheme="majorBidi" w:cstheme="majorBidi"/>
          <w:strike/>
          <w:color w:val="00B0F0"/>
          <w:lang w:bidi="he-IL"/>
        </w:rPr>
        <w:t xml:space="preserve"> </w:t>
      </w:r>
      <w:proofErr w:type="spellStart"/>
      <w:r w:rsidRPr="000C07AB">
        <w:rPr>
          <w:rFonts w:asciiTheme="majorBidi" w:hAnsiTheme="majorBidi" w:cstheme="majorBidi"/>
          <w:strike/>
          <w:color w:val="00B0F0"/>
          <w:lang w:bidi="he-IL"/>
        </w:rPr>
        <w:t>Heasly</w:t>
      </w:r>
      <w:proofErr w:type="spellEnd"/>
      <w:r w:rsidRPr="000C07AB">
        <w:rPr>
          <w:rFonts w:asciiTheme="majorBidi" w:hAnsiTheme="majorBidi" w:cstheme="majorBidi"/>
          <w:strike/>
          <w:color w:val="00B0F0"/>
          <w:lang w:bidi="he-IL"/>
        </w:rPr>
        <w:t xml:space="preserve">, </w:t>
      </w:r>
      <w:proofErr w:type="spellStart"/>
      <w:r w:rsidRPr="000C07AB">
        <w:rPr>
          <w:rFonts w:asciiTheme="majorBidi" w:hAnsiTheme="majorBidi" w:cstheme="majorBidi"/>
          <w:strike/>
          <w:color w:val="00B0F0"/>
          <w:lang w:bidi="he-IL"/>
        </w:rPr>
        <w:t>Cottaris</w:t>
      </w:r>
      <w:proofErr w:type="spellEnd"/>
      <w:r w:rsidRPr="000C07AB">
        <w:rPr>
          <w:rFonts w:asciiTheme="majorBidi" w:hAnsiTheme="majorBidi" w:cstheme="majorBidi"/>
          <w:strike/>
          <w:color w:val="00B0F0"/>
          <w:lang w:bidi="he-IL"/>
        </w:rPr>
        <w:t>, Lichtman, Xiao, &amp; Brainard , 2014 )"</w:t>
      </w:r>
    </w:p>
    <w:p w14:paraId="4E677B61" w14:textId="77777777" w:rsidR="005C0FFF" w:rsidRPr="000C07AB" w:rsidRDefault="005C0FFF" w:rsidP="00653297">
      <w:pPr>
        <w:jc w:val="both"/>
        <w:rPr>
          <w:rFonts w:asciiTheme="majorBidi" w:hAnsiTheme="majorBidi" w:cstheme="majorBidi"/>
          <w:strike/>
          <w:color w:val="00B0F0"/>
          <w:lang w:bidi="he-IL"/>
        </w:rPr>
      </w:pPr>
    </w:p>
    <w:p w14:paraId="550AD385" w14:textId="4536B8C3" w:rsidR="005C0FFF" w:rsidRPr="000C07AB" w:rsidRDefault="00E774F5" w:rsidP="005C0FFF">
      <w:pPr>
        <w:autoSpaceDE w:val="0"/>
        <w:autoSpaceDN w:val="0"/>
        <w:adjustRightInd w:val="0"/>
        <w:rPr>
          <w:rFonts w:ascii="Times New Roman" w:hAnsi="Times New Roman" w:cs="Times New Roman"/>
          <w:strike/>
          <w:color w:val="00B0F0"/>
          <w:lang w:bidi="he-IL"/>
        </w:rPr>
      </w:pPr>
      <w:r>
        <w:rPr>
          <w:rFonts w:asciiTheme="majorBidi" w:hAnsiTheme="majorBidi" w:cstheme="majorBidi"/>
          <w:color w:val="00B0F0"/>
          <w:lang w:bidi="he-IL"/>
        </w:rPr>
        <w:t>E</w:t>
      </w:r>
      <w:r w:rsidR="005C0FFF" w:rsidRPr="005C0FFF">
        <w:rPr>
          <w:rFonts w:asciiTheme="majorBidi" w:hAnsiTheme="majorBidi" w:cstheme="majorBidi"/>
          <w:color w:val="00B0F0"/>
          <w:lang w:bidi="he-IL"/>
        </w:rPr>
        <w:t xml:space="preserve">) </w:t>
      </w:r>
      <w:r w:rsidR="005C0FFF" w:rsidRPr="000C07AB">
        <w:rPr>
          <w:rFonts w:asciiTheme="majorBidi" w:hAnsiTheme="majorBidi" w:cstheme="majorBidi"/>
          <w:strike/>
          <w:color w:val="00B0F0"/>
          <w:lang w:bidi="he-IL"/>
        </w:rPr>
        <w:t>This "</w:t>
      </w:r>
      <w:r w:rsidR="005C0FFF" w:rsidRPr="000C07AB">
        <w:rPr>
          <w:rFonts w:ascii="Times New Roman" w:hAnsi="Times New Roman" w:cs="Times New Roman"/>
          <w:strike/>
          <w:color w:val="00B0F0"/>
          <w:lang w:bidi="he-IL"/>
        </w:rPr>
        <w:t xml:space="preserve">(462 from the Munsell </w:t>
      </w:r>
      <w:proofErr w:type="gramStart"/>
      <w:r w:rsidR="005C0FFF" w:rsidRPr="000C07AB">
        <w:rPr>
          <w:rFonts w:ascii="Times New Roman" w:hAnsi="Times New Roman" w:cs="Times New Roman"/>
          <w:strike/>
          <w:color w:val="00B0F0"/>
          <w:lang w:bidi="he-IL"/>
        </w:rPr>
        <w:t>data  and</w:t>
      </w:r>
      <w:proofErr w:type="gramEnd"/>
      <w:r w:rsidR="005C0FFF" w:rsidRPr="000C07AB">
        <w:rPr>
          <w:rFonts w:ascii="Times New Roman" w:hAnsi="Times New Roman" w:cs="Times New Roman"/>
          <w:strike/>
          <w:color w:val="00B0F0"/>
          <w:lang w:bidi="he-IL"/>
        </w:rPr>
        <w:t xml:space="preserve"> 170 from the </w:t>
      </w:r>
      <w:proofErr w:type="spellStart"/>
      <w:r w:rsidR="005C0FFF" w:rsidRPr="000C07AB">
        <w:rPr>
          <w:rFonts w:ascii="Times New Roman" w:hAnsi="Times New Roman" w:cs="Times New Roman"/>
          <w:strike/>
          <w:color w:val="00B0F0"/>
          <w:lang w:bidi="he-IL"/>
        </w:rPr>
        <w:t>Vrhel</w:t>
      </w:r>
      <w:proofErr w:type="spellEnd"/>
      <w:r w:rsidR="005C0FFF" w:rsidRPr="000C07AB">
        <w:rPr>
          <w:rFonts w:ascii="Times New Roman" w:hAnsi="Times New Roman" w:cs="Times New Roman"/>
          <w:strike/>
          <w:color w:val="00B0F0"/>
          <w:lang w:bidi="he-IL"/>
        </w:rPr>
        <w:t xml:space="preserve"> data) (Figure 7a )." should read like this: "(462 from the Munsell data and 170 from the </w:t>
      </w:r>
      <w:proofErr w:type="spellStart"/>
      <w:r w:rsidR="005C0FFF" w:rsidRPr="000C07AB">
        <w:rPr>
          <w:rFonts w:ascii="Times New Roman" w:hAnsi="Times New Roman" w:cs="Times New Roman"/>
          <w:strike/>
          <w:color w:val="00B0F0"/>
          <w:lang w:bidi="he-IL"/>
        </w:rPr>
        <w:t>Vrhel</w:t>
      </w:r>
      <w:proofErr w:type="spellEnd"/>
      <w:r w:rsidR="005C0FFF" w:rsidRPr="000C07AB">
        <w:rPr>
          <w:rFonts w:ascii="Times New Roman" w:hAnsi="Times New Roman" w:cs="Times New Roman"/>
          <w:strike/>
          <w:color w:val="00B0F0"/>
          <w:lang w:bidi="he-IL"/>
        </w:rPr>
        <w:t xml:space="preserve"> data; Figure 7a )."</w:t>
      </w:r>
    </w:p>
    <w:p w14:paraId="35E72901" w14:textId="77777777" w:rsidR="003F313D" w:rsidRPr="000C07AB" w:rsidRDefault="003F313D" w:rsidP="005C0FFF">
      <w:pPr>
        <w:autoSpaceDE w:val="0"/>
        <w:autoSpaceDN w:val="0"/>
        <w:adjustRightInd w:val="0"/>
        <w:rPr>
          <w:rFonts w:ascii="Times New Roman" w:hAnsi="Times New Roman" w:cs="Times New Roman"/>
          <w:strike/>
          <w:color w:val="00B0F0"/>
          <w:lang w:bidi="he-IL"/>
        </w:rPr>
      </w:pPr>
    </w:p>
    <w:p w14:paraId="001CC9DC" w14:textId="686506C4" w:rsidR="003F313D" w:rsidRPr="000C07AB" w:rsidRDefault="003F313D" w:rsidP="005C0FFF">
      <w:pPr>
        <w:autoSpaceDE w:val="0"/>
        <w:autoSpaceDN w:val="0"/>
        <w:adjustRightInd w:val="0"/>
        <w:rPr>
          <w:rFonts w:ascii="Times New Roman" w:hAnsi="Times New Roman" w:cs="Times New Roman"/>
          <w:strike/>
          <w:color w:val="00B0F0"/>
          <w:lang w:bidi="he-IL"/>
        </w:rPr>
      </w:pPr>
      <w:r w:rsidRPr="000C07AB">
        <w:rPr>
          <w:rFonts w:ascii="Times New Roman" w:hAnsi="Times New Roman" w:cs="Times New Roman"/>
          <w:strike/>
          <w:color w:val="00B0F0"/>
          <w:lang w:bidi="he-IL"/>
        </w:rPr>
        <w:t xml:space="preserve">F) Add </w:t>
      </w:r>
      <w:r w:rsidR="00316261" w:rsidRPr="000C07AB">
        <w:rPr>
          <w:rFonts w:ascii="Times New Roman" w:hAnsi="Times New Roman" w:cs="Times New Roman"/>
          <w:strike/>
          <w:color w:val="00B0F0"/>
          <w:lang w:bidi="he-IL"/>
        </w:rPr>
        <w:t>ref to AMA URL to manuscript.</w:t>
      </w:r>
    </w:p>
    <w:p w14:paraId="419F263F" w14:textId="77777777" w:rsidR="0067531D" w:rsidRDefault="0067531D" w:rsidP="005C0FFF">
      <w:pPr>
        <w:autoSpaceDE w:val="0"/>
        <w:autoSpaceDN w:val="0"/>
        <w:adjustRightInd w:val="0"/>
        <w:rPr>
          <w:rFonts w:ascii="Times New Roman" w:hAnsi="Times New Roman" w:cs="Times New Roman"/>
          <w:color w:val="00B0F0"/>
          <w:lang w:bidi="he-IL"/>
        </w:rPr>
      </w:pPr>
    </w:p>
    <w:p w14:paraId="118B1BE0" w14:textId="1EC43FCF" w:rsidR="0067531D" w:rsidRDefault="0067531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G) Fix bibliography glitches noted in hard copy I'll give to you or put on your desk.</w:t>
      </w:r>
    </w:p>
    <w:p w14:paraId="69D0B081" w14:textId="06102992" w:rsidR="00CC3D08" w:rsidRDefault="00CC3D08" w:rsidP="005C0FFF">
      <w:pPr>
        <w:autoSpaceDE w:val="0"/>
        <w:autoSpaceDN w:val="0"/>
        <w:adjustRightInd w:val="0"/>
        <w:rPr>
          <w:rFonts w:ascii="Times New Roman" w:hAnsi="Times New Roman" w:cs="Times New Roman"/>
          <w:color w:val="00B0F0"/>
          <w:lang w:bidi="he-IL"/>
        </w:rPr>
      </w:pPr>
    </w:p>
    <w:p w14:paraId="35177E50" w14:textId="273BDF7E" w:rsidR="00CC3D08" w:rsidRPr="005C0FFF" w:rsidRDefault="00CC3D08" w:rsidP="005C0FFF">
      <w:pPr>
        <w:autoSpaceDE w:val="0"/>
        <w:autoSpaceDN w:val="0"/>
        <w:adjustRightInd w:val="0"/>
        <w:rPr>
          <w:rFonts w:asciiTheme="majorBidi" w:hAnsiTheme="majorBidi" w:cstheme="majorBidi"/>
          <w:color w:val="00B0F0"/>
          <w:lang w:bidi="he-IL"/>
        </w:rPr>
      </w:pPr>
      <w:r>
        <w:rPr>
          <w:rFonts w:ascii="Times New Roman" w:hAnsi="Times New Roman" w:cs="Times New Roman"/>
          <w:color w:val="00B0F0"/>
          <w:lang w:bidi="he-IL"/>
        </w:rPr>
        <w:t>F) Change labels in figures to LRF</w:t>
      </w:r>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098A74B3" w14:textId="2EEFB82A" w:rsidR="002D3D12" w:rsidRPr="009F7F85" w:rsidRDefault="002D3D12" w:rsidP="00D07848">
      <w:pPr>
        <w:jc w:val="both"/>
        <w:rPr>
          <w:rFonts w:asciiTheme="majorBidi" w:hAnsiTheme="majorBidi" w:cstheme="majorBidi"/>
          <w:color w:val="00B050"/>
        </w:rPr>
      </w:pPr>
      <w:r w:rsidRPr="009F7F85">
        <w:rPr>
          <w:rFonts w:asciiTheme="majorBidi" w:hAnsiTheme="majorBidi" w:cstheme="majorBidi"/>
          <w:color w:val="00B050"/>
        </w:rPr>
        <w:t>% Text that awaits finalization and then insertion into the manuscript in green. Will make red.</w:t>
      </w:r>
    </w:p>
    <w:p w14:paraId="5993EB8C" w14:textId="761ACA82" w:rsidR="002D3D12" w:rsidRPr="009F7F85" w:rsidRDefault="002D3D12" w:rsidP="00D07848">
      <w:pPr>
        <w:jc w:val="both"/>
        <w:rPr>
          <w:rFonts w:asciiTheme="majorBidi" w:hAnsiTheme="majorBidi" w:cstheme="majorBidi"/>
          <w:color w:val="FF0000"/>
        </w:rPr>
      </w:pPr>
      <w:r w:rsidRPr="009F7F85">
        <w:rPr>
          <w:rFonts w:asciiTheme="majorBidi" w:hAnsiTheme="majorBidi" w:cstheme="majorBidi"/>
          <w:color w:val="FF0000"/>
        </w:rPr>
        <w:t xml:space="preserve">% </w:t>
      </w:r>
      <w:r w:rsidRPr="009F7F85">
        <w:rPr>
          <w:rFonts w:asciiTheme="majorBidi" w:hAnsiTheme="majorBidi" w:cstheme="majorBidi"/>
          <w:color w:val="FF0000"/>
          <w:highlight w:val="yellow"/>
        </w:rPr>
        <w:t>Highlighted text needs filling in and/or insertion into manuscript</w:t>
      </w:r>
      <w:r w:rsidR="00316892" w:rsidRPr="009F7F85">
        <w:rPr>
          <w:rFonts w:asciiTheme="majorBidi" w:hAnsiTheme="majorBidi" w:cstheme="majorBidi"/>
          <w:color w:val="FF0000"/>
          <w:highlight w:val="yellow"/>
        </w:rPr>
        <w:t xml:space="preserve">, as well as references ready to be added to </w:t>
      </w:r>
      <w:proofErr w:type="spellStart"/>
      <w:r w:rsidR="00316892" w:rsidRPr="009F7F85">
        <w:rPr>
          <w:rFonts w:asciiTheme="majorBidi" w:hAnsiTheme="majorBidi" w:cstheme="majorBidi"/>
          <w:color w:val="FF0000"/>
          <w:highlight w:val="yellow"/>
        </w:rPr>
        <w:t>bibtex</w:t>
      </w:r>
      <w:proofErr w:type="spellEnd"/>
      <w:r w:rsidR="00316892" w:rsidRPr="009F7F85">
        <w:rPr>
          <w:rFonts w:asciiTheme="majorBidi" w:hAnsiTheme="majorBidi" w:cstheme="majorBidi"/>
          <w:color w:val="FF0000"/>
          <w:highlight w:val="yellow"/>
        </w:rPr>
        <w:t>.</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w:t>
      </w:r>
      <w:r w:rsidR="00AA40D4" w:rsidRPr="009F7F85">
        <w:rPr>
          <w:rFonts w:asciiTheme="majorBidi" w:hAnsiTheme="majorBidi" w:cstheme="majorBidi"/>
        </w:rPr>
        <w:lastRenderedPageBreak/>
        <w:t xml:space="preserve">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F1C8E1"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w:t>
      </w:r>
      <w:r w:rsidRPr="009F7F85">
        <w:rPr>
          <w:rFonts w:asciiTheme="majorBidi" w:hAnsiTheme="majorBidi" w:cstheme="majorBidi"/>
        </w:rPr>
        <w:lastRenderedPageBreak/>
        <w:t xml:space="preserve">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w:t>
      </w:r>
      <w:proofErr w:type="gramStart"/>
      <w:r w:rsidR="00C245B3">
        <w:rPr>
          <w:rFonts w:asciiTheme="majorBidi" w:hAnsiTheme="majorBidi" w:cstheme="majorBidi"/>
          <w:color w:val="FF0000"/>
        </w:rPr>
        <w:t>clear, and</w:t>
      </w:r>
      <w:proofErr w:type="gramEnd"/>
      <w:r w:rsidR="00C245B3">
        <w:rPr>
          <w:rFonts w:asciiTheme="majorBidi" w:hAnsiTheme="majorBidi" w:cstheme="majorBidi"/>
          <w:color w:val="FF0000"/>
        </w:rPr>
        <w:t xml:space="preserve">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 xml:space="preserve">All surfaces in the scene model were matte and did not have </w:t>
      </w:r>
      <w:proofErr w:type="spellStart"/>
      <w:r w:rsidRPr="00506DA6">
        <w:rPr>
          <w:rFonts w:asciiTheme="majorBidi" w:hAnsiTheme="majorBidi" w:cstheme="majorBidi"/>
          <w:color w:val="FF0000"/>
        </w:rPr>
        <w:t>specularities</w:t>
      </w:r>
      <w:proofErr w:type="spellEnd"/>
      <w:r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496781E"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lastRenderedPageBreak/>
        <w:t xml:space="preserve">Our rendering software allows us to compare the effect of background surface </w:t>
      </w:r>
      <w:proofErr w:type="spellStart"/>
      <w:r w:rsidRPr="00506DA6">
        <w:rPr>
          <w:rFonts w:asciiTheme="majorBidi" w:hAnsiTheme="majorBidi" w:cstheme="majorBidi"/>
          <w:color w:val="FF0000"/>
        </w:rPr>
        <w:t>reflectances</w:t>
      </w:r>
      <w:proofErr w:type="spellEnd"/>
      <w:r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0E80EC45"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C87A98">
        <w:rPr>
          <w:rFonts w:asciiTheme="majorBidi" w:hAnsiTheme="majorBidi" w:cstheme="majorBidi"/>
          <w:color w:val="FF0000"/>
        </w:rPr>
        <w:t>9</w:t>
      </w:r>
      <w:r w:rsidRPr="009F7F85">
        <w:rPr>
          <w:rFonts w:asciiTheme="majorBidi" w:hAnsiTheme="majorBidi" w:cstheme="majorBidi"/>
          <w:color w:val="FF0000"/>
        </w:rPr>
        <w:t>):</w:t>
      </w:r>
    </w:p>
    <w:p w14:paraId="75F06F01" w14:textId="12DD6AC0"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Pr="00506DA6">
        <w:rPr>
          <w:rFonts w:asciiTheme="majorBidi" w:hAnsiTheme="majorBidi" w:cstheme="majorBidi"/>
          <w:color w:val="FF0000"/>
        </w:rPr>
        <w:t xml:space="preserve"> through 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Pr="00506DA6">
        <w:rPr>
          <w:rFonts w:asciiTheme="majorBidi" w:hAnsiTheme="majorBidi" w:cstheme="majorBidi"/>
          <w:color w:val="FF0000"/>
        </w:rPr>
        <w:t>.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commentRangeStart w:id="0"/>
      <w:r w:rsidRPr="009F7F85">
        <w:rPr>
          <w:rFonts w:asciiTheme="majorBidi" w:hAnsiTheme="majorBidi" w:cstheme="majorBidi"/>
          <w:color w:val="FF0000"/>
        </w:rPr>
        <w:t xml:space="preserve">Sorry for the confusion. </w:t>
      </w:r>
      <w:commentRangeEnd w:id="0"/>
      <w:r w:rsidR="00104AAB" w:rsidRPr="009F7F85">
        <w:rPr>
          <w:rStyle w:val="CommentReference"/>
          <w:rFonts w:asciiTheme="majorBidi" w:hAnsiTheme="majorBidi" w:cstheme="majorBidi"/>
          <w:sz w:val="24"/>
          <w:szCs w:val="24"/>
        </w:rPr>
        <w:commentReference w:id="0"/>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commentRangeStart w:id="1"/>
      <w:r w:rsidR="00D5528C" w:rsidRPr="009F7F85">
        <w:rPr>
          <w:rFonts w:asciiTheme="majorBidi" w:hAnsiTheme="majorBidi" w:cstheme="majorBidi"/>
          <w:color w:val="FF0000"/>
        </w:rPr>
        <w:t>Line</w:t>
      </w:r>
      <w:commentRangeEnd w:id="1"/>
      <w:r w:rsidR="00AF76A2" w:rsidRPr="009F7F85">
        <w:rPr>
          <w:rStyle w:val="CommentReference"/>
          <w:rFonts w:asciiTheme="majorBidi" w:hAnsiTheme="majorBidi" w:cstheme="majorBidi"/>
          <w:sz w:val="24"/>
          <w:szCs w:val="24"/>
        </w:rPr>
        <w:commentReference w:id="1"/>
      </w:r>
      <w:r w:rsidR="00D5528C" w:rsidRPr="009F7F85">
        <w:rPr>
          <w:rFonts w:asciiTheme="majorBidi" w:hAnsiTheme="majorBidi" w:cstheme="majorBidi"/>
          <w:color w:val="FF0000"/>
        </w:rPr>
        <w:t xml:space="preserv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26B99992"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We also </w:t>
      </w:r>
      <w:r w:rsidRPr="00506DA6">
        <w:rPr>
          <w:rFonts w:asciiTheme="majorBidi" w:hAnsiTheme="majorBidi" w:cstheme="majorBidi"/>
          <w:color w:val="FF0000"/>
        </w:rPr>
        <w:t xml:space="preserve">assumed that receptive field responses were corrupted by scaled Gaussian noise (i.e. Poisson-like noise with a </w:t>
      </w:r>
      <w:proofErr w:type="spellStart"/>
      <w:r w:rsidRPr="00506DA6">
        <w:rPr>
          <w:rFonts w:asciiTheme="majorBidi" w:hAnsiTheme="majorBidi" w:cstheme="majorBidi"/>
          <w:color w:val="FF0000"/>
        </w:rPr>
        <w:t>fano</w:t>
      </w:r>
      <w:proofErr w:type="spellEnd"/>
      <w:r w:rsidRPr="00506DA6">
        <w:rPr>
          <w:rFonts w:asciiTheme="majorBidi" w:hAnsiTheme="majorBidi" w:cstheme="majorBidi"/>
          <w:color w:val="FF0000"/>
        </w:rPr>
        <w:t xml:space="preserve">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w:t>
      </w:r>
      <w:proofErr w:type="gramStart"/>
      <w:r w:rsidR="00AF76A2" w:rsidRPr="009F7F85">
        <w:rPr>
          <w:rFonts w:asciiTheme="majorBidi" w:hAnsiTheme="majorBidi" w:cstheme="majorBidi"/>
          <w:color w:val="FF0000"/>
        </w:rPr>
        <w:t>used, and</w:t>
      </w:r>
      <w:proofErr w:type="gramEnd"/>
      <w:r w:rsidR="00AF76A2" w:rsidRPr="009F7F85">
        <w:rPr>
          <w:rFonts w:asciiTheme="majorBidi" w:hAnsiTheme="majorBidi" w:cstheme="majorBidi"/>
          <w:color w:val="FF0000"/>
        </w:rPr>
        <w:t xml:space="preserve">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2"/>
      <w:commentRangeStart w:id="3"/>
      <w:r w:rsidR="00B260DD" w:rsidRPr="009F7F85">
        <w:rPr>
          <w:rFonts w:asciiTheme="majorBidi" w:hAnsiTheme="majorBidi" w:cstheme="majorBidi"/>
          <w:color w:val="FF0000"/>
        </w:rPr>
        <w:t>Line</w:t>
      </w:r>
      <w:commentRangeEnd w:id="2"/>
      <w:r w:rsidR="009A2218" w:rsidRPr="009F7F85">
        <w:rPr>
          <w:rStyle w:val="CommentReference"/>
          <w:rFonts w:asciiTheme="majorBidi" w:hAnsiTheme="majorBidi" w:cstheme="majorBidi"/>
          <w:sz w:val="24"/>
          <w:szCs w:val="24"/>
        </w:rPr>
        <w:commentReference w:id="2"/>
      </w:r>
      <w:commentRangeEnd w:id="3"/>
      <w:r w:rsidR="003F7E3C">
        <w:rPr>
          <w:rStyle w:val="CommentReference"/>
        </w:rPr>
        <w:commentReference w:id="3"/>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005A5DE"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w:t>
      </w:r>
      <w:proofErr w:type="gramStart"/>
      <w:r w:rsidR="00C97C37" w:rsidRPr="00506DA6">
        <w:rPr>
          <w:rFonts w:asciiTheme="majorBidi" w:hAnsiTheme="majorBidi" w:cstheme="majorBidi"/>
          <w:color w:val="FF0000"/>
        </w:rPr>
        <w:t>51  pixels</w:t>
      </w:r>
      <w:proofErr w:type="gramEnd"/>
      <w:r w:rsidR="00C97C37" w:rsidRPr="00506DA6">
        <w:rPr>
          <w:rFonts w:asciiTheme="majorBidi" w:hAnsiTheme="majorBidi" w:cstheme="majorBidi"/>
          <w:color w:val="FF0000"/>
        </w:rPr>
        <w:t xml:space="preserve">;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5201FBA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378</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w:t>
      </w:r>
      <w:proofErr w:type="gramStart"/>
      <w:r w:rsidR="00BD68DB" w:rsidRPr="00506DA6">
        <w:rPr>
          <w:rFonts w:asciiTheme="majorBidi" w:hAnsiTheme="majorBidi" w:cstheme="majorBidi"/>
          <w:color w:val="FF0000"/>
        </w:rPr>
        <w:t xml:space="preserve">regions, </w:t>
      </w:r>
      <w:r w:rsidR="00E12FAB" w:rsidRPr="00506DA6">
        <w:rPr>
          <w:rFonts w:asciiTheme="majorBidi" w:hAnsiTheme="majorBidi" w:cstheme="majorBidi"/>
          <w:color w:val="FF0000"/>
        </w:rPr>
        <w:t>and</w:t>
      </w:r>
      <w:proofErr w:type="gramEnd"/>
      <w:r w:rsidR="00E12FAB" w:rsidRPr="00506DA6">
        <w:rPr>
          <w:rFonts w:asciiTheme="majorBidi" w:hAnsiTheme="majorBidi" w:cstheme="majorBidi"/>
          <w:color w:val="FF0000"/>
        </w:rPr>
        <w:t xml:space="preserve">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 xml:space="preserve">we can't define naturalistic </w:t>
      </w:r>
      <w:proofErr w:type="gramStart"/>
      <w:r w:rsidR="001F07E0" w:rsidRPr="009F7F85">
        <w:rPr>
          <w:rFonts w:asciiTheme="majorBidi" w:hAnsiTheme="majorBidi" w:cstheme="majorBidi"/>
          <w:color w:val="FF0000"/>
        </w:rPr>
        <w:t>precisely</w:t>
      </w:r>
      <w:proofErr w:type="gramEnd"/>
      <w:r w:rsidR="001F07E0" w:rsidRPr="009F7F85">
        <w:rPr>
          <w:rFonts w:asciiTheme="majorBidi" w:hAnsiTheme="majorBidi" w:cstheme="majorBidi"/>
          <w:color w:val="FF0000"/>
        </w:rPr>
        <w:t xml:space="preserve"> but we know it when we see it.</w:t>
      </w:r>
      <w:r>
        <w:rPr>
          <w:rFonts w:asciiTheme="majorBidi" w:hAnsiTheme="majorBidi" w:cstheme="majorBidi"/>
          <w:color w:val="FF0000"/>
        </w:rPr>
        <w:t xml:space="preserve">" Indeed, we don't have a sharp </w:t>
      </w:r>
      <w:r>
        <w:rPr>
          <w:rFonts w:asciiTheme="majorBidi" w:hAnsiTheme="majorBidi" w:cstheme="majorBidi"/>
          <w:color w:val="FF0000"/>
        </w:rPr>
        <w:lastRenderedPageBreak/>
        <w:t>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243B453"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7375BE1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C409C7">
        <w:rPr>
          <w:rFonts w:asciiTheme="majorBidi" w:hAnsiTheme="majorBidi" w:cstheme="majorBidi"/>
          <w:color w:val="FF0000"/>
        </w:rPr>
        <w:t>4</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51DFEC77"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 xml:space="preserve">An </w:t>
      </w:r>
      <w:r w:rsidR="00C245B3">
        <w:rPr>
          <w:rFonts w:asciiTheme="majorBidi" w:hAnsiTheme="majorBidi" w:cstheme="majorBidi"/>
          <w:color w:val="FF0000"/>
        </w:rPr>
        <w:t>LRF</w:t>
      </w:r>
      <w:r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79E03F82"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28C42E78"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The receptive fields contain both positive and negative values.  Responses can be positive or negative.  That is, we are not modeling the spike rates of real neurons, only the information carried by linear receptive fields.  This information would not change if we added constant offset to make all of the values positive.</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w:t>
      </w:r>
      <w:r w:rsidRPr="009F7F85">
        <w:rPr>
          <w:rFonts w:asciiTheme="majorBidi" w:hAnsiTheme="majorBidi" w:cstheme="majorBidi"/>
        </w:rPr>
        <w:lastRenderedPageBreak/>
        <w:t>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w:t>
      </w:r>
      <w:proofErr w:type="gramStart"/>
      <w:r w:rsidRPr="009F7F85">
        <w:rPr>
          <w:rFonts w:asciiTheme="majorBidi" w:hAnsiTheme="majorBidi" w:cstheme="majorBidi"/>
        </w:rPr>
        <w:t>to improve</w:t>
      </w:r>
      <w:proofErr w:type="gramEnd"/>
      <w:r w:rsidRPr="009F7F85">
        <w:rPr>
          <w:rFonts w:asciiTheme="majorBidi" w:hAnsiTheme="majorBidi" w:cstheme="majorBidi"/>
        </w:rPr>
        <w:t xml:space="preser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10736D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A3313">
        <w:rPr>
          <w:rFonts w:asciiTheme="majorBidi" w:hAnsiTheme="majorBidi" w:cstheme="majorBidi"/>
          <w:color w:val="FF0000"/>
        </w:rPr>
        <w:t>7</w:t>
      </w:r>
      <w:r w:rsidRPr="009F7F85">
        <w:rPr>
          <w:rFonts w:asciiTheme="majorBidi" w:hAnsiTheme="majorBidi" w:cstheme="majorBidi"/>
          <w:color w:val="FF0000"/>
        </w:rPr>
        <w:t>):</w:t>
      </w:r>
    </w:p>
    <w:p w14:paraId="2D7E1C5B" w14:textId="3B548BF7"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Pr="00506DA6">
        <w:rPr>
          <w:rFonts w:asciiTheme="majorBidi" w:hAnsiTheme="majorBidi" w:cstheme="majorBidi"/>
          <w:color w:val="FF0000"/>
        </w:rPr>
        <w:t xml:space="preserve"> (</w:t>
      </w:r>
      <w:r w:rsidR="00C245B3">
        <w:rPr>
          <w:rFonts w:asciiTheme="majorBidi" w:hAnsiTheme="majorBidi" w:cstheme="majorBidi"/>
          <w:color w:val="FF0000"/>
        </w:rPr>
        <w:t>LRF</w:t>
      </w:r>
      <w:r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 </w:t>
      </w:r>
      <w:commentRangeStart w:id="4"/>
      <w:r w:rsidR="007F361C" w:rsidRPr="00506DA6">
        <w:rPr>
          <w:rFonts w:asciiTheme="majorBidi" w:hAnsiTheme="majorBidi" w:cstheme="majorBidi"/>
          <w:color w:val="FF0000"/>
        </w:rPr>
        <w:t xml:space="preserve">luminance </w:t>
      </w:r>
      <w:commentRangeEnd w:id="4"/>
      <w:r w:rsidR="00C3281C" w:rsidRPr="00506DA6">
        <w:rPr>
          <w:rStyle w:val="CommentReference"/>
          <w:rFonts w:asciiTheme="minorHAnsi" w:eastAsiaTheme="minorHAnsi" w:hAnsiTheme="minorHAnsi" w:cstheme="minorBidi"/>
          <w:iCs w:val="0"/>
          <w:color w:val="FF0000"/>
          <w:lang w:bidi="ar-SA"/>
        </w:rPr>
        <w:commentReference w:id="4"/>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42C353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proofErr w:type="gramStart"/>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w:t>
      </w:r>
      <w:proofErr w:type="gramEnd"/>
      <w:r w:rsidRPr="009F7F85">
        <w:rPr>
          <w:rFonts w:asciiTheme="majorBidi" w:hAnsiTheme="majorBidi" w:cstheme="majorBidi"/>
          <w:color w:val="FF0000"/>
        </w:rPr>
        <w:t xml:space="preserve">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4FC940C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w:t>
      </w:r>
      <w:r w:rsidRPr="00506DA6">
        <w:rPr>
          <w:rStyle w:val="Emphasis"/>
          <w:rFonts w:asciiTheme="majorBidi" w:hAnsiTheme="majorBidi" w:cstheme="majorBidi"/>
          <w:i w:val="0"/>
          <w:iCs/>
          <w:color w:val="FF0000"/>
        </w:rPr>
        <w:lastRenderedPageBreak/>
        <w:t xml:space="preserve">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506DA6">
        <w:rPr>
          <w:rStyle w:val="Emphasis"/>
          <w:rFonts w:asciiTheme="majorBidi" w:hAnsiTheme="majorBidi" w:cstheme="majorBidi"/>
          <w:i w:val="0"/>
          <w:iCs/>
          <w:color w:val="FF0000"/>
        </w:rPr>
        <w:t>Shevell</w:t>
      </w:r>
      <w:proofErr w:type="spellEnd"/>
      <w:r w:rsidRPr="00506DA6">
        <w:rPr>
          <w:rStyle w:val="Emphasis"/>
          <w:rFonts w:asciiTheme="majorBidi" w:hAnsiTheme="majorBidi" w:cstheme="majorBidi"/>
          <w:i w:val="0"/>
          <w:iCs/>
          <w:color w:val="FF0000"/>
        </w:rPr>
        <w:t xml:space="preserve">, 2002; Todd et al., 2004; Snyder et al., 2005; </w:t>
      </w:r>
      <w:proofErr w:type="spellStart"/>
      <w:r w:rsidRPr="00506DA6">
        <w:rPr>
          <w:rStyle w:val="Emphasis"/>
          <w:rFonts w:asciiTheme="majorBidi" w:hAnsiTheme="majorBidi" w:cstheme="majorBidi"/>
          <w:i w:val="0"/>
          <w:iCs/>
          <w:color w:val="FF0000"/>
        </w:rPr>
        <w:t>Boyaci</w:t>
      </w:r>
      <w:proofErr w:type="spellEnd"/>
      <w:r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Pr="00506DA6">
        <w:rPr>
          <w:rStyle w:val="Emphasis"/>
          <w:rFonts w:asciiTheme="majorBidi" w:hAnsiTheme="majorBidi" w:cstheme="majorBidi"/>
          <w:i w:val="0"/>
          <w:iCs/>
          <w:color w:val="FF0000"/>
        </w:rPr>
        <w:t>Toscani</w:t>
      </w:r>
      <w:proofErr w:type="spellEnd"/>
      <w:r w:rsidRPr="00506DA6">
        <w:rPr>
          <w:rStyle w:val="Emphasis"/>
          <w:rFonts w:asciiTheme="majorBidi" w:hAnsiTheme="majorBidi" w:cstheme="majorBidi"/>
          <w:i w:val="0"/>
          <w:iCs/>
          <w:color w:val="FF0000"/>
        </w:rPr>
        <w:t xml:space="preserve"> et al., 2017), as well as the computational problem of color and lightness constancy (e.g. Lee, 1986; </w:t>
      </w:r>
      <w:proofErr w:type="spellStart"/>
      <w:r w:rsidRPr="00506DA6">
        <w:rPr>
          <w:rStyle w:val="Emphasis"/>
          <w:rFonts w:asciiTheme="majorBidi" w:hAnsiTheme="majorBidi" w:cstheme="majorBidi"/>
          <w:i w:val="0"/>
          <w:iCs/>
          <w:color w:val="FF0000"/>
        </w:rPr>
        <w:t>D'Zmura</w:t>
      </w:r>
      <w:proofErr w:type="spellEnd"/>
      <w:r w:rsidRPr="00506DA6">
        <w:rPr>
          <w:rStyle w:val="Emphasis"/>
          <w:rFonts w:asciiTheme="majorBidi" w:hAnsiTheme="majorBidi" w:cstheme="majorBidi"/>
          <w:i w:val="0"/>
          <w:iCs/>
          <w:color w:val="FF0000"/>
        </w:rPr>
        <w:t xml:space="preserve"> &amp; Lennie, 1986; </w:t>
      </w:r>
      <w:proofErr w:type="spellStart"/>
      <w:r w:rsidRPr="00506DA6">
        <w:rPr>
          <w:rStyle w:val="Emphasis"/>
          <w:rFonts w:asciiTheme="majorBidi" w:hAnsiTheme="majorBidi" w:cstheme="majorBidi"/>
          <w:i w:val="0"/>
          <w:iCs/>
          <w:color w:val="FF0000"/>
        </w:rPr>
        <w:t>Funt</w:t>
      </w:r>
      <w:proofErr w:type="spellEnd"/>
      <w:r w:rsidRPr="00506DA6">
        <w:rPr>
          <w:rStyle w:val="Emphasis"/>
          <w:rFonts w:asciiTheme="majorBidi" w:hAnsiTheme="majorBidi" w:cstheme="majorBidi"/>
          <w:i w:val="0"/>
          <w:iCs/>
          <w:color w:val="FF0000"/>
        </w:rPr>
        <w:t xml:space="preserve"> &amp; Drew, 1988; </w:t>
      </w:r>
      <w:proofErr w:type="spellStart"/>
      <w:r w:rsidRPr="00506DA6">
        <w:rPr>
          <w:rStyle w:val="Emphasis"/>
          <w:rFonts w:asciiTheme="majorBidi" w:hAnsiTheme="majorBidi" w:cstheme="majorBidi"/>
          <w:i w:val="0"/>
          <w:iCs/>
          <w:color w:val="FF0000"/>
        </w:rPr>
        <w:t>Tominaga</w:t>
      </w:r>
      <w:proofErr w:type="spellEnd"/>
      <w:r w:rsidRPr="00506DA6">
        <w:rPr>
          <w:rStyle w:val="Emphasis"/>
          <w:rFonts w:asciiTheme="majorBidi" w:hAnsiTheme="majorBidi" w:cstheme="majorBidi"/>
          <w:i w:val="0"/>
          <w:iCs/>
          <w:color w:val="FF0000"/>
        </w:rPr>
        <w:t xml:space="preserve"> &amp; </w:t>
      </w:r>
      <w:proofErr w:type="spellStart"/>
      <w:r w:rsidRPr="00506DA6">
        <w:rPr>
          <w:rStyle w:val="Emphasis"/>
          <w:rFonts w:asciiTheme="majorBidi" w:hAnsiTheme="majorBidi" w:cstheme="majorBidi"/>
          <w:i w:val="0"/>
          <w:iCs/>
          <w:color w:val="FF0000"/>
        </w:rPr>
        <w:t>Wandell</w:t>
      </w:r>
      <w:proofErr w:type="spellEnd"/>
      <w:r w:rsidRPr="00506DA6">
        <w:rPr>
          <w:rStyle w:val="Emphasis"/>
          <w:rFonts w:asciiTheme="majorBidi" w:hAnsiTheme="majorBidi" w:cstheme="majorBidi"/>
          <w:i w:val="0"/>
          <w:iCs/>
          <w:color w:val="FF0000"/>
        </w:rPr>
        <w:t>, 1989; Barron &amp; Malik, 2012; Barron, 2015; Finlayson, 2018).</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407C0AF6" w14:textId="26D423B1" w:rsidR="00CE7FA9" w:rsidRPr="009F7F85" w:rsidRDefault="004E7A9D" w:rsidP="00CB2C89">
      <w:pPr>
        <w:pStyle w:val="Quote"/>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5"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6" w:author="Brainard, David H" w:date="2018-09-07T12:10:00Z"/>
          <w:rFonts w:asciiTheme="majorBidi" w:hAnsiTheme="majorBidi" w:cstheme="majorBidi"/>
          <w:color w:val="00B0F0"/>
        </w:rPr>
      </w:pPr>
      <w:del w:id="7" w:author="Brainard, David H" w:date="2018-09-07T12:10:00Z">
        <w:r w:rsidRPr="009F7F85" w:rsidDel="00C245B3">
          <w:rPr>
            <w:rFonts w:asciiTheme="majorBidi" w:hAnsiTheme="majorBidi" w:cstheme="majorBidi"/>
            <w:color w:val="00B0F0"/>
          </w:rPr>
          <w:delText>DB to work on this paragraph.</w:delText>
        </w:r>
      </w:del>
    </w:p>
    <w:p w14:paraId="533EC025" w14:textId="710A45E5" w:rsidR="00401845" w:rsidRPr="009F7F85" w:rsidRDefault="004E7A9D" w:rsidP="00CB2C89">
      <w:pPr>
        <w:pStyle w:val="Quote"/>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 with some of these focused on the reflectance of objects (e.g. f</w:t>
      </w:r>
      <w:bookmarkStart w:id="8" w:name="_GoBack"/>
      <w:bookmarkEnd w:id="8"/>
      <w:r w:rsidR="000F7B92">
        <w:rPr>
          <w:rFonts w:asciiTheme="majorBidi" w:eastAsiaTheme="minorHAnsi" w:hAnsiTheme="majorBidi" w:cstheme="majorBidi"/>
          <w:color w:val="FF0000"/>
        </w:rPr>
        <w:t xml:space="preserve">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E180B">
        <w:rPr>
          <w:rFonts w:asciiTheme="majorBidi" w:eastAsiaTheme="minorHAnsi" w:hAnsiTheme="majorBidi" w:cstheme="majorBidi"/>
          <w:color w:val="FF0000"/>
        </w:rPr>
        <w:t xml:space="preserve">Another issue, not addressed by these datasets, is the relative frequency of </w:t>
      </w:r>
      <w:proofErr w:type="spellStart"/>
      <w:r w:rsidR="008E180B">
        <w:rPr>
          <w:rFonts w:asciiTheme="majorBidi" w:eastAsiaTheme="minorHAnsi" w:hAnsiTheme="majorBidi" w:cstheme="majorBidi"/>
          <w:color w:val="FF0000"/>
        </w:rPr>
        <w:t>occcurance</w:t>
      </w:r>
      <w:proofErr w:type="spellEnd"/>
      <w:r w:rsidR="008E180B">
        <w:rPr>
          <w:rFonts w:asciiTheme="majorBidi" w:eastAsiaTheme="minorHAnsi" w:hAnsiTheme="majorBidi" w:cstheme="majorBidi"/>
          <w:color w:val="FF0000"/>
        </w:rPr>
        <w:t xml:space="preserve"> of different reflectance spectra in na</w:t>
      </w:r>
      <w:r w:rsidR="007D3923">
        <w:rPr>
          <w:rFonts w:asciiTheme="majorBidi" w:eastAsiaTheme="minorHAnsi" w:hAnsiTheme="majorBidi" w:cstheme="majorBidi"/>
          <w:color w:val="FF0000"/>
        </w:rPr>
        <w:t xml:space="preserve">tural viewing.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made a systematic </w:t>
      </w:r>
      <w:proofErr w:type="gramStart"/>
      <w:r w:rsidR="008E180B">
        <w:rPr>
          <w:rFonts w:asciiTheme="majorBidi" w:eastAsiaTheme="minorHAnsi" w:hAnsiTheme="majorBidi" w:cstheme="majorBidi"/>
          <w:color w:val="FF0000"/>
        </w:rPr>
        <w:t>survey, and</w:t>
      </w:r>
      <w:proofErr w:type="gramEnd"/>
      <w:r w:rsidR="008E180B">
        <w:rPr>
          <w:rFonts w:asciiTheme="majorBidi" w:eastAsiaTheme="minorHAnsi" w:hAnsiTheme="majorBidi" w:cstheme="majorBidi"/>
          <w:color w:val="FF0000"/>
        </w:rPr>
        <w:t xml:space="preserve">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inard, David H" w:date="2018-09-05T09:42:00Z" w:initials="DHB">
    <w:p w14:paraId="0FC47958" w14:textId="010BBC60" w:rsidR="00740419" w:rsidRDefault="00740419">
      <w:pPr>
        <w:pStyle w:val="CommentText"/>
      </w:pPr>
      <w:r>
        <w:rPr>
          <w:rStyle w:val="CommentReference"/>
        </w:rPr>
        <w:annotationRef/>
      </w:r>
      <w:r>
        <w:t>DHB is working here.</w:t>
      </w:r>
    </w:p>
  </w:comment>
  <w:comment w:id="1" w:author="Brainard, David H" w:date="2018-09-05T14:58:00Z" w:initials="DHB">
    <w:p w14:paraId="748755C9" w14:textId="4E832C3D" w:rsidR="00740419" w:rsidRDefault="00740419">
      <w:pPr>
        <w:pStyle w:val="CommentText"/>
      </w:pPr>
      <w:r>
        <w:rPr>
          <w:rStyle w:val="CommentReference"/>
        </w:rPr>
        <w:annotationRef/>
      </w:r>
      <w:proofErr w:type="gramStart"/>
      <w:r>
        <w:t>Johannes,</w:t>
      </w:r>
      <w:proofErr w:type="gramEnd"/>
      <w:r>
        <w:t xml:space="preserve"> check that wording below seems good.  I added the explicit reference to LRV.</w:t>
      </w:r>
    </w:p>
  </w:comment>
  <w:comment w:id="2" w:author="Brainard, David H" w:date="2018-09-05T15:16:00Z" w:initials="DHB">
    <w:p w14:paraId="268AC907" w14:textId="67B096A0" w:rsidR="00740419" w:rsidRDefault="00740419">
      <w:pPr>
        <w:pStyle w:val="CommentText"/>
      </w:pPr>
      <w:r>
        <w:rPr>
          <w:rStyle w:val="CommentReference"/>
        </w:rPr>
        <w:annotationRef/>
      </w:r>
      <w:proofErr w:type="spellStart"/>
      <w:r>
        <w:t>Johanes</w:t>
      </w:r>
      <w:proofErr w:type="spellEnd"/>
      <w:r>
        <w:t>, Vijay: See what you think of what I drafted below.</w:t>
      </w:r>
    </w:p>
  </w:comment>
  <w:comment w:id="3"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4" w:author="Vijay Singh" w:date="2018-09-06T13:56:00Z" w:initials="VS">
    <w:p w14:paraId="61D5C669" w14:textId="3D2823F9" w:rsidR="00C3281C" w:rsidRDefault="00C3281C">
      <w:pPr>
        <w:pStyle w:val="CommentText"/>
      </w:pPr>
      <w:r>
        <w:rPr>
          <w:rStyle w:val="CommentReference"/>
        </w:rPr>
        <w:annotationRef/>
      </w:r>
      <w:r>
        <w:t>Did you mean reflectance?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47958" w15:done="0"/>
  <w15:commentEx w15:paraId="748755C9" w15:done="0"/>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47958" w16cid:durableId="1F3A238F"/>
  <w16cid:commentId w16cid:paraId="748755C9" w16cid:durableId="1F3A6DA6"/>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26F61"/>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B11D6"/>
    <w:rsid w:val="001C334C"/>
    <w:rsid w:val="001C7408"/>
    <w:rsid w:val="001D332C"/>
    <w:rsid w:val="001D3767"/>
    <w:rsid w:val="001D40EF"/>
    <w:rsid w:val="001E1594"/>
    <w:rsid w:val="001F07E0"/>
    <w:rsid w:val="0020046B"/>
    <w:rsid w:val="00210C8C"/>
    <w:rsid w:val="002165DD"/>
    <w:rsid w:val="002217A5"/>
    <w:rsid w:val="002250C1"/>
    <w:rsid w:val="00235FFD"/>
    <w:rsid w:val="00250F44"/>
    <w:rsid w:val="00252F7E"/>
    <w:rsid w:val="00252FA7"/>
    <w:rsid w:val="00262097"/>
    <w:rsid w:val="0026461F"/>
    <w:rsid w:val="00277878"/>
    <w:rsid w:val="00281CA5"/>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1C82"/>
    <w:rsid w:val="002F3F72"/>
    <w:rsid w:val="002F5D96"/>
    <w:rsid w:val="0031219C"/>
    <w:rsid w:val="00316261"/>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87F9A"/>
    <w:rsid w:val="003912BB"/>
    <w:rsid w:val="00397EC4"/>
    <w:rsid w:val="003A25AD"/>
    <w:rsid w:val="003B022B"/>
    <w:rsid w:val="003C2DD9"/>
    <w:rsid w:val="003C4A42"/>
    <w:rsid w:val="003E0C44"/>
    <w:rsid w:val="003F2827"/>
    <w:rsid w:val="003F313D"/>
    <w:rsid w:val="003F4E3C"/>
    <w:rsid w:val="003F7E3C"/>
    <w:rsid w:val="00401845"/>
    <w:rsid w:val="004071BF"/>
    <w:rsid w:val="004071CD"/>
    <w:rsid w:val="004139AD"/>
    <w:rsid w:val="004177EA"/>
    <w:rsid w:val="00420F1E"/>
    <w:rsid w:val="00421197"/>
    <w:rsid w:val="00424D62"/>
    <w:rsid w:val="00446628"/>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F1892"/>
    <w:rsid w:val="005F1C6A"/>
    <w:rsid w:val="005F3FC4"/>
    <w:rsid w:val="005F4415"/>
    <w:rsid w:val="005F523C"/>
    <w:rsid w:val="005F58F3"/>
    <w:rsid w:val="006129F8"/>
    <w:rsid w:val="006158EF"/>
    <w:rsid w:val="00620792"/>
    <w:rsid w:val="0062409E"/>
    <w:rsid w:val="00640934"/>
    <w:rsid w:val="006512B4"/>
    <w:rsid w:val="00653297"/>
    <w:rsid w:val="0065381C"/>
    <w:rsid w:val="006556C2"/>
    <w:rsid w:val="006557C9"/>
    <w:rsid w:val="00665640"/>
    <w:rsid w:val="0067531D"/>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70A68"/>
    <w:rsid w:val="00771319"/>
    <w:rsid w:val="00773572"/>
    <w:rsid w:val="0077539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14A4"/>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0BCD"/>
    <w:rsid w:val="009910A2"/>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20F27"/>
    <w:rsid w:val="00A33A71"/>
    <w:rsid w:val="00A50A86"/>
    <w:rsid w:val="00A50B5F"/>
    <w:rsid w:val="00A512B8"/>
    <w:rsid w:val="00A71C2D"/>
    <w:rsid w:val="00A7215C"/>
    <w:rsid w:val="00A737F1"/>
    <w:rsid w:val="00A741C2"/>
    <w:rsid w:val="00A74EF1"/>
    <w:rsid w:val="00A77955"/>
    <w:rsid w:val="00A80D7A"/>
    <w:rsid w:val="00A85EEA"/>
    <w:rsid w:val="00A87921"/>
    <w:rsid w:val="00A95D7C"/>
    <w:rsid w:val="00A97C00"/>
    <w:rsid w:val="00AA40D4"/>
    <w:rsid w:val="00AA5315"/>
    <w:rsid w:val="00AA5E3A"/>
    <w:rsid w:val="00AB2C0D"/>
    <w:rsid w:val="00AB6A01"/>
    <w:rsid w:val="00AC74C4"/>
    <w:rsid w:val="00AD5FDC"/>
    <w:rsid w:val="00AF76A2"/>
    <w:rsid w:val="00B14934"/>
    <w:rsid w:val="00B2200D"/>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5B3"/>
    <w:rsid w:val="00C24678"/>
    <w:rsid w:val="00C26594"/>
    <w:rsid w:val="00C3281C"/>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0579"/>
    <w:rsid w:val="00E774F5"/>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08DE"/>
    <w:rsid w:val="00F25CB4"/>
    <w:rsid w:val="00F30309"/>
    <w:rsid w:val="00F326D1"/>
    <w:rsid w:val="00F345F3"/>
    <w:rsid w:val="00F348AA"/>
    <w:rsid w:val="00F41830"/>
    <w:rsid w:val="00F43026"/>
    <w:rsid w:val="00F44DFE"/>
    <w:rsid w:val="00F4727C"/>
    <w:rsid w:val="00F47FD2"/>
    <w:rsid w:val="00F51481"/>
    <w:rsid w:val="00F5323B"/>
    <w:rsid w:val="00F73948"/>
    <w:rsid w:val="00F81619"/>
    <w:rsid w:val="00F91A2F"/>
    <w:rsid w:val="00F97FA7"/>
    <w:rsid w:val="00FA0CCC"/>
    <w:rsid w:val="00FA31AE"/>
    <w:rsid w:val="00FA3313"/>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astm.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14</Pages>
  <Words>5988</Words>
  <Characters>34137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298</cp:revision>
  <dcterms:created xsi:type="dcterms:W3CDTF">2018-08-29T14:39:00Z</dcterms:created>
  <dcterms:modified xsi:type="dcterms:W3CDTF">2018-09-08T02:36:00Z</dcterms:modified>
</cp:coreProperties>
</file>