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6368F306"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indicating that the noise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50308820"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AF4117">
            <w:rPr>
              <w:color w:val="000000" w:themeColor="text1"/>
              <w:sz w:val="22"/>
              <w:szCs w:val="22"/>
            </w:rPr>
            <w:instrText xml:space="preserve">CITATION Fos11 \m Bra04 \l 1033 </w:instrText>
          </w:r>
          <w:r w:rsidR="000E1F27" w:rsidRPr="000E1F27">
            <w:rPr>
              <w:color w:val="000000" w:themeColor="text1"/>
              <w:sz w:val="22"/>
              <w:szCs w:val="22"/>
            </w:rPr>
            <w:fldChar w:fldCharType="separate"/>
          </w:r>
          <w:r w:rsidR="00AF4117" w:rsidRPr="00AF4117">
            <w:rPr>
              <w:noProof/>
              <w:color w:val="000000" w:themeColor="text1"/>
              <w:sz w:val="22"/>
              <w:szCs w:val="22"/>
            </w:rPr>
            <w:t>(Foster, Color constancy., 2011; Brainard &amp; Radonjic, Color constancy.,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AF4117" w:rsidRPr="00AF4117">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8C51DC" w:rsidRPr="00D23FAD">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B03498">
            <w:rPr>
              <w:sz w:val="22"/>
              <w:szCs w:val="22"/>
            </w:rPr>
            <w:instrText xml:space="preserve"> CITATION Fos03 \l 1033 </w:instrText>
          </w:r>
          <w:r w:rsidR="00B03498">
            <w:rPr>
              <w:sz w:val="22"/>
              <w:szCs w:val="22"/>
            </w:rPr>
            <w:fldChar w:fldCharType="separate"/>
          </w:r>
          <w:r w:rsidR="00B03498">
            <w:rPr>
              <w:noProof/>
              <w:sz w:val="22"/>
              <w:szCs w:val="22"/>
            </w:rPr>
            <w:t xml:space="preserve"> </w:t>
          </w:r>
          <w:r w:rsidR="00B03498" w:rsidRPr="00B03498">
            <w:rPr>
              <w:noProof/>
              <w:sz w:val="22"/>
              <w:szCs w:val="22"/>
            </w:rPr>
            <w:t>(Foster D. H.,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w:t>
      </w:r>
      <w:r w:rsidR="00A43544" w:rsidRPr="00A43544">
        <w:rPr>
          <w:sz w:val="22"/>
          <w:szCs w:val="22"/>
        </w:rPr>
        <w:t xml:space="preserve">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714ED" w:rsidRPr="000714ED">
            <w:rPr>
              <w:noProof/>
              <w:sz w:val="22"/>
              <w:szCs w:val="22"/>
            </w:rPr>
            <w:t>(Speigle &amp; Brainard, 1996)</w:t>
          </w:r>
          <w:r w:rsidR="000714ED">
            <w:rPr>
              <w:sz w:val="22"/>
              <w:szCs w:val="22"/>
            </w:rPr>
            <w:fldChar w:fldCharType="end"/>
          </w:r>
        </w:sdtContent>
      </w:sdt>
      <w:r w:rsidR="000714ED">
        <w:rPr>
          <w:sz w:val="22"/>
          <w:szCs w:val="22"/>
        </w:rPr>
        <w:t>.</w:t>
      </w:r>
    </w:p>
    <w:p w14:paraId="5B0321DE" w14:textId="5397C40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lastRenderedPageBreak/>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258BCEA"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50E5AD90"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020BB4E"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3E13CC">
            <w:rPr>
              <w:rFonts w:ascii="Times New Roman" w:hAnsi="Times New Roman" w:cs="Times New Roman"/>
              <w:noProof/>
              <w:sz w:val="22"/>
              <w:szCs w:val="22"/>
            </w:rPr>
            <w:t xml:space="preserve"> </w:t>
          </w:r>
          <w:r w:rsidR="003E13CC" w:rsidRPr="003E13CC">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9A18A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8390F2C"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t>
      </w:r>
      <w:r w:rsidR="00404878">
        <w:rPr>
          <w:rFonts w:ascii="Times New Roman" w:hAnsi="Times New Roman"/>
          <w:sz w:val="22"/>
          <w:szCs w:val="22"/>
          <w:shd w:val="clear" w:color="auto" w:fill="FFFFFF"/>
        </w:rPr>
        <w:t>as per the experimental condition</w:t>
      </w:r>
      <w:r w:rsidR="00404878">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 xml:space="preserve">light sources in the scene.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4DBE0ACF"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17BBD45B" w14:textId="3AAA1BCE" w:rsidR="009C6FA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5FC3F542" w:rsidR="00017D2A" w:rsidRDefault="00E0230B" w:rsidP="00A956DD">
      <w:pPr>
        <w:spacing w:before="240"/>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pseudorandomly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4EE0A2EF"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128DB0C5" w:rsidR="001C445E" w:rsidRDefault="001C445E" w:rsidP="00A956DD">
      <w:pPr>
        <w:spacing w:before="240"/>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12E40061" w:rsidR="00F516FB" w:rsidRDefault="00F516FB" w:rsidP="00B71878">
      <w:pPr>
        <w:pStyle w:val="Default"/>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483F2DE5" w14:textId="09450D4B" w:rsidR="00F516FB" w:rsidRPr="004A57B8"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73FF1687" w:rsidR="003F0EAD"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lastRenderedPageBreak/>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0;</w:t>
      </w:r>
      <w:r w:rsidR="00004D29">
        <w:rPr>
          <w:rFonts w:ascii="Times New Roman" w:hAnsi="Times New Roman"/>
          <w:sz w:val="22"/>
          <w:szCs w:val="22"/>
        </w:rPr>
        <w:t xml:space="preserve">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12E0E2C2"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w:t>
      </w:r>
      <w:r w:rsidR="00BF0441">
        <w:rPr>
          <w:rFonts w:ascii="Times New Roman" w:hAnsi="Times New Roman"/>
          <w:sz w:val="22"/>
          <w:szCs w:val="22"/>
        </w:rPr>
        <w:t>’</w:t>
      </w:r>
      <w:r w:rsidRPr="000A1699">
        <w:rPr>
          <w:rFonts w:ascii="Times New Roman" w:hAnsi="Times New Roman"/>
          <w:sz w:val="22"/>
          <w:szCs w:val="22"/>
        </w:rPr>
        <w:t xml:space="preserve">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observers</w:t>
      </w:r>
      <w:r w:rsidR="0087741F">
        <w:rPr>
          <w:rFonts w:ascii="Times New Roman" w:hAnsi="Times New Roman"/>
          <w:sz w:val="22"/>
          <w:szCs w:val="22"/>
        </w:rPr>
        <w:t>’</w:t>
      </w:r>
      <w:r w:rsidRPr="000A1699">
        <w:rPr>
          <w:rFonts w:ascii="Times New Roman" w:hAnsi="Times New Roman"/>
          <w:sz w:val="22"/>
          <w:szCs w:val="22"/>
        </w:rPr>
        <w:t xml:space="preserve"> eyes were centered horizontally and vertically with respect to the display. The distance from observer</w:t>
      </w:r>
      <w:r w:rsidR="0087741F">
        <w:rPr>
          <w:rFonts w:ascii="Times New Roman" w:hAnsi="Times New Roman"/>
          <w:sz w:val="22"/>
          <w:szCs w:val="22"/>
        </w:rPr>
        <w:t>s’</w:t>
      </w:r>
      <w:r w:rsidRPr="000A1699">
        <w:rPr>
          <w:rFonts w:ascii="Times New Roman" w:hAnsi="Times New Roman"/>
          <w:sz w:val="22"/>
          <w:szCs w:val="22"/>
        </w:rPr>
        <w:t xml:space="preserve">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A51E1F3"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1D38269E"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w:t>
      </w:r>
      <w:r w:rsidR="002C2EFF" w:rsidRPr="000244AD">
        <w:rPr>
          <w:rFonts w:ascii="Times New Roman" w:hAnsi="Times New Roman"/>
          <w:sz w:val="22"/>
          <w:szCs w:val="22"/>
        </w:rPr>
        <w:lastRenderedPageBreak/>
        <w:t xml:space="preserve">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662BFDAF"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305A4503"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r>
              <m:rPr>
                <m:sty m:val="p"/>
              </m:rPr>
              <w:rPr>
                <w:rStyle w:val="None"/>
                <w:rFonts w:ascii="Cambria Math" w:hAnsi="Cambria Math" w:cs="Times New Roman"/>
                <w:sz w:val="22"/>
                <w:szCs w:val="22"/>
              </w:rPr>
              <m:t>,B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62FEAA3C"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cs="Times New Roman"/>
                <w:sz w:val="22"/>
                <w:szCs w:val="22"/>
              </w:rPr>
              <m:t>,L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cs="Times New Roman"/>
                <w:sz w:val="22"/>
                <w:szCs w:val="22"/>
              </w:rPr>
              <m:t>,L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19250CC5"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w:t>
      </w:r>
      <w:r w:rsidR="004B56B2">
        <w:rPr>
          <w:rFonts w:ascii="Times New Roman" w:hAnsi="Times New Roman"/>
          <w:sz w:val="22"/>
          <w:szCs w:val="22"/>
        </w:rPr>
        <w:lastRenderedPageBreak/>
        <w:t xml:space="preserve">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7009456F" w14:textId="2FD0DBBF"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p>
    <w:p w14:paraId="65548AAE" w14:textId="25DF70AA"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0923E601"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square</w:t>
      </w:r>
      <w:r w:rsidR="00AD649A">
        <w:rPr>
          <w:rFonts w:ascii="Times New Roman" w:hAnsi="Times New Roman"/>
          <w:sz w:val="22"/>
          <w:szCs w:val="22"/>
        </w:rPr>
        <w:t xml:space="preserv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r w:rsidR="007616A1">
        <w:rPr>
          <w:rStyle w:val="None"/>
          <w:rFonts w:ascii="Times New Roman" w:hAnsi="Times New Roman"/>
          <w:iCs/>
          <w:sz w:val="22"/>
          <w:szCs w:val="22"/>
        </w:rPr>
        <w:t xml:space="preserve">, indicating that the variation in </w:t>
      </w:r>
      <w:r w:rsidR="007616A1">
        <w:rPr>
          <w:rStyle w:val="None"/>
          <w:rFonts w:ascii="Times New Roman" w:hAnsi="Times New Roman"/>
          <w:iCs/>
          <w:sz w:val="22"/>
          <w:szCs w:val="22"/>
        </w:rPr>
        <w:lastRenderedPageBreak/>
        <w:t>the lightness representation induced by the variation in light source intensity is close to the internal variation of that representation.</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40D084B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w:t>
      </w:r>
      <w:r w:rsidR="00B176C2">
        <w:rPr>
          <w:sz w:val="22"/>
          <w:szCs w:val="22"/>
        </w:rPr>
        <w:t>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w:t>
      </w:r>
      <w:r w:rsidR="004223A9">
        <w:rPr>
          <w:sz w:val="22"/>
          <w:szCs w:val="22"/>
        </w:rPr>
        <w:t>variance</w:t>
      </w:r>
      <w:r w:rsidR="004223A9">
        <w:rPr>
          <w:sz w:val="22"/>
          <w:szCs w:val="22"/>
        </w:rPr>
        <w:t xml:space="preserv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w:t>
      </w:r>
      <w:r w:rsidR="00691548">
        <w:rPr>
          <w:sz w:val="22"/>
          <w:szCs w:val="22"/>
        </w:rPr>
        <w:t>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35830365"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threshold of the simultaneous variation condition is comparable to the sum of the increase in threshold for the individual variations. The p-value of the hypothesis that the mean increase in thresholds for simultaneous variation is equal to sum of the mean increase in the 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lastRenderedPageBreak/>
        <w:t>4</w:t>
      </w:r>
      <w:r w:rsidR="00E518A0">
        <w:rPr>
          <w:b/>
          <w:bCs/>
          <w:sz w:val="22"/>
          <w:szCs w:val="22"/>
        </w:rPr>
        <w:t xml:space="preserve"> </w:t>
      </w:r>
      <w:proofErr w:type="gramStart"/>
      <w:r w:rsidR="00E6746C">
        <w:rPr>
          <w:b/>
          <w:bCs/>
          <w:sz w:val="22"/>
          <w:szCs w:val="22"/>
        </w:rPr>
        <w:t>DISCUSSION</w:t>
      </w:r>
      <w:proofErr w:type="gramEnd"/>
    </w:p>
    <w:p w14:paraId="0F5DF5AB" w14:textId="18603C51" w:rsidR="00B272EF" w:rsidRDefault="00B272EF" w:rsidP="00B71878">
      <w:pPr>
        <w:spacing w:before="240"/>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depends on the scene in which i</w:t>
      </w:r>
      <w:r w:rsidR="00833908">
        <w:rPr>
          <w:sz w:val="22"/>
          <w:szCs w:val="22"/>
        </w:rPr>
        <w:t>t</w:t>
      </w:r>
      <w:r w:rsidR="00DC546F">
        <w:rPr>
          <w:sz w:val="22"/>
          <w:szCs w:val="22"/>
        </w:rPr>
        <w:t xml:space="preserve">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w:t>
      </w:r>
      <w:r w:rsidR="00925552">
        <w:rPr>
          <w:sz w:val="22"/>
          <w:szCs w:val="22"/>
        </w:rPr>
        <w:t xml:space="preserve">the </w:t>
      </w:r>
      <w:r w:rsidR="00EE3A16">
        <w:rPr>
          <w:sz w:val="22"/>
          <w:szCs w:val="22"/>
        </w:rPr>
        <w:t xml:space="preserve">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 xml:space="preserve">Further, for simultaneous variation of these properties the effects added linearly, resulting in the variance of the </w:t>
      </w:r>
      <w:r w:rsidR="006F441D">
        <w:rPr>
          <w:sz w:val="22"/>
          <w:szCs w:val="22"/>
        </w:rPr>
        <w:t>simultaneous variation</w:t>
      </w:r>
      <w:r w:rsidR="006F441D">
        <w:rPr>
          <w:sz w:val="22"/>
          <w:szCs w:val="22"/>
        </w:rPr>
        <w:t xml:space="preserve">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w:t>
      </w:r>
      <w:r w:rsidR="00DD60AF">
        <w:rPr>
          <w:sz w:val="22"/>
          <w:szCs w:val="22"/>
        </w:rPr>
        <w:t xml:space="preserve">or the </w:t>
      </w:r>
      <w:r w:rsidR="00DD60AF">
        <w:rPr>
          <w:sz w:val="22"/>
          <w:szCs w:val="22"/>
        </w:rPr>
        <w:t xml:space="preserve">spectral </w:t>
      </w:r>
      <w:r w:rsidR="00DD60AF">
        <w:rPr>
          <w:sz w:val="22"/>
          <w:szCs w:val="22"/>
        </w:rPr>
        <w:t>variabilities studied in this work</w:t>
      </w:r>
      <w:r w:rsidR="00DD60AF">
        <w:rPr>
          <w:sz w:val="22"/>
          <w:szCs w:val="22"/>
        </w:rPr>
        <w:t>,</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observers’</w:t>
      </w:r>
      <w:r w:rsidR="00003109">
        <w:rPr>
          <w:sz w:val="22"/>
          <w:szCs w:val="22"/>
        </w:rPr>
        <w:t xml:space="preserve">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w:t>
      </w:r>
      <w:r w:rsidR="006723B1">
        <w:rPr>
          <w:sz w:val="22"/>
          <w:szCs w:val="22"/>
        </w:rPr>
        <w:t xml:space="preserve">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squared</w:t>
      </w:r>
      <w:r w:rsidR="00944E92">
        <w:rPr>
          <w:sz w:val="22"/>
          <w:szCs w:val="22"/>
        </w:rPr>
        <w:t xml:space="preserve">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squared</w:t>
      </w:r>
      <w:r w:rsidR="006D5F11">
        <w:rPr>
          <w:sz w:val="22"/>
          <w:szCs w:val="22"/>
        </w:rPr>
        <w:t xml:space="preserve">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180B8A20"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048EF59D" w:rsidR="0004061F" w:rsidRPr="00EE1526" w:rsidRDefault="00682378" w:rsidP="00E47166">
      <w:pPr>
        <w:pBdr>
          <w:top w:val="nil"/>
          <w:left w:val="nil"/>
          <w:bottom w:val="nil"/>
          <w:right w:val="nil"/>
          <w:between w:val="nil"/>
          <w:bar w:val="nil"/>
        </w:pBdr>
        <w:spacing w:before="240"/>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653906DC" w14:textId="626B3B70" w:rsidR="00771149" w:rsidRPr="00EE1526" w:rsidRDefault="00771149" w:rsidP="00E47166">
      <w:pPr>
        <w:pBdr>
          <w:top w:val="nil"/>
          <w:left w:val="nil"/>
          <w:bottom w:val="nil"/>
          <w:right w:val="nil"/>
          <w:between w:val="nil"/>
          <w:bar w:val="nil"/>
        </w:pBdr>
        <w:spacing w:before="240"/>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5D674282" w14:textId="68A440C8" w:rsidR="00E52478" w:rsidRDefault="00E52478" w:rsidP="00E47166">
      <w:pPr>
        <w:pBdr>
          <w:top w:val="nil"/>
          <w:left w:val="nil"/>
          <w:bottom w:val="nil"/>
          <w:right w:val="nil"/>
          <w:between w:val="nil"/>
          <w:bar w:val="nil"/>
        </w:pBdr>
        <w:spacing w:before="240"/>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350EF98" w14:textId="6D1EDE41"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2C41131D" w14:textId="3F1F3DDB" w:rsidR="000677A1" w:rsidRDefault="00250D18"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72CFDC05" w14:textId="5414FF5C" w:rsidR="00511FC5" w:rsidRPr="00945AC3" w:rsidRDefault="000677A1"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728B62C7" w14:textId="0B71894A"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021969DD"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19D08614" w14:textId="77777777"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w:t>
      </w:r>
      <w:r>
        <w:rPr>
          <w:rStyle w:val="None"/>
          <w:sz w:val="22"/>
          <w:szCs w:val="22"/>
        </w:rPr>
        <w:lastRenderedPageBreak/>
        <w:t xml:space="preserve">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72660626" w14:textId="77777777" w:rsidR="00270259" w:rsidRDefault="00270259"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measured squared threshold for the simultaneous variation conditions and the bars on the left (stacked bars of two different colors) represent the sum of the squared threshold of the light intensity variation (blue bar) and the corresponding background variation conditions (red or gray).</w:t>
      </w:r>
    </w:p>
    <w:p w14:paraId="33663F51" w14:textId="77777777" w:rsidR="000015D2" w:rsidRDefault="000015D2"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The extrinsic noise is estimated as the va</w:t>
      </w:r>
      <w:proofErr w:type="spellStart"/>
      <w:r>
        <w:rPr>
          <w:sz w:val="22"/>
          <w:szCs w:val="22"/>
        </w:rPr>
        <w:t>lue</w:t>
      </w:r>
      <w:proofErr w:type="spellEnd"/>
      <w:r>
        <w:rPr>
          <w:sz w:val="22"/>
          <w:szCs w:val="22"/>
        </w:rPr>
        <w:t xml:space="preserv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702B3F59" w14:textId="0AB94A6D" w:rsidR="00FC47A6" w:rsidRPr="00267524" w:rsidRDefault="00FC47A6"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2665185D" w14:textId="2D471F3E" w:rsidR="000A05EB" w:rsidRDefault="000A05EB" w:rsidP="00E47166">
      <w:pPr>
        <w:pBdr>
          <w:top w:val="nil"/>
          <w:left w:val="nil"/>
          <w:bottom w:val="nil"/>
          <w:right w:val="nil"/>
          <w:between w:val="nil"/>
          <w:bar w:val="nil"/>
        </w:pBdr>
        <w:spacing w:before="240"/>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5DD4DAD" w14:textId="515F78E6" w:rsidR="00446247" w:rsidRPr="00682378" w:rsidRDefault="00FC47A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A360FD">
              <w:r>
                <w:rPr>
                  <w:b/>
                  <w:bCs/>
                  <w:noProof/>
                </w:rPr>
                <w:fldChar w:fldCharType="end"/>
              </w:r>
            </w:p>
          </w:sdtContent>
        </w:sdt>
      </w:sdtContent>
    </w:sdt>
    <w:sectPr w:rsidR="00D02EE8" w:rsidRPr="00A360FD" w:rsidSect="0038312D">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1C6A" w14:textId="77777777" w:rsidR="007A47E4" w:rsidRDefault="007A47E4">
      <w:r>
        <w:separator/>
      </w:r>
    </w:p>
  </w:endnote>
  <w:endnote w:type="continuationSeparator" w:id="0">
    <w:p w14:paraId="19EE66B2" w14:textId="77777777" w:rsidR="007A47E4" w:rsidRDefault="007A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FE3D2" w14:textId="77777777" w:rsidR="007A47E4" w:rsidRDefault="007A47E4">
      <w:r>
        <w:separator/>
      </w:r>
    </w:p>
  </w:footnote>
  <w:footnote w:type="continuationSeparator" w:id="0">
    <w:p w14:paraId="502F8011" w14:textId="77777777" w:rsidR="007A47E4" w:rsidRDefault="007A47E4">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48CC142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0F815B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884BD1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E38B78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DE2E6F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094B89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40ABEC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2986BB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EFE34A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436"/>
    <w:rsid w:val="00004D29"/>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55"/>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EF6"/>
    <w:rsid w:val="00246197"/>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5E3D"/>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24AD"/>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345"/>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0C2"/>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3043"/>
    <w:rsid w:val="006732B9"/>
    <w:rsid w:val="0067387F"/>
    <w:rsid w:val="006738AA"/>
    <w:rsid w:val="00673BF4"/>
    <w:rsid w:val="006744C8"/>
    <w:rsid w:val="0067498E"/>
    <w:rsid w:val="00674B1C"/>
    <w:rsid w:val="00675010"/>
    <w:rsid w:val="00675027"/>
    <w:rsid w:val="00675706"/>
    <w:rsid w:val="006760B8"/>
    <w:rsid w:val="006761EA"/>
    <w:rsid w:val="00676294"/>
    <w:rsid w:val="006764E5"/>
    <w:rsid w:val="00676531"/>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548"/>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4030"/>
    <w:rsid w:val="006C428A"/>
    <w:rsid w:val="006C44A5"/>
    <w:rsid w:val="006C4503"/>
    <w:rsid w:val="006C5356"/>
    <w:rsid w:val="006C54F5"/>
    <w:rsid w:val="006C57BB"/>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5F11"/>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41D"/>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80"/>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3BF"/>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047"/>
    <w:rsid w:val="007962D7"/>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2"/>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965"/>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8E1"/>
    <w:rsid w:val="00945A41"/>
    <w:rsid w:val="00945ABF"/>
    <w:rsid w:val="00945AC3"/>
    <w:rsid w:val="00946100"/>
    <w:rsid w:val="00946722"/>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3B72"/>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944"/>
    <w:rsid w:val="00CE5D43"/>
    <w:rsid w:val="00CE60F3"/>
    <w:rsid w:val="00CE67A4"/>
    <w:rsid w:val="00CE75E2"/>
    <w:rsid w:val="00CE7AD4"/>
    <w:rsid w:val="00CE7B73"/>
    <w:rsid w:val="00CF06F6"/>
    <w:rsid w:val="00CF07CE"/>
    <w:rsid w:val="00CF0950"/>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0E"/>
    <w:rsid w:val="00DD47D3"/>
    <w:rsid w:val="00DD494D"/>
    <w:rsid w:val="00DD4A5F"/>
    <w:rsid w:val="00DD4CBF"/>
    <w:rsid w:val="00DD541B"/>
    <w:rsid w:val="00DD57BB"/>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379"/>
    <w:rsid w:val="00E444F2"/>
    <w:rsid w:val="00E44C2F"/>
    <w:rsid w:val="00E451BB"/>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0CF5"/>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27948"/>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7</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8</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9</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10</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11</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12</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13</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14</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15</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16</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17</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18</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19</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20</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21</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22</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23</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24</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25</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26</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27</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28</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32</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29</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30</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31</b:RefOrder>
  </b:Source>
  <b:Source>
    <b:Tag>Jak10</b:Tag>
    <b:SourceType>JournalArticle</b:SourceType>
    <b:Guid>{ED16604A-E06D-7743-8120-3D8DF6D1186D}</b:Guid>
    <b:Author>
      <b:Author>
        <b:NameList>
          <b:Person>
            <b:Last>Jakob</b:Last>
            <b:First>W.</b:First>
          </b:Person>
        </b:NameList>
      </b:Author>
    </b:Author>
    <b:Title>Mitsuba Renderer</b:Title>
    <b:Year>2010</b:Year>
    <b:RefOrder>36</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37</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38</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33</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6</b:RefOrder>
  </b:Source>
  <b:Source>
    <b:Tag>Are87</b:Tag>
    <b:SourceType>JournalArticle</b:SourceType>
    <b:Guid>{5F6F43CD-9D64-EA4B-913E-79725D123B50}</b:Guid>
    <b:Author>
      <b:Author>
        <b:NameList>
          <b:Person>
            <b:Last>Arend</b:Last>
            <b:First>L.</b:First>
            <b:Middle>E.</b:Middle>
          </b:Person>
          <b:Person>
            <b:Last>Robert</b:Last>
            <b:First>G.</b:First>
          </b:Person>
        </b:NameList>
      </b:Author>
    </b:Author>
    <b:Title>Simultaneous constancy, lightness, and brightness.</b:Title>
    <b:Year>1987</b:Year>
    <b:JournalName>Journal of the Optical Society of America A</b:JournalName>
    <b:Pages>2281-2285.</b:Pages>
    <b:Volume>4</b:Volume>
    <b:Issue>12</b:Issue>
    <b:RefOrder>39</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40</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2</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1</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4</b:RefOrder>
  </b:Source>
</b:Sources>
</file>

<file path=customXml/itemProps1.xml><?xml version="1.0" encoding="utf-8"?>
<ds:datastoreItem xmlns:ds="http://schemas.openxmlformats.org/officeDocument/2006/customXml" ds:itemID="{793FC036-568E-D24B-A0FB-8CBC0F58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20</Pages>
  <Words>10629</Words>
  <Characters>60589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532</cp:revision>
  <cp:lastPrinted>2022-01-23T22:45:00Z</cp:lastPrinted>
  <dcterms:created xsi:type="dcterms:W3CDTF">2023-06-01T02:11:00Z</dcterms:created>
  <dcterms:modified xsi:type="dcterms:W3CDTF">2023-06-03T23:56:00Z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