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B03E" w14:textId="77777777" w:rsidR="00F74FEA" w:rsidRDefault="001C5818">
      <w:pPr>
        <w:spacing w:after="40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VIJAYAN</w:t>
      </w:r>
    </w:p>
    <w:p w14:paraId="0942B03F" w14:textId="77777777" w:rsidR="00F74FEA" w:rsidRDefault="001C5818">
      <w:pPr>
        <w:spacing w:after="40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Associate Vice President  |  Program &amp; Transformation Leader</w:t>
      </w:r>
    </w:p>
    <w:p w14:paraId="0942B040" w14:textId="77777777" w:rsidR="00F74FEA" w:rsidRDefault="001C5818">
      <w:pPr>
        <w:pBdr>
          <w:bottom w:val="single" w:sz="6" w:space="1" w:color="2E5FA3"/>
        </w:pBdr>
        <w:spacing w:after="60"/>
      </w:pPr>
      <w:r>
        <w:rPr>
          <w:rFonts w:ascii="Arial" w:eastAsia="Arial" w:hAnsi="Arial" w:cs="Arial"/>
          <w:color w:val="666666"/>
          <w:sz w:val="18"/>
          <w:szCs w:val="18"/>
        </w:rPr>
        <w:t>Chennai, India  |  +91 98844 49666  |  vijaywc1979@gmail.com  |  linkedin.com/in/vijayan-project-management-vice-president</w:t>
      </w:r>
    </w:p>
    <w:p w14:paraId="0942B041" w14:textId="77777777" w:rsidR="00F74FEA" w:rsidRDefault="001C5818">
      <w:pPr>
        <w:pBdr>
          <w:bottom w:val="single" w:sz="6" w:space="1" w:color="2E5FA3"/>
        </w:pBdr>
        <w:spacing w:before="18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SUMMARY</w:t>
      </w:r>
    </w:p>
    <w:p w14:paraId="65B386F1" w14:textId="77777777" w:rsidR="004E6720" w:rsidRDefault="001C5818">
      <w:pPr>
        <w:spacing w:before="60" w:after="80"/>
        <w:rPr>
          <w:rFonts w:ascii="Arial" w:eastAsia="Arial" w:hAnsi="Arial" w:cs="Arial"/>
          <w:color w:val="444444"/>
        </w:rPr>
      </w:pPr>
      <w:r>
        <w:rPr>
          <w:rFonts w:ascii="Arial" w:eastAsia="Arial" w:hAnsi="Arial" w:cs="Arial"/>
          <w:color w:val="444444"/>
        </w:rPr>
        <w:t xml:space="preserve">Results-driven Program &amp; Transformation Leader with 22+ years in banking and financial services. Currently AVP at Standard Chartered Bank, delivering 15+ high-impact payment and regulatory programs across India, Hong Kong, and ASEAN — managing budgets up to $3M and teams of 35. Achieved 25% operational efficiency gains through microservices modernisation and agile delivery. </w:t>
      </w:r>
    </w:p>
    <w:p w14:paraId="0942B042" w14:textId="334CB6ED" w:rsidR="00F74FEA" w:rsidRDefault="004E6720">
      <w:pPr>
        <w:spacing w:before="60" w:after="80"/>
      </w:pPr>
      <w:r w:rsidRPr="004E6720">
        <w:rPr>
          <w:rFonts w:ascii="Arial" w:eastAsia="Arial" w:hAnsi="Arial" w:cs="Arial"/>
          <w:color w:val="444444"/>
        </w:rPr>
        <w:t xml:space="preserve">Combines deep technical expertise (Kafka, APIs, Spring Boot) with executive stakeholder management to drive scalable digital transformation. Recently completed a </w:t>
      </w:r>
      <w:r w:rsidRPr="004E6720">
        <w:rPr>
          <w:rFonts w:ascii="Arial" w:eastAsia="Arial" w:hAnsi="Arial" w:cs="Arial"/>
          <w:b/>
          <w:bCs/>
          <w:color w:val="444444"/>
        </w:rPr>
        <w:t>PG Diploma in Artificial Intelligence &amp; Machine Learning</w:t>
      </w:r>
      <w:r w:rsidRPr="004E6720">
        <w:rPr>
          <w:rFonts w:ascii="Arial" w:eastAsia="Arial" w:hAnsi="Arial" w:cs="Arial"/>
          <w:color w:val="444444"/>
        </w:rPr>
        <w:t>, enabling the application of AI-driven solutions, automation, and data-led decision-making within enterprise transformation programs.</w:t>
      </w:r>
    </w:p>
    <w:p w14:paraId="0942B043" w14:textId="77777777" w:rsidR="00F74FEA" w:rsidRDefault="001C5818">
      <w:pPr>
        <w:pBdr>
          <w:bottom w:val="single" w:sz="6" w:space="1" w:color="2E5FA3"/>
        </w:pBdr>
        <w:spacing w:before="18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CORE COMPETENCIES</w:t>
      </w:r>
    </w:p>
    <w:p w14:paraId="0942B044" w14:textId="77777777" w:rsidR="00F74FEA" w:rsidRDefault="00F74FEA">
      <w:pPr>
        <w:spacing w:before="60" w:after="20"/>
      </w:pPr>
    </w:p>
    <w:p w14:paraId="0942B045" w14:textId="2C2992A5" w:rsidR="00F74FEA" w:rsidRDefault="001C5818">
      <w:pPr>
        <w:spacing w:before="40" w:after="40"/>
      </w:pPr>
      <w:r>
        <w:rPr>
          <w:rFonts w:ascii="Arial" w:eastAsia="Arial" w:hAnsi="Arial" w:cs="Arial"/>
          <w:b/>
          <w:bCs/>
          <w:color w:val="2E5FA3"/>
          <w:sz w:val="19"/>
          <w:szCs w:val="19"/>
        </w:rPr>
        <w:t>Program Management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  •  </w:t>
      </w:r>
      <w:r>
        <w:rPr>
          <w:rFonts w:ascii="Arial" w:eastAsia="Arial" w:hAnsi="Arial" w:cs="Arial"/>
          <w:b/>
          <w:bCs/>
          <w:color w:val="2E5FA3"/>
          <w:sz w:val="19"/>
          <w:szCs w:val="19"/>
        </w:rPr>
        <w:t>Digital Transformation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  </w:t>
      </w:r>
      <w:r w:rsidR="004F1447">
        <w:rPr>
          <w:rFonts w:ascii="Arial" w:eastAsia="Arial" w:hAnsi="Arial" w:cs="Arial"/>
          <w:color w:val="CCCCCC"/>
          <w:sz w:val="19"/>
          <w:szCs w:val="19"/>
        </w:rPr>
        <w:t>•</w:t>
      </w:r>
      <w:r w:rsidR="004F1447">
        <w:rPr>
          <w:rFonts w:ascii="Arial" w:eastAsia="Arial" w:hAnsi="Arial" w:cs="Arial"/>
          <w:color w:val="CCCCCC"/>
          <w:sz w:val="19"/>
          <w:szCs w:val="19"/>
        </w:rPr>
        <w:t xml:space="preserve"> </w:t>
      </w:r>
      <w:r w:rsidR="004F1447">
        <w:rPr>
          <w:rFonts w:ascii="Arial" w:eastAsia="Arial" w:hAnsi="Arial" w:cs="Arial"/>
          <w:b/>
          <w:bCs/>
          <w:color w:val="2E5FA3"/>
          <w:sz w:val="19"/>
          <w:szCs w:val="19"/>
        </w:rPr>
        <w:t xml:space="preserve">AI &amp; Digital </w:t>
      </w:r>
      <w:r w:rsidR="00507AF4">
        <w:rPr>
          <w:rFonts w:ascii="Arial" w:eastAsia="Arial" w:hAnsi="Arial" w:cs="Arial"/>
          <w:b/>
          <w:bCs/>
          <w:color w:val="2E5FA3"/>
          <w:sz w:val="19"/>
          <w:szCs w:val="19"/>
        </w:rPr>
        <w:t>Transformation</w:t>
      </w:r>
      <w:r w:rsidR="004F1447">
        <w:rPr>
          <w:rFonts w:ascii="Arial" w:eastAsia="Arial" w:hAnsi="Arial" w:cs="Arial"/>
          <w:b/>
          <w:bCs/>
          <w:color w:val="2E5FA3"/>
          <w:sz w:val="19"/>
          <w:szCs w:val="19"/>
        </w:rPr>
        <w:t xml:space="preserve"> 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color w:val="2E5FA3"/>
          <w:sz w:val="19"/>
          <w:szCs w:val="19"/>
        </w:rPr>
        <w:t>Payments Domain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  •  </w:t>
      </w:r>
      <w:r>
        <w:rPr>
          <w:rFonts w:ascii="Arial" w:eastAsia="Arial" w:hAnsi="Arial" w:cs="Arial"/>
          <w:b/>
          <w:bCs/>
          <w:color w:val="2E5FA3"/>
          <w:sz w:val="19"/>
          <w:szCs w:val="19"/>
        </w:rPr>
        <w:t>Regulatory &amp; Compliance</w:t>
      </w:r>
    </w:p>
    <w:p w14:paraId="0942B046" w14:textId="77777777" w:rsidR="00F74FEA" w:rsidRDefault="001C5818">
      <w:pPr>
        <w:spacing w:before="40" w:after="40"/>
      </w:pPr>
      <w:r>
        <w:rPr>
          <w:rFonts w:ascii="Arial" w:eastAsia="Arial" w:hAnsi="Arial" w:cs="Arial"/>
          <w:b/>
          <w:bCs/>
          <w:color w:val="2E5FA3"/>
          <w:sz w:val="19"/>
          <w:szCs w:val="19"/>
        </w:rPr>
        <w:t>Agile &amp; Scrum Delivery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  •  </w:t>
      </w:r>
      <w:r>
        <w:rPr>
          <w:rFonts w:ascii="Arial" w:eastAsia="Arial" w:hAnsi="Arial" w:cs="Arial"/>
          <w:b/>
          <w:bCs/>
          <w:color w:val="2E5FA3"/>
          <w:sz w:val="19"/>
          <w:szCs w:val="19"/>
        </w:rPr>
        <w:t>Risk Governance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  •  </w:t>
      </w:r>
      <w:r>
        <w:rPr>
          <w:rFonts w:ascii="Arial" w:eastAsia="Arial" w:hAnsi="Arial" w:cs="Arial"/>
          <w:b/>
          <w:bCs/>
          <w:color w:val="2E5FA3"/>
          <w:sz w:val="19"/>
          <w:szCs w:val="19"/>
        </w:rPr>
        <w:t>Microservices &amp; APIs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  •  </w:t>
      </w:r>
      <w:r>
        <w:rPr>
          <w:rFonts w:ascii="Arial" w:eastAsia="Arial" w:hAnsi="Arial" w:cs="Arial"/>
          <w:b/>
          <w:bCs/>
          <w:color w:val="2E5FA3"/>
          <w:sz w:val="19"/>
          <w:szCs w:val="19"/>
        </w:rPr>
        <w:t>Stakeholder Management</w:t>
      </w:r>
    </w:p>
    <w:p w14:paraId="0942B047" w14:textId="77777777" w:rsidR="00F74FEA" w:rsidRDefault="001C5818">
      <w:pPr>
        <w:spacing w:before="40" w:after="40"/>
      </w:pPr>
      <w:r>
        <w:rPr>
          <w:rFonts w:ascii="Arial" w:eastAsia="Arial" w:hAnsi="Arial" w:cs="Arial"/>
          <w:b/>
          <w:bCs/>
          <w:color w:val="2E5FA3"/>
          <w:sz w:val="19"/>
          <w:szCs w:val="19"/>
        </w:rPr>
        <w:t>Cross-Functional Leadership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  •  </w:t>
      </w:r>
      <w:r>
        <w:rPr>
          <w:rFonts w:ascii="Arial" w:eastAsia="Arial" w:hAnsi="Arial" w:cs="Arial"/>
          <w:b/>
          <w:bCs/>
          <w:color w:val="2E5FA3"/>
          <w:sz w:val="19"/>
          <w:szCs w:val="19"/>
        </w:rPr>
        <w:t>Vendor &amp; Budget Management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  •  </w:t>
      </w:r>
      <w:r>
        <w:rPr>
          <w:rFonts w:ascii="Arial" w:eastAsia="Arial" w:hAnsi="Arial" w:cs="Arial"/>
          <w:b/>
          <w:bCs/>
          <w:color w:val="2E5FA3"/>
          <w:sz w:val="19"/>
          <w:szCs w:val="19"/>
        </w:rPr>
        <w:t>Technical Architecture</w:t>
      </w:r>
      <w:r>
        <w:rPr>
          <w:rFonts w:ascii="Arial" w:eastAsia="Arial" w:hAnsi="Arial" w:cs="Arial"/>
          <w:color w:val="CCCCCC"/>
          <w:sz w:val="19"/>
          <w:szCs w:val="19"/>
        </w:rPr>
        <w:t xml:space="preserve">  •  </w:t>
      </w:r>
      <w:r>
        <w:rPr>
          <w:rFonts w:ascii="Arial" w:eastAsia="Arial" w:hAnsi="Arial" w:cs="Arial"/>
          <w:b/>
          <w:bCs/>
          <w:color w:val="2E5FA3"/>
          <w:sz w:val="19"/>
          <w:szCs w:val="19"/>
        </w:rPr>
        <w:t>DevOps Practices</w:t>
      </w:r>
    </w:p>
    <w:p w14:paraId="0942B048" w14:textId="77777777" w:rsidR="00F74FEA" w:rsidRDefault="001C5818">
      <w:pPr>
        <w:pBdr>
          <w:bottom w:val="single" w:sz="6" w:space="1" w:color="2E5FA3"/>
        </w:pBdr>
        <w:spacing w:before="18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KEY ACHIEVEMENTS</w:t>
      </w:r>
    </w:p>
    <w:p w14:paraId="0942B049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Led cross-functional teams of 25–35 members across India, Hong Kong, and ASEAN; delivered 15+ high-impact programs in payments and regulatory domains.</w:t>
      </w:r>
    </w:p>
    <w:p w14:paraId="0942B04A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Managed program budgets of $1.5M–$3M across multi-year, multi-country transformation initiatives.</w:t>
      </w:r>
    </w:p>
    <w:p w14:paraId="0942B04B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Achieved 25% improvement in operational efficiency through architecture modernisation and process optimisation.</w:t>
      </w:r>
    </w:p>
    <w:p w14:paraId="0942B04C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Delivered complex cross-border payment solutions (GIFT City, RTGS, ACH) across 5+ markets, consistently ahead of schedule.</w:t>
      </w:r>
    </w:p>
    <w:p w14:paraId="0942B04D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Led FATCA, FATF, and ISO compliance programs, establishing governance frameworks adopted across global markets.</w:t>
      </w:r>
    </w:p>
    <w:p w14:paraId="0942B04E" w14:textId="77777777" w:rsidR="00F74FEA" w:rsidRDefault="001C5818">
      <w:pPr>
        <w:pBdr>
          <w:bottom w:val="single" w:sz="6" w:space="1" w:color="2E5FA3"/>
        </w:pBdr>
        <w:spacing w:before="18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EXPERIENCE</w:t>
      </w:r>
    </w:p>
    <w:p w14:paraId="0942B04F" w14:textId="77777777" w:rsidR="00F74FEA" w:rsidRDefault="001C5818">
      <w:pPr>
        <w:spacing w:before="140" w:after="3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Associate Vice President</w:t>
      </w:r>
      <w:r>
        <w:rPr>
          <w:rFonts w:ascii="Arial" w:eastAsia="Arial" w:hAnsi="Arial" w:cs="Arial"/>
          <w:color w:val="CCCCCC"/>
        </w:rPr>
        <w:t xml:space="preserve">  |  </w:t>
      </w:r>
      <w:r>
        <w:rPr>
          <w:rFonts w:ascii="Arial" w:eastAsia="Arial" w:hAnsi="Arial" w:cs="Arial"/>
          <w:b/>
          <w:bCs/>
          <w:color w:val="2E5FA3"/>
        </w:rPr>
        <w:t>Standard Chartered Bank, Chennai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|  Sep 2013 – Present</w:t>
      </w:r>
    </w:p>
    <w:p w14:paraId="0942B050" w14:textId="77777777" w:rsidR="00F74FEA" w:rsidRDefault="001C5818">
      <w:pPr>
        <w:spacing w:before="80" w:after="30"/>
      </w:pPr>
      <w:r>
        <w:rPr>
          <w:rFonts w:ascii="Arial" w:eastAsia="Arial" w:hAnsi="Arial" w:cs="Arial"/>
          <w:b/>
          <w:bCs/>
          <w:color w:val="222222"/>
        </w:rPr>
        <w:t xml:space="preserve">Tech Project Manager &amp; Engineering Lead – </w:t>
      </w:r>
      <w:proofErr w:type="spellStart"/>
      <w:r>
        <w:rPr>
          <w:rFonts w:ascii="Arial" w:eastAsia="Arial" w:hAnsi="Arial" w:cs="Arial"/>
          <w:b/>
          <w:bCs/>
          <w:color w:val="222222"/>
        </w:rPr>
        <w:t>SCPay</w:t>
      </w:r>
      <w:proofErr w:type="spellEnd"/>
      <w:r>
        <w:rPr>
          <w:rFonts w:ascii="Arial" w:eastAsia="Arial" w:hAnsi="Arial" w:cs="Arial"/>
          <w:b/>
          <w:bCs/>
          <w:color w:val="222222"/>
        </w:rPr>
        <w:t xml:space="preserve"> Platform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2020 – Present</w:t>
      </w:r>
    </w:p>
    <w:p w14:paraId="0942B051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 xml:space="preserve">Led ~30-member agile team delivering </w:t>
      </w:r>
      <w:proofErr w:type="spellStart"/>
      <w:r>
        <w:rPr>
          <w:rFonts w:ascii="Arial" w:eastAsia="Arial" w:hAnsi="Arial" w:cs="Arial"/>
          <w:color w:val="444444"/>
        </w:rPr>
        <w:t>SCPay</w:t>
      </w:r>
      <w:proofErr w:type="spellEnd"/>
      <w:r>
        <w:rPr>
          <w:rFonts w:ascii="Arial" w:eastAsia="Arial" w:hAnsi="Arial" w:cs="Arial"/>
          <w:color w:val="444444"/>
        </w:rPr>
        <w:t xml:space="preserve"> — a microservices-based, event-driven payment platform using Kafka and DevOps practices.</w:t>
      </w:r>
    </w:p>
    <w:p w14:paraId="0942B052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Enabled real-time, high-volume cross-border payment processing across 5+ markets including GIFT City, RTGS, and ACH integrations.</w:t>
      </w:r>
    </w:p>
    <w:p w14:paraId="0942B053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Drove adoption of CI/CD, microservices architecture, and event-driven processing — improving scalability, resilience, and system performance.</w:t>
      </w:r>
    </w:p>
    <w:p w14:paraId="0942B054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Governed architecture decisions, code quality, and technical design; managed vendor ecosystem and business/technology stakeholder alignment.</w:t>
      </w:r>
    </w:p>
    <w:p w14:paraId="0942B055" w14:textId="77777777" w:rsidR="00F74FEA" w:rsidRDefault="001C5818">
      <w:pPr>
        <w:spacing w:before="50" w:after="40"/>
      </w:pP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Key Implementations: </w:t>
      </w:r>
      <w:proofErr w:type="spellStart"/>
      <w:r>
        <w:rPr>
          <w:rFonts w:ascii="Arial" w:eastAsia="Arial" w:hAnsi="Arial" w:cs="Arial"/>
          <w:color w:val="444444"/>
          <w:sz w:val="19"/>
          <w:szCs w:val="19"/>
        </w:rPr>
        <w:t>SCPay</w:t>
      </w:r>
      <w:proofErr w:type="spellEnd"/>
      <w:r>
        <w:rPr>
          <w:rFonts w:ascii="Arial" w:eastAsia="Arial" w:hAnsi="Arial" w:cs="Arial"/>
          <w:color w:val="444444"/>
          <w:sz w:val="19"/>
          <w:szCs w:val="19"/>
        </w:rPr>
        <w:t xml:space="preserve"> Pre-Processor  •  RTGS &amp; ACH Rollouts  •  Hogan to ATLAS Migration</w:t>
      </w:r>
    </w:p>
    <w:p w14:paraId="0942B056" w14:textId="77777777" w:rsidR="00F74FEA" w:rsidRDefault="001C5818">
      <w:pPr>
        <w:spacing w:before="80" w:after="30"/>
      </w:pPr>
      <w:r>
        <w:rPr>
          <w:rFonts w:ascii="Arial" w:eastAsia="Arial" w:hAnsi="Arial" w:cs="Arial"/>
          <w:b/>
          <w:bCs/>
          <w:color w:val="222222"/>
        </w:rPr>
        <w:t xml:space="preserve">Program Manager – STS / </w:t>
      </w:r>
      <w:proofErr w:type="spellStart"/>
      <w:r>
        <w:rPr>
          <w:rFonts w:ascii="Arial" w:eastAsia="Arial" w:hAnsi="Arial" w:cs="Arial"/>
          <w:b/>
          <w:bCs/>
          <w:color w:val="222222"/>
        </w:rPr>
        <w:t>DotOpal</w:t>
      </w:r>
      <w:proofErr w:type="spellEnd"/>
      <w:r>
        <w:rPr>
          <w:rFonts w:ascii="Arial" w:eastAsia="Arial" w:hAnsi="Arial" w:cs="Arial"/>
          <w:b/>
          <w:bCs/>
          <w:color w:val="222222"/>
        </w:rPr>
        <w:t xml:space="preserve"> / GCG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2013 – 2019</w:t>
      </w:r>
    </w:p>
    <w:p w14:paraId="0942B057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Delivered large-scale regulatory programs across global markets, including FATCA, FATF, and ISO compliance initiatives.</w:t>
      </w:r>
    </w:p>
    <w:p w14:paraId="0942B058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Established governance frameworks for risk tracking, stakeholder reporting, and regulatory alignment with senior leadership.</w:t>
      </w:r>
    </w:p>
    <w:p w14:paraId="0942B059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Partnered with business, technology, and regulatory bodies to align transformation programs with enterprise strategy.</w:t>
      </w:r>
    </w:p>
    <w:p w14:paraId="0942B05A" w14:textId="77777777" w:rsidR="00F74FEA" w:rsidRDefault="001C5818">
      <w:pPr>
        <w:spacing w:before="140" w:after="3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Assistant Manager – Credit Bureau Solutions</w:t>
      </w:r>
      <w:r>
        <w:rPr>
          <w:rFonts w:ascii="Arial" w:eastAsia="Arial" w:hAnsi="Arial" w:cs="Arial"/>
          <w:color w:val="CCCCCC"/>
        </w:rPr>
        <w:t xml:space="preserve">  |  </w:t>
      </w:r>
      <w:r>
        <w:rPr>
          <w:rFonts w:ascii="Arial" w:eastAsia="Arial" w:hAnsi="Arial" w:cs="Arial"/>
          <w:b/>
          <w:bCs/>
          <w:color w:val="2E5FA3"/>
        </w:rPr>
        <w:t>Dun &amp; Bradstreet TransUnion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|  Dec 2006 – Sep 2013</w:t>
      </w:r>
    </w:p>
    <w:p w14:paraId="0942B05B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lastRenderedPageBreak/>
        <w:t>Led development teams of 10–15 members delivering credit bureau solutions across 5 countries (Qatar, Libya, Egypt, Sri Lanka, India).</w:t>
      </w:r>
    </w:p>
    <w:p w14:paraId="0942B05C" w14:textId="77777777" w:rsidR="00F74FEA" w:rsidRDefault="001C5818">
      <w:pPr>
        <w:spacing w:before="140" w:after="3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Senior Systems Analyst</w:t>
      </w:r>
      <w:r>
        <w:rPr>
          <w:rFonts w:ascii="Arial" w:eastAsia="Arial" w:hAnsi="Arial" w:cs="Arial"/>
          <w:color w:val="CCCCCC"/>
        </w:rPr>
        <w:t xml:space="preserve">  |  </w:t>
      </w:r>
      <w:r>
        <w:rPr>
          <w:rFonts w:ascii="Arial" w:eastAsia="Arial" w:hAnsi="Arial" w:cs="Arial"/>
          <w:b/>
          <w:bCs/>
          <w:color w:val="2E5FA3"/>
        </w:rPr>
        <w:t>Accel Frontline Ltd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|  Jul 2005 – Dec 2006</w:t>
      </w:r>
    </w:p>
    <w:p w14:paraId="0942B05D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Led development activities and system analysis for enterprise-level solutions.</w:t>
      </w:r>
    </w:p>
    <w:p w14:paraId="0942B05E" w14:textId="77777777" w:rsidR="00F74FEA" w:rsidRDefault="001C5818">
      <w:pPr>
        <w:spacing w:before="140" w:after="3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Systems Analyst</w:t>
      </w:r>
      <w:r>
        <w:rPr>
          <w:rFonts w:ascii="Arial" w:eastAsia="Arial" w:hAnsi="Arial" w:cs="Arial"/>
          <w:color w:val="CCCCCC"/>
        </w:rPr>
        <w:t xml:space="preserve">  |  </w:t>
      </w:r>
      <w:r>
        <w:rPr>
          <w:rFonts w:ascii="Arial" w:eastAsia="Arial" w:hAnsi="Arial" w:cs="Arial"/>
          <w:b/>
          <w:bCs/>
          <w:color w:val="2E5FA3"/>
        </w:rPr>
        <w:t>AI Corporate Solutions</w:t>
      </w: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|  Apr 2002 – Jul 2005</w:t>
      </w:r>
    </w:p>
    <w:p w14:paraId="0942B05F" w14:textId="77777777" w:rsidR="00F74FEA" w:rsidRDefault="001C5818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Delivered system analysis and development work across enterprise projects in the early stage of career.</w:t>
      </w:r>
    </w:p>
    <w:p w14:paraId="0942B060" w14:textId="77777777" w:rsidR="00F74FEA" w:rsidRDefault="001C5818">
      <w:pPr>
        <w:pBdr>
          <w:bottom w:val="single" w:sz="6" w:space="1" w:color="2E5FA3"/>
        </w:pBdr>
        <w:spacing w:before="18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TECHNICAL SKILLS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4FEA" w14:paraId="0942B069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942B061" w14:textId="77777777" w:rsidR="00F74FEA" w:rsidRDefault="001C581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Microservices Architecture</w:t>
            </w:r>
          </w:p>
          <w:p w14:paraId="0942B062" w14:textId="77777777" w:rsidR="00F74FEA" w:rsidRDefault="001C581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REST APIs / Spring Boot</w:t>
            </w:r>
          </w:p>
          <w:p w14:paraId="0942B063" w14:textId="77777777" w:rsidR="00F74FEA" w:rsidRDefault="001C581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Kafka &amp; Event-Driven Systems</w:t>
            </w:r>
          </w:p>
          <w:p w14:paraId="0942B064" w14:textId="77777777" w:rsidR="00F74FEA" w:rsidRDefault="001C581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CI/CD &amp; DevOps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942B065" w14:textId="77777777" w:rsidR="00F74FEA" w:rsidRDefault="001C581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SQL Optimisation</w:t>
            </w:r>
          </w:p>
          <w:p w14:paraId="0942B066" w14:textId="77777777" w:rsidR="00F74FEA" w:rsidRDefault="001C581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C#, ASP.NET, MVC, WCF</w:t>
            </w:r>
          </w:p>
          <w:p w14:paraId="0942B067" w14:textId="77777777" w:rsidR="00F74FEA" w:rsidRDefault="001C581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MSBI / Oracle</w:t>
            </w:r>
          </w:p>
          <w:p w14:paraId="0942B068" w14:textId="77777777" w:rsidR="00F74FEA" w:rsidRDefault="001C5818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Agile / Scrum Tools</w:t>
            </w:r>
          </w:p>
        </w:tc>
      </w:tr>
    </w:tbl>
    <w:p w14:paraId="0942B06A" w14:textId="77777777" w:rsidR="00F74FEA" w:rsidRDefault="001C5818">
      <w:pPr>
        <w:pBdr>
          <w:bottom w:val="single" w:sz="6" w:space="1" w:color="2E5FA3"/>
        </w:pBdr>
        <w:spacing w:before="18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EDUCATION &amp; CERTIFICATIONS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4FEA" w14:paraId="0942B06E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FA0212D" w14:textId="77777777" w:rsidR="00450BFB" w:rsidRPr="00450BFB" w:rsidRDefault="00450BFB" w:rsidP="00BE191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450BFB">
              <w:rPr>
                <w:rFonts w:ascii="Arial" w:eastAsia="Arial" w:hAnsi="Arial" w:cs="Arial"/>
                <w:b/>
                <w:bCs/>
                <w:color w:val="444444"/>
                <w:sz w:val="19"/>
                <w:szCs w:val="19"/>
              </w:rPr>
              <w:t>PG Diploma in Artificial Intelligence &amp; Machine Learning (2025)</w:t>
            </w:r>
            <w:r w:rsidRPr="00450BFB">
              <w:rPr>
                <w:rFonts w:ascii="Arial" w:eastAsia="Arial" w:hAnsi="Arial" w:cs="Arial"/>
                <w:color w:val="444444"/>
                <w:sz w:val="19"/>
                <w:szCs w:val="19"/>
              </w:rPr>
              <w:br/>
              <w:t>Focus Areas: Machine Learning, Deep Learning, Generative AI, Prompt Engineering, AI Governance, Data Analytics</w:t>
            </w:r>
            <w:r w:rsidRPr="00450BFB"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</w:t>
            </w:r>
          </w:p>
          <w:p w14:paraId="0942B06C" w14:textId="52B472AC" w:rsidR="00F74FEA" w:rsidRDefault="001C5818" w:rsidP="00BE191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MCA – Bharathidasan University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DA6283D" w14:textId="298C0558" w:rsidR="00425F9F" w:rsidRPr="00425F9F" w:rsidRDefault="00425F9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PMP – Project Management Professional</w:t>
            </w:r>
          </w:p>
          <w:p w14:paraId="0942B06D" w14:textId="241DE2A1" w:rsidR="00F74FEA" w:rsidRDefault="00425F9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B.Sc. Computer Science – Bharathidasan University</w:t>
            </w:r>
          </w:p>
        </w:tc>
      </w:tr>
    </w:tbl>
    <w:p w14:paraId="0942B06F" w14:textId="77777777" w:rsidR="00F74FEA" w:rsidRDefault="001C5818">
      <w:pPr>
        <w:pBdr>
          <w:bottom w:val="single" w:sz="6" w:space="1" w:color="2E5FA3"/>
        </w:pBdr>
        <w:spacing w:before="18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ADDITIONAL INFORMATION</w:t>
      </w:r>
    </w:p>
    <w:p w14:paraId="0942B070" w14:textId="77777777" w:rsidR="00F74FEA" w:rsidRDefault="001C5818">
      <w:pPr>
        <w:spacing w:before="60" w:after="40"/>
      </w:pP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Languages: 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English, Tamil     </w:t>
      </w: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Location: 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Chennai, India     </w:t>
      </w:r>
      <w:r>
        <w:rPr>
          <w:rFonts w:ascii="Arial" w:eastAsia="Arial" w:hAnsi="Arial" w:cs="Arial"/>
          <w:b/>
          <w:bCs/>
          <w:color w:val="222222"/>
          <w:sz w:val="19"/>
          <w:szCs w:val="19"/>
        </w:rPr>
        <w:t xml:space="preserve">Availability: </w:t>
      </w:r>
      <w:r>
        <w:rPr>
          <w:rFonts w:ascii="Arial" w:eastAsia="Arial" w:hAnsi="Arial" w:cs="Arial"/>
          <w:color w:val="444444"/>
          <w:sz w:val="19"/>
          <w:szCs w:val="19"/>
        </w:rPr>
        <w:t>Open to relocation / remote senior roles</w:t>
      </w:r>
    </w:p>
    <w:sectPr w:rsidR="00F74FE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B22C4"/>
    <w:multiLevelType w:val="hybridMultilevel"/>
    <w:tmpl w:val="EC96E6FA"/>
    <w:lvl w:ilvl="0" w:tplc="BA62D9D4">
      <w:start w:val="1"/>
      <w:numFmt w:val="bullet"/>
      <w:lvlText w:val="▪"/>
      <w:lvlJc w:val="left"/>
      <w:pPr>
        <w:ind w:left="360" w:hanging="240"/>
      </w:pPr>
      <w:rPr>
        <w:color w:val="2E5FA3"/>
        <w:sz w:val="18"/>
        <w:szCs w:val="18"/>
      </w:rPr>
    </w:lvl>
    <w:lvl w:ilvl="1" w:tplc="466C0910">
      <w:numFmt w:val="decimal"/>
      <w:lvlText w:val=""/>
      <w:lvlJc w:val="left"/>
    </w:lvl>
    <w:lvl w:ilvl="2" w:tplc="09BCF602">
      <w:numFmt w:val="decimal"/>
      <w:lvlText w:val=""/>
      <w:lvlJc w:val="left"/>
    </w:lvl>
    <w:lvl w:ilvl="3" w:tplc="3896291A">
      <w:numFmt w:val="decimal"/>
      <w:lvlText w:val=""/>
      <w:lvlJc w:val="left"/>
    </w:lvl>
    <w:lvl w:ilvl="4" w:tplc="58DA39F2">
      <w:numFmt w:val="decimal"/>
      <w:lvlText w:val=""/>
      <w:lvlJc w:val="left"/>
    </w:lvl>
    <w:lvl w:ilvl="5" w:tplc="60028716">
      <w:numFmt w:val="decimal"/>
      <w:lvlText w:val=""/>
      <w:lvlJc w:val="left"/>
    </w:lvl>
    <w:lvl w:ilvl="6" w:tplc="D6646CAE">
      <w:numFmt w:val="decimal"/>
      <w:lvlText w:val=""/>
      <w:lvlJc w:val="left"/>
    </w:lvl>
    <w:lvl w:ilvl="7" w:tplc="DDE40176">
      <w:numFmt w:val="decimal"/>
      <w:lvlText w:val=""/>
      <w:lvlJc w:val="left"/>
    </w:lvl>
    <w:lvl w:ilvl="8" w:tplc="6CD8F4C2">
      <w:numFmt w:val="decimal"/>
      <w:lvlText w:val=""/>
      <w:lvlJc w:val="left"/>
    </w:lvl>
  </w:abstractNum>
  <w:abstractNum w:abstractNumId="1" w15:restartNumberingAfterBreak="0">
    <w:nsid w:val="5E6F0815"/>
    <w:multiLevelType w:val="hybridMultilevel"/>
    <w:tmpl w:val="8000FA0A"/>
    <w:lvl w:ilvl="0" w:tplc="D5CA1DD2">
      <w:start w:val="1"/>
      <w:numFmt w:val="bullet"/>
      <w:lvlText w:val="●"/>
      <w:lvlJc w:val="left"/>
      <w:pPr>
        <w:ind w:left="720" w:hanging="360"/>
      </w:pPr>
    </w:lvl>
    <w:lvl w:ilvl="1" w:tplc="6554D088">
      <w:start w:val="1"/>
      <w:numFmt w:val="bullet"/>
      <w:lvlText w:val="○"/>
      <w:lvlJc w:val="left"/>
      <w:pPr>
        <w:ind w:left="1440" w:hanging="360"/>
      </w:pPr>
    </w:lvl>
    <w:lvl w:ilvl="2" w:tplc="92880876">
      <w:start w:val="1"/>
      <w:numFmt w:val="bullet"/>
      <w:lvlText w:val="■"/>
      <w:lvlJc w:val="left"/>
      <w:pPr>
        <w:ind w:left="2160" w:hanging="360"/>
      </w:pPr>
    </w:lvl>
    <w:lvl w:ilvl="3" w:tplc="D77AECAA">
      <w:start w:val="1"/>
      <w:numFmt w:val="bullet"/>
      <w:lvlText w:val="●"/>
      <w:lvlJc w:val="left"/>
      <w:pPr>
        <w:ind w:left="2880" w:hanging="360"/>
      </w:pPr>
    </w:lvl>
    <w:lvl w:ilvl="4" w:tplc="CDC81F16">
      <w:start w:val="1"/>
      <w:numFmt w:val="bullet"/>
      <w:lvlText w:val="○"/>
      <w:lvlJc w:val="left"/>
      <w:pPr>
        <w:ind w:left="3600" w:hanging="360"/>
      </w:pPr>
    </w:lvl>
    <w:lvl w:ilvl="5" w:tplc="02BC3912">
      <w:start w:val="1"/>
      <w:numFmt w:val="bullet"/>
      <w:lvlText w:val="■"/>
      <w:lvlJc w:val="left"/>
      <w:pPr>
        <w:ind w:left="4320" w:hanging="360"/>
      </w:pPr>
    </w:lvl>
    <w:lvl w:ilvl="6" w:tplc="C3367A3E">
      <w:start w:val="1"/>
      <w:numFmt w:val="bullet"/>
      <w:lvlText w:val="●"/>
      <w:lvlJc w:val="left"/>
      <w:pPr>
        <w:ind w:left="5040" w:hanging="360"/>
      </w:pPr>
    </w:lvl>
    <w:lvl w:ilvl="7" w:tplc="0FCC679A">
      <w:start w:val="1"/>
      <w:numFmt w:val="bullet"/>
      <w:lvlText w:val="●"/>
      <w:lvlJc w:val="left"/>
      <w:pPr>
        <w:ind w:left="5760" w:hanging="360"/>
      </w:pPr>
    </w:lvl>
    <w:lvl w:ilvl="8" w:tplc="EA6E051E">
      <w:start w:val="1"/>
      <w:numFmt w:val="bullet"/>
      <w:lvlText w:val="●"/>
      <w:lvlJc w:val="left"/>
      <w:pPr>
        <w:ind w:left="6480" w:hanging="360"/>
      </w:pPr>
    </w:lvl>
  </w:abstractNum>
  <w:num w:numId="1" w16cid:durableId="194581576">
    <w:abstractNumId w:val="1"/>
    <w:lvlOverride w:ilvl="0">
      <w:startOverride w:val="1"/>
    </w:lvlOverride>
  </w:num>
  <w:num w:numId="2" w16cid:durableId="2076001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FEA"/>
    <w:rsid w:val="00021997"/>
    <w:rsid w:val="0013416A"/>
    <w:rsid w:val="001C5818"/>
    <w:rsid w:val="00425F9F"/>
    <w:rsid w:val="00450BFB"/>
    <w:rsid w:val="004E6720"/>
    <w:rsid w:val="004F1447"/>
    <w:rsid w:val="00507AF4"/>
    <w:rsid w:val="00BE191A"/>
    <w:rsid w:val="00CA6DE4"/>
    <w:rsid w:val="00F7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B03E"/>
  <w15:docId w15:val="{8DDF39A8-0BAF-4638-9B3F-DF4D4E1D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vijayan m</cp:lastModifiedBy>
  <cp:revision>8</cp:revision>
  <dcterms:created xsi:type="dcterms:W3CDTF">2026-05-30T07:49:00Z</dcterms:created>
  <dcterms:modified xsi:type="dcterms:W3CDTF">2026-06-11T16:09:00Z</dcterms:modified>
</cp:coreProperties>
</file>