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32yu3xhb98k" w:id="0"/>
      <w:bookmarkEnd w:id="0"/>
      <w:r w:rsidDel="00000000" w:rsidR="00000000" w:rsidRPr="00000000">
        <w:rPr>
          <w:rtl w:val="0"/>
        </w:rPr>
        <w:t xml:space="preserve">Take Home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write a simple application to do the following: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GraphQL endpoint -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https://countries.trevorblades.com/</w:t>
        </w:r>
      </w:hyperlink>
      <w:r w:rsidDel="00000000" w:rsidR="00000000" w:rsidRPr="00000000">
        <w:rPr>
          <w:rtl w:val="0"/>
        </w:rPr>
        <w:t xml:space="preserve"> to access Continents, Countries and Languages. You can access the endpoint through a browser to see the various tables and queries available.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 new react application using create-react-app (with typescript).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page to allow the user to select a continent.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continent is selected, allow the user to select a country.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country has been selected, show the languages used in that country.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filter to restrict the list of countries by language: i.e. only show countries that use the filtered language.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whatever libraries you are comfortable using.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Points to remember: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TypeScript throughout.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code modular.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use of “let” and “for” statements.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business logic from tsx files.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Bonus Points: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Appealing visual presentation.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tests, although they don’t need to be extensive.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will be asked to make changes to your code during the interview.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ntries.trevorbla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