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Separate Speaker Notes and Viva Guide</w:t>
      </w:r>
    </w:p>
    <w:p>
      <w:r>
        <w:t>20-slide faculty review presentation</w:t>
      </w:r>
    </w:p>
    <w:p>
      <w:r>
        <w:t>This guide follows the shortened Gamma deck. Slides 1 to 18 form the discussion; slides 19 and 20 provide selected citations. The full 35-paper matrix and bibliography remain in the report. Rehearse the methodology flowchart and demonstration first. Questions below are preparation prompts, not a prediction of your faculty’s questions.</w:t>
      </w:r>
    </w:p>
    <w:p>
      <w:r>
        <w:t>Use these terms consistently: simulator means the equation-based nominal calculation; surrogate means the fitted ML approximation. The saved forest uses three features. Six additional material controls apply only to the direct simulator. Every numerical result is simulation-based.</w:t>
      </w:r>
    </w:p>
    <w:p>
      <w:r>
        <w:br w:type="page"/>
      </w:r>
    </w:p>
    <w:p>
      <w:pPr>
        <w:pStyle w:val="Heading1"/>
        <w:keepNext/>
      </w:pPr>
      <w:r>
        <w:t>Slide 1  Defect-Aware ML for Predicting Tensile Strength of E-Glass/Epoxy Composites</w:t>
      </w:r>
    </w:p>
    <w:p>
      <w:pPr>
        <w:keepNext/>
      </w:pPr>
      <w:r>
        <w:t>Introduce both students. Explain that the project builds an equation-based nominal simulator, then trains a regression model to approximate its outputs. The demonstration uses simulated data throughout.</w:t>
      </w:r>
    </w:p>
    <w:p>
      <w:pPr>
        <w:keepNext/>
      </w:pPr>
      <w:r>
        <w:rPr>
          <w:b/>
        </w:rPr>
        <w:t xml:space="preserve">Possible faculty question: </w:t>
      </w:r>
      <w:r>
        <w:t>What did you actually build?</w:t>
      </w:r>
    </w:p>
    <w:p>
      <w:r>
        <w:rPr>
          <w:b/>
        </w:rPr>
        <w:t xml:space="preserve">Suggested answer: </w:t>
      </w:r>
      <w:r>
        <w:t>A reproducible simulator, simulated dataset, two-model evaluation and a local demonstration dashboard. Experimental validation remains outstanding.</w:t>
      </w:r>
    </w:p>
    <w:p>
      <w:pPr>
        <w:pStyle w:val="Heading1"/>
        <w:keepNext/>
      </w:pPr>
      <w:r>
        <w:t>Slide 2  Introduction and application</w:t>
      </w:r>
    </w:p>
    <w:p>
      <w:pPr>
        <w:keepNext/>
      </w:pPr>
      <w:r>
        <w:t>Start with the material. Epoxy binds fibres and transfers load. A void is an air-filled defect. Off-axis loading increasingly involves transverse and shear response. The software illustrates a documented assumed response rather than measuring a specimen. Sources [1], [3], [28].</w:t>
      </w:r>
    </w:p>
    <w:p>
      <w:pPr>
        <w:keepNext/>
      </w:pPr>
      <w:r>
        <w:rPr>
          <w:b/>
        </w:rPr>
        <w:t xml:space="preserve">Possible faculty question: </w:t>
      </w:r>
      <w:r>
        <w:t>Why use machine learning if an equation already exists?</w:t>
      </w:r>
    </w:p>
    <w:p>
      <w:r>
        <w:rPr>
          <w:b/>
        </w:rPr>
        <w:t xml:space="preserve">Suggested answer: </w:t>
      </w:r>
      <w:r>
        <w:t>The ML component demonstrates surrogate modelling and its evaluation. This simple equation is already inexpensive, so we do not claim a measured speed advantage or a need for ML to solve it.</w:t>
      </w:r>
    </w:p>
    <w:p>
      <w:r>
        <w:br w:type="page"/>
      </w:r>
    </w:p>
    <w:p>
      <w:pPr>
        <w:pStyle w:val="Heading1"/>
        <w:keepNext/>
      </w:pPr>
      <w:r>
        <w:t>Slide 3  Problem identification research gap and objectives</w:t>
      </w:r>
    </w:p>
    <w:p>
      <w:pPr>
        <w:keepNext/>
      </w:pPr>
      <w:r>
        <w:t>Connect the evidence gap to the choice of simulation. A large synthetic dataset cannot supply missing experimental knowledge. Explain the objectives as completed software tasks and reserve physical validation as future work.</w:t>
      </w:r>
    </w:p>
    <w:p>
      <w:pPr>
        <w:keepNext/>
      </w:pPr>
      <w:r>
        <w:rPr>
          <w:b/>
        </w:rPr>
        <w:t xml:space="preserve">Possible faculty question: </w:t>
      </w:r>
      <w:r>
        <w:t>Why not train directly on the eight extracted literature rows?</w:t>
      </w:r>
    </w:p>
    <w:p>
      <w:r>
        <w:rPr>
          <w:b/>
        </w:rPr>
        <w:t xml:space="preserve">Suggested answer: </w:t>
      </w:r>
      <w:r>
        <w:t>They are unreviewed, lack void content and include incompatible angles or architectures. Pooling them would invent inputs or erase important material differences.</w:t>
      </w:r>
    </w:p>
    <w:p>
      <w:pPr>
        <w:pStyle w:val="Heading1"/>
        <w:keepNext/>
      </w:pPr>
      <w:r>
        <w:t>Slide 4  Literature review and main findings</w:t>
      </w:r>
    </w:p>
    <w:p>
      <w:pPr>
        <w:keepNext/>
      </w:pPr>
      <w:r>
        <w:t>The short presentation synthesises the review rather than reading 35 records aloud. Reference numbers match the full report. Explain that carbon, woven, impact and ILSS studies offer methodological context, not matched UD tensile training measurements.</w:t>
      </w:r>
    </w:p>
    <w:p>
      <w:pPr>
        <w:keepNext/>
      </w:pPr>
      <w:r>
        <w:rPr>
          <w:b/>
        </w:rPr>
        <w:t xml:space="preserve">Possible faculty question: </w:t>
      </w:r>
      <w:r>
        <w:t>Does another paper’s good result validate our model?</w:t>
      </w:r>
    </w:p>
    <w:p>
      <w:r>
        <w:rPr>
          <w:b/>
        </w:rPr>
        <w:t xml:space="preserve">Suggested answer: </w:t>
      </w:r>
      <w:r>
        <w:t>No. Each material system, simulator, target and data split needs its own evaluation and independent assessment.</w:t>
      </w:r>
    </w:p>
    <w:p>
      <w:r>
        <w:br w:type="page"/>
      </w:r>
    </w:p>
    <w:p>
      <w:pPr>
        <w:pStyle w:val="Heading1"/>
        <w:keepNext/>
      </w:pPr>
      <w:r>
        <w:t>Slide 5  Materials and methods input features</w:t>
      </w:r>
    </w:p>
    <w:p>
      <w:pPr>
        <w:keepNext/>
      </w:pPr>
      <w:r>
        <w:t>Fibre fraction is fibre volume divided by total composite volume. Void fraction is air-space volume divided by total volume. Angle means a uniform fibre-to-load orientation, not a spatial distribution of waviness. Inputs outside these ranges are blocked.</w:t>
      </w:r>
    </w:p>
    <w:p>
      <w:pPr>
        <w:keepNext/>
      </w:pPr>
      <w:r>
        <w:rPr>
          <w:b/>
        </w:rPr>
        <w:t xml:space="preserve">Possible faculty question: </w:t>
      </w:r>
      <w:r>
        <w:t>Is a 45% fibre weight fraction the same as a 45% volume fraction?</w:t>
      </w:r>
    </w:p>
    <w:p>
      <w:r>
        <w:rPr>
          <w:b/>
        </w:rPr>
        <w:t xml:space="preserve">Suggested answer: </w:t>
      </w:r>
      <w:r>
        <w:t>No. Densities are needed for a conversion. The current interface expects volume percentages, so an unconverted weight fraction is not a valid input.</w:t>
      </w:r>
    </w:p>
    <w:p>
      <w:pPr>
        <w:pStyle w:val="Heading1"/>
        <w:keepNext/>
      </w:pPr>
      <w:r>
        <w:t>Slide 6  Additional material inputs and nominal defaults</w:t>
      </w:r>
    </w:p>
    <w:p>
      <w:pPr>
        <w:keepNext/>
      </w:pPr>
      <w:r>
        <w:t>All six values are assumptions rather than measurements. A feature is varied across the ML training rows. A parameter is fixed inside the simulator used for those rows. To make material properties trained features, define a larger supported dataset and train a new model.</w:t>
      </w:r>
    </w:p>
    <w:p>
      <w:pPr>
        <w:keepNext/>
      </w:pPr>
      <w:r>
        <w:rPr>
          <w:b/>
        </w:rPr>
        <w:t xml:space="preserve">Possible faculty question: </w:t>
      </w:r>
      <w:r>
        <w:t>Does changing fibre strength change the Random Forest estimate?</w:t>
      </w:r>
    </w:p>
    <w:p>
      <w:r>
        <w:rPr>
          <w:b/>
        </w:rPr>
        <w:t xml:space="preserve">Suggested answer: </w:t>
      </w:r>
      <w:r>
        <w:t>The direct simulator result changes. The bundled forest still represents the original nominal defaults and must not be described as a nine-input ML model.</w:t>
      </w:r>
    </w:p>
    <w:p>
      <w:r>
        <w:br w:type="page"/>
      </w:r>
    </w:p>
    <w:p>
      <w:pPr>
        <w:pStyle w:val="Heading1"/>
        <w:keepNext/>
      </w:pPr>
      <w:r>
        <w:t>Slide 7  Methodology</w:t>
      </w:r>
    </w:p>
    <w:p>
      <w:pPr>
        <w:keepNext/>
      </w:pPr>
      <w:r>
        <w:t>Follow the arrows from top to bottom. The two evaluation branches use fresh candidate fits. The random split chooses the shipped model. The literature branch remains separate and currently stops at incomplete, unreviewed inputs. This layout adapts the structure of template slide 11 but replaces manufacturing and physical tests with the software work actually performed.</w:t>
      </w:r>
    </w:p>
    <w:p>
      <w:pPr>
        <w:keepNext/>
      </w:pPr>
      <w:r>
        <w:rPr>
          <w:b/>
        </w:rPr>
        <w:t xml:space="preserve">Possible faculty question: </w:t>
      </w:r>
      <w:r>
        <w:t>How do you prevent training and test leakage?</w:t>
      </w:r>
    </w:p>
    <w:p>
      <w:r>
        <w:rPr>
          <w:b/>
        </w:rPr>
        <w:t xml:space="preserve">Suggested answer: </w:t>
      </w:r>
      <w:r>
        <w:t>Fit candidates only on the training partition of the same fixed split. The holdout selects a model, so it is a selection set rather than an untouched final scientific benchmark.</w:t>
      </w:r>
    </w:p>
    <w:p>
      <w:pPr>
        <w:pStyle w:val="Heading1"/>
        <w:keepNext/>
      </w:pPr>
      <w:r>
        <w:t>Slide 8  Physics model strength calculation</w:t>
      </w:r>
    </w:p>
    <w:p>
      <w:pPr>
        <w:keepNext/>
      </w:pPr>
      <w:r>
        <w:t>Explain the stages before reading equations. Match modulus units when calculating failure strain. At Vf 45% and Vv 2%, sigma_m*=55 MPa, X0=817.75 MPa, Xv=801.56 MPa, Yv=36.92 MPa and Sv=55.39 MPa. The mixture and void factors are nominal assumptions; no calibration is claimed.</w:t>
      </w:r>
    </w:p>
    <w:p>
      <w:pPr>
        <w:keepNext/>
      </w:pPr>
      <w:r>
        <w:rPr>
          <w:b/>
        </w:rPr>
        <w:t xml:space="preserve">Possible faculty question: </w:t>
      </w:r>
      <w:r>
        <w:t>Why does the mixture use 1 - Vf when the matrix volume is 1 - Vf - Vv?</w:t>
      </w:r>
    </w:p>
    <w:p>
      <w:r>
        <w:rPr>
          <w:b/>
        </w:rPr>
        <w:t xml:space="preserve">Suggested answer: </w:t>
      </w:r>
      <w:r>
        <w:t>The specified simulator uses a simplified two-phase nominal mixture followed by a separate void knockdown. It is not a fully volume-resolved three-phase model, and that approximation needs validation.</w:t>
      </w:r>
    </w:p>
    <w:p>
      <w:r>
        <w:br w:type="page"/>
      </w:r>
    </w:p>
    <w:p>
      <w:pPr>
        <w:pStyle w:val="Heading1"/>
        <w:keepNext/>
      </w:pPr>
      <w:r>
        <w:t>Slide 9  Off-axis model and simulated targets</w:t>
      </w:r>
    </w:p>
    <w:p>
      <w:pPr>
        <w:keepNext/>
      </w:pPr>
      <w:r>
        <w:t>At small angles fibres still carry much of the load. As angle increases, shear and transverse resistance have more influence in this formula. The single angle does not represent local fibre waviness or a multi-ply laminate. Nonpositive sampled scatter factors are resampled. At 45% fibres, 2% voids and 5 degrees, the direct value is 498.70 MPa.</w:t>
      </w:r>
    </w:p>
    <w:p>
      <w:pPr>
        <w:keepNext/>
      </w:pPr>
      <w:r>
        <w:rPr>
          <w:b/>
        </w:rPr>
        <w:t xml:space="preserve">Possible faculty question: </w:t>
      </w:r>
      <w:r>
        <w:t>Is the scatter a measured uncertainty distribution?</w:t>
      </w:r>
    </w:p>
    <w:p>
      <w:r>
        <w:rPr>
          <w:b/>
        </w:rPr>
        <w:t xml:space="preserve">Suggested answer: </w:t>
      </w:r>
      <w:r>
        <w:t>No. It is a nominal simulation assumption. The project has no calibrated prediction interval or experimentally identified noise model.</w:t>
      </w:r>
    </w:p>
    <w:p>
      <w:pPr>
        <w:pStyle w:val="Heading1"/>
        <w:keepNext/>
      </w:pPr>
      <w:r>
        <w:t>Slide 10  Regression models and selection</w:t>
      </w:r>
    </w:p>
    <w:p>
      <w:pPr>
        <w:keepNext/>
      </w:pPr>
      <w:r>
        <w:t>A tree repeatedly divides feature space using threshold conditions. A forest averages many trees. The nonlinear simulator has exponential and trigonometric terms, which a simple linear baseline cannot represent well. No exhaustive hyperparameter optimisation or universal best-model claim is made.</w:t>
      </w:r>
    </w:p>
    <w:p>
      <w:pPr>
        <w:keepNext/>
      </w:pPr>
      <w:r>
        <w:rPr>
          <w:b/>
        </w:rPr>
        <w:t xml:space="preserve">Possible faculty question: </w:t>
      </w:r>
      <w:r>
        <w:t>Why choose these models?</w:t>
      </w:r>
    </w:p>
    <w:p>
      <w:r>
        <w:rPr>
          <w:b/>
        </w:rPr>
        <w:t xml:space="preserve">Suggested answer: </w:t>
      </w:r>
      <w:r>
        <w:t>Linear Regression gives an interpretable baseline and Random Forest can represent nonlinear interactions. The reported comparison establishes which better approximates this configured simulator under these splits.</w:t>
      </w:r>
    </w:p>
    <w:p>
      <w:r>
        <w:br w:type="page"/>
      </w:r>
    </w:p>
    <w:p>
      <w:pPr>
        <w:pStyle w:val="Heading1"/>
        <w:keepNext/>
      </w:pPr>
      <w:r>
        <w:t>Slide 11  Evaluation design and metrics</w:t>
      </w:r>
    </w:p>
    <w:p>
      <w:pPr>
        <w:keepNext/>
      </w:pPr>
      <w:r>
        <w:t>The first split mainly checks interpolation within the sampled domain. The second withholds a higher fibre fraction region, using newly fitted model copies. The two tests answer different questions and neither is an independent experimental assessment.</w:t>
      </w:r>
    </w:p>
    <w:p>
      <w:pPr>
        <w:keepNext/>
      </w:pPr>
      <w:r>
        <w:rPr>
          <w:b/>
        </w:rPr>
        <w:t xml:space="preserve">Possible faculty question: </w:t>
      </w:r>
      <w:r>
        <w:t>Can you say the model is 98.99% accurate?</w:t>
      </w:r>
    </w:p>
    <w:p>
      <w:r>
        <w:rPr>
          <w:b/>
        </w:rPr>
        <w:t xml:space="preserve">Suggested answer: </w:t>
      </w:r>
      <w:r>
        <w:t>No. R² of 0.9899 summarises variance explained for a particular test set. It is not percentage accuracy and says nothing directly about measured real-material strength.</w:t>
      </w:r>
    </w:p>
    <w:p>
      <w:pPr>
        <w:pStyle w:val="Heading1"/>
        <w:keepNext/>
      </w:pPr>
      <w:r>
        <w:t>Slide 12  Results and discussion</w:t>
      </w:r>
    </w:p>
    <w:p>
      <w:pPr>
        <w:keepNext/>
      </w:pPr>
      <w:r>
        <w:t>State the selected forest’s random-holdout RMSE first: 18.21 MPa versus 102.03 for the baseline. Then show that its region-test RMSE increases to 28.63. The forest is selected from the random split; the region-test copy is not the distributed estimator.</w:t>
      </w:r>
    </w:p>
    <w:p>
      <w:pPr>
        <w:keepNext/>
      </w:pPr>
      <w:r>
        <w:rPr>
          <w:b/>
        </w:rPr>
        <w:t xml:space="preserve">Possible faculty question: </w:t>
      </w:r>
      <w:r>
        <w:t>Why does the forest have a high score?</w:t>
      </w:r>
    </w:p>
    <w:p>
      <w:r>
        <w:rPr>
          <w:b/>
        </w:rPr>
        <w:t xml:space="preserve">Suggested answer: </w:t>
      </w:r>
      <w:r>
        <w:t>It learns finite samples of a smooth simulator within a limited domain. A high synthetic score can coexist with an inaccurate physical simulator.</w:t>
      </w:r>
    </w:p>
    <w:p>
      <w:r>
        <w:br w:type="page"/>
      </w:r>
    </w:p>
    <w:p>
      <w:pPr>
        <w:pStyle w:val="Heading1"/>
        <w:keepNext/>
      </w:pPr>
      <w:r>
        <w:t>Slide 13  Model behaviour under angle changes</w:t>
      </w:r>
    </w:p>
    <w:p>
      <w:pPr>
        <w:keepNext/>
      </w:pPr>
      <w:r>
        <w:t>Read the horizontal axis as fibre/load angle and vertical axis as nominal strength in MPa. At 0 degrees simulator strength is 801.56 MPa and forest estimate 756.07 MPa. At 20 degrees the values are approximately 149.47 and 148.68 MPa. Differences reflect finite sampling, assumed scatter and tree averaging.</w:t>
      </w:r>
    </w:p>
    <w:p>
      <w:pPr>
        <w:keepNext/>
      </w:pPr>
      <w:r>
        <w:rPr>
          <w:b/>
        </w:rPr>
        <w:t xml:space="preserve">Possible faculty question: </w:t>
      </w:r>
      <w:r>
        <w:t>Why are the curves not identical?</w:t>
      </w:r>
    </w:p>
    <w:p>
      <w:r>
        <w:rPr>
          <w:b/>
        </w:rPr>
        <w:t xml:space="preserve">Suggested answer: </w:t>
      </w:r>
      <w:r>
        <w:t>The forest fits finite noisy samples and averages tree responses. It is an approximation to the deterministic simulator rather than an algebraic copy.</w:t>
      </w:r>
    </w:p>
    <w:p>
      <w:pPr>
        <w:pStyle w:val="Heading1"/>
        <w:keepNext/>
      </w:pPr>
      <w:r>
        <w:t>Slide 14  Software architecture and input checks</w:t>
      </w:r>
    </w:p>
    <w:p>
      <w:pPr>
        <w:keepNext/>
      </w:pPr>
      <w:r>
        <w:t>Explain the separation between prediction using a saved learned model and a direct physics experiment. Metadata records where the model came from. Domain checks reduce unsupported use but cannot validate the physical assumptions. No confidence interval is generated from a boundary warning.</w:t>
      </w:r>
    </w:p>
    <w:p>
      <w:pPr>
        <w:keepNext/>
      </w:pPr>
      <w:r>
        <w:rPr>
          <w:b/>
        </w:rPr>
        <w:t xml:space="preserve">Possible faculty question: </w:t>
      </w:r>
      <w:r>
        <w:t>What happens if a material input changes?</w:t>
      </w:r>
    </w:p>
    <w:p>
      <w:r>
        <w:rPr>
          <w:b/>
        </w:rPr>
        <w:t xml:space="preserve">Suggested answer: </w:t>
      </w:r>
      <w:r>
        <w:t>The direct calculation changes. The saved ML model remains tied to its original training parameter snapshot until a new dataset and model are created.</w:t>
      </w:r>
    </w:p>
    <w:p>
      <w:r>
        <w:br w:type="page"/>
      </w:r>
    </w:p>
    <w:p>
      <w:pPr>
        <w:pStyle w:val="Heading1"/>
        <w:keepNext/>
      </w:pPr>
      <w:r>
        <w:t>Slide 15  Demonstration cases and expected outputs</w:t>
      </w:r>
    </w:p>
    <w:p>
      <w:pPr>
        <w:keepNext/>
      </w:pPr>
      <w:r>
        <w:t>Before class, extract the ZIP and run START_DEMO.bat. Python and internet are needed for initial setup. During the demo, show Predict, Scenario Comparison and Physics Explained. These numbers are recorded from the distributed saved estimator and deterministic simulator; rounded display values can differ slightly.</w:t>
      </w:r>
    </w:p>
    <w:p>
      <w:pPr>
        <w:keepNext/>
      </w:pPr>
      <w:r>
        <w:rPr>
          <w:b/>
        </w:rPr>
        <w:t xml:space="preserve">Possible faculty question: </w:t>
      </w:r>
      <w:r>
        <w:t>Are these measured strengths?</w:t>
      </w:r>
    </w:p>
    <w:p>
      <w:r>
        <w:rPr>
          <w:b/>
        </w:rPr>
        <w:t xml:space="preserve">Suggested answer: </w:t>
      </w:r>
      <w:r>
        <w:t>No. They are simulated direct calculations and surrogate-model estimates of the simulator. No laminate was manufactured or tensile-tested by this project.</w:t>
      </w:r>
    </w:p>
    <w:p>
      <w:pPr>
        <w:pStyle w:val="Heading1"/>
        <w:keepNext/>
      </w:pPr>
      <w:r>
        <w:t>Slide 16  Literature comparison and validation plan</w:t>
      </w:r>
    </w:p>
    <w:p>
      <w:pPr>
        <w:keepNext/>
      </w:pPr>
      <w:r>
        <w:t>The literature template remains header-only. The separate extraction CSV contains pending rows with source-page locations. Missing values stay unknown. Marking a row reviewed does not make it eligible if required numeric inputs or compatible conditions are still absent.</w:t>
      </w:r>
    </w:p>
    <w:p>
      <w:pPr>
        <w:keepNext/>
      </w:pPr>
      <w:r>
        <w:rPr>
          <w:b/>
        </w:rPr>
        <w:t xml:space="preserve">Possible faculty question: </w:t>
      </w:r>
      <w:r>
        <w:t>Can you fill a missing void fraction with zero to enable comparison?</w:t>
      </w:r>
    </w:p>
    <w:p>
      <w:r>
        <w:rPr>
          <w:b/>
        </w:rPr>
        <w:t xml:space="preserve">Suggested answer: </w:t>
      </w:r>
      <w:r>
        <w:t>No. Zero is a numerical claim requiring evidence. Without a reported matched void value, the row remains incomplete.</w:t>
      </w:r>
    </w:p>
    <w:p>
      <w:r>
        <w:br w:type="page"/>
      </w:r>
    </w:p>
    <w:p>
      <w:pPr>
        <w:pStyle w:val="Heading1"/>
        <w:keepNext/>
      </w:pPr>
      <w:r>
        <w:t>Slide 17  Conclusion limitations and future enhancement</w:t>
      </w:r>
    </w:p>
    <w:p>
      <w:pPr>
        <w:keepNext/>
      </w:pPr>
      <w:r>
        <w:t>Separate the completed software result from the outstanding scientific work. The simulator omits progressive damage, spatial defects, residual stresses and environmental effects. Prioritise matched independent measurements and calibration before expanding features.</w:t>
      </w:r>
    </w:p>
    <w:p>
      <w:pPr>
        <w:keepNext/>
      </w:pPr>
      <w:r>
        <w:rPr>
          <w:b/>
        </w:rPr>
        <w:t xml:space="preserve">Possible faculty question: </w:t>
      </w:r>
      <w:r>
        <w:t>What is the strongest defensible conclusion?</w:t>
      </w:r>
    </w:p>
    <w:p>
      <w:r>
        <w:rPr>
          <w:b/>
        </w:rPr>
        <w:t xml:space="preserve">Suggested answer: </w:t>
      </w:r>
      <w:r>
        <w:t>The software is reproducible and the selected forest approximates the nominal simulator with the reported errors. Real-laminate generalisation has not been established.</w:t>
      </w:r>
    </w:p>
    <w:p>
      <w:pPr>
        <w:pStyle w:val="Heading1"/>
        <w:keepNext/>
      </w:pPr>
      <w:r>
        <w:t>Slide 18  Publication and work in progress</w:t>
      </w:r>
    </w:p>
    <w:p>
      <w:pPr>
        <w:keepNext/>
      </w:pPr>
      <w:r>
        <w:t>Use this short slide to answer the faculty template’s publication/work-in-progress item. Do not imply publication or physical experiments. The next two slides contain selected citations; the report has all 35 numbered references and the complete review matrix.</w:t>
      </w:r>
    </w:p>
    <w:p>
      <w:pPr>
        <w:keepNext/>
      </w:pPr>
      <w:r>
        <w:rPr>
          <w:b/>
        </w:rPr>
        <w:t xml:space="preserve">Possible faculty question: </w:t>
      </w:r>
      <w:r>
        <w:t>Have you published this project?</w:t>
      </w:r>
    </w:p>
    <w:p>
      <w:r>
        <w:rPr>
          <w:b/>
        </w:rPr>
        <w:t xml:space="preserve">Suggested answer: </w:t>
      </w:r>
      <w:r>
        <w:t>No. The deliverables are the prototype and supporting documents. Any future submission needs an appropriate research contribution and evidence.</w:t>
      </w:r>
    </w:p>
    <w:p>
      <w:r>
        <w:br w:type="page"/>
      </w:r>
    </w:p>
    <w:p>
      <w:pPr>
        <w:pStyle w:val="Heading1"/>
        <w:keepNext/>
      </w:pPr>
      <w:r>
        <w:t>Slide 19  Selected references</w:t>
      </w:r>
    </w:p>
    <w:p>
      <w:pPr>
        <w:keepNext/>
      </w:pPr>
      <w:r>
        <w:t>Keep these selected citations available for questions. The report retains the complete 35-source review, with 32 publications from 2020 onward. These papers do not provide a complete compatible project training dataset.</w:t>
      </w:r>
    </w:p>
    <w:p>
      <w:pPr>
        <w:keepNext/>
      </w:pPr>
      <w:r>
        <w:rPr>
          <w:b/>
        </w:rPr>
        <w:t xml:space="preserve">Possible faculty question: </w:t>
      </w:r>
      <w:r>
        <w:t>Where is the complete literature review?</w:t>
      </w:r>
    </w:p>
    <w:p>
      <w:r>
        <w:rPr>
          <w:b/>
        </w:rPr>
        <w:t xml:space="preserve">Suggested answer: </w:t>
      </w:r>
      <w:r>
        <w:t>Chapter 2 and the References section of the report contain all 35 reviewed source records and full numbered citations.</w:t>
      </w:r>
    </w:p>
    <w:p>
      <w:pPr>
        <w:pStyle w:val="Heading1"/>
        <w:keepNext/>
      </w:pPr>
      <w:r>
        <w:t>Slide 20  Selected references and full bibliography</w:t>
      </w:r>
    </w:p>
    <w:p>
      <w:pPr>
        <w:keepNext/>
      </w:pPr>
      <w:r>
        <w:t>Keep these selected citations available for questions. The report retains the complete 35-source review, with 32 publications from 2020 onward. These papers do not provide a complete compatible project training dataset.</w:t>
      </w:r>
    </w:p>
    <w:p>
      <w:pPr>
        <w:keepNext/>
      </w:pPr>
      <w:r>
        <w:rPr>
          <w:b/>
        </w:rPr>
        <w:t xml:space="preserve">Possible faculty question: </w:t>
      </w:r>
      <w:r>
        <w:t>Where is the complete literature review?</w:t>
      </w:r>
    </w:p>
    <w:p>
      <w:r>
        <w:rPr>
          <w:b/>
        </w:rPr>
        <w:t xml:space="preserve">Suggested answer: </w:t>
      </w:r>
      <w:r>
        <w:t>Chapter 2 and the References section of the report contain all 35 reviewed source records and full numbered citations.</w:t>
      </w:r>
    </w:p>
    <w:sectPr w:rsidR="00FC693F" w:rsidRPr="0006063C" w:rsidSect="00034616">
      <w:footerReference w:type="default" r:id="rId9"/>
      <w:pgSz w:w="11906" w:h="16838"/>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pPr>
    <w:rPr>
      <w:rFonts w:ascii="Times New Roman" w:hAnsi="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line="276" w:lineRule="auto"/>
      <w:outlineLvl w:val="0"/>
    </w:pPr>
    <w:rPr>
      <w:rFonts w:cstheme="majorBidi" w:ascii="Times New Roman" w:hAnsi="Times New Roman" w:cs="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76" w:lineRule="auto"/>
      <w:contextualSpacing/>
    </w:pPr>
    <w:rPr>
      <w:rFonts w:cstheme="majorBidi" w:ascii="Times New Roman" w:hAnsi="Times New Roman" w:cs="Times New Roman"/>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