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B00038" w14:textId="1679856A" w:rsidR="00200CAD" w:rsidRPr="006647E4" w:rsidRDefault="003E0802" w:rsidP="003E0802">
      <w:pPr>
        <w:jc w:val="center"/>
        <w:rPr>
          <w:rFonts w:cstheme="minorHAnsi"/>
          <w:b/>
          <w:bCs/>
          <w:sz w:val="28"/>
          <w:szCs w:val="28"/>
        </w:rPr>
      </w:pPr>
      <w:r w:rsidRPr="006647E4">
        <w:rPr>
          <w:rFonts w:cstheme="minorHAnsi"/>
          <w:b/>
          <w:bCs/>
          <w:sz w:val="28"/>
          <w:szCs w:val="28"/>
        </w:rPr>
        <w:t>Analyzing Sikkim’s Waste Management Trends (2016-2024)</w:t>
      </w:r>
    </w:p>
    <w:p w14:paraId="4BA8F392" w14:textId="77777777" w:rsidR="003E0802" w:rsidRPr="006647E4" w:rsidRDefault="003E0802" w:rsidP="003E0802">
      <w:pPr>
        <w:jc w:val="center"/>
        <w:rPr>
          <w:rFonts w:cstheme="minorHAnsi"/>
        </w:rPr>
      </w:pPr>
    </w:p>
    <w:p w14:paraId="21837BFC" w14:textId="779975C3" w:rsidR="003E0802" w:rsidRPr="006647E4" w:rsidRDefault="003E0802" w:rsidP="009B05CF">
      <w:pPr>
        <w:rPr>
          <w:rFonts w:cstheme="minorHAnsi"/>
        </w:rPr>
      </w:pPr>
      <w:r w:rsidRPr="006647E4">
        <w:rPr>
          <w:rFonts w:cstheme="minorHAnsi"/>
          <w:b/>
          <w:bCs/>
        </w:rPr>
        <w:t>Sikkim</w:t>
      </w:r>
      <w:r w:rsidRPr="006647E4">
        <w:rPr>
          <w:rFonts w:cstheme="minorHAnsi"/>
        </w:rPr>
        <w:t xml:space="preserve"> is the </w:t>
      </w:r>
      <w:r w:rsidR="006647E4" w:rsidRPr="006647E4">
        <w:rPr>
          <w:rFonts w:cstheme="minorHAnsi"/>
        </w:rPr>
        <w:t>least populous state</w:t>
      </w:r>
      <w:r w:rsidR="006647E4" w:rsidRPr="006647E4">
        <w:rPr>
          <w:rFonts w:cstheme="minorHAnsi"/>
        </w:rPr>
        <w:t xml:space="preserve"> </w:t>
      </w:r>
      <w:r w:rsidRPr="006647E4">
        <w:rPr>
          <w:rFonts w:cstheme="minorHAnsi"/>
        </w:rPr>
        <w:t>and the</w:t>
      </w:r>
      <w:r w:rsidR="006647E4" w:rsidRPr="006647E4">
        <w:rPr>
          <w:rFonts w:cstheme="minorHAnsi"/>
        </w:rPr>
        <w:t xml:space="preserve"> </w:t>
      </w:r>
      <w:r w:rsidR="006647E4" w:rsidRPr="006647E4">
        <w:rPr>
          <w:rFonts w:cstheme="minorHAnsi"/>
        </w:rPr>
        <w:t>second-smallest state by area</w:t>
      </w:r>
      <w:r w:rsidRPr="006647E4">
        <w:rPr>
          <w:rFonts w:cstheme="minorHAnsi"/>
        </w:rPr>
        <w:t>, located in the north-eastern part of Bharat. With increasing urbanization, the generation of municipal solid waste (MSW) has witnessed significant shifts over the years, requiring detailed monitoring and analysis.</w:t>
      </w:r>
      <w:r w:rsidR="009B05CF" w:rsidRPr="006647E4">
        <w:rPr>
          <w:rFonts w:cstheme="minorHAnsi"/>
        </w:rPr>
        <w:t xml:space="preserve"> This assignment focuses on evaluating the trends in solid waste management across Sikkim from 2016–17 to 2023–24, both at the </w:t>
      </w:r>
      <w:r w:rsidR="009B05CF" w:rsidRPr="006647E4">
        <w:rPr>
          <w:rFonts w:cstheme="minorHAnsi"/>
          <w:b/>
          <w:bCs/>
        </w:rPr>
        <w:t>state-wide</w:t>
      </w:r>
      <w:r w:rsidR="009B05CF" w:rsidRPr="006647E4">
        <w:rPr>
          <w:rFonts w:cstheme="minorHAnsi"/>
        </w:rPr>
        <w:t xml:space="preserve"> and at </w:t>
      </w:r>
      <w:r w:rsidR="009B05CF" w:rsidRPr="006647E4">
        <w:rPr>
          <w:rFonts w:cstheme="minorHAnsi"/>
          <w:b/>
          <w:bCs/>
        </w:rPr>
        <w:t>urban local body (ULB)</w:t>
      </w:r>
      <w:r w:rsidR="009B05CF" w:rsidRPr="006647E4">
        <w:rPr>
          <w:rFonts w:cstheme="minorHAnsi"/>
        </w:rPr>
        <w:t xml:space="preserve"> levels.</w:t>
      </w:r>
    </w:p>
    <w:p w14:paraId="395492F9" w14:textId="0337CD0D" w:rsidR="005D52D5" w:rsidRPr="006647E4" w:rsidRDefault="005D52D5" w:rsidP="005D52D5">
      <w:pPr>
        <w:rPr>
          <w:rFonts w:cstheme="minorHAnsi"/>
        </w:rPr>
      </w:pPr>
      <w:r w:rsidRPr="006647E4">
        <w:rPr>
          <w:rFonts w:cstheme="minorHAnsi"/>
        </w:rPr>
        <w:t>​The effective management of municipal solid waste (MSW) is a critical component of sustainable urban governance, particularly in ecologically sensitive regions such as Sikkim. The state's unique topography, characterized by steep terrains and dispersed settlements, poses significant challenges to the implementation of efficient waste management systems. In response to these challenges, the Government of Sikkim has undertaken various initiatives to enhance waste management practices, aligning with the Solid Waste Management Rules, 2016, and other relevant environmental regulations. ​</w:t>
      </w:r>
    </w:p>
    <w:p w14:paraId="2EB7E8A1" w14:textId="3CF760E1" w:rsidR="005D52D5" w:rsidRPr="006647E4" w:rsidRDefault="005D52D5" w:rsidP="005D52D5">
      <w:pPr>
        <w:rPr>
          <w:rFonts w:cstheme="minorHAnsi"/>
        </w:rPr>
      </w:pPr>
      <w:r w:rsidRPr="006647E4">
        <w:rPr>
          <w:rFonts w:cstheme="minorHAnsi"/>
        </w:rPr>
        <w:t>This assignment aims to analyze the trends and efficacy of waste management strategies in Sikkim from 2016-17 to 2023-24. The study is bifurcated into two primary sections:​</w:t>
      </w:r>
      <w:r w:rsidR="006647E4" w:rsidRPr="006647E4">
        <w:rPr>
          <w:rFonts w:cstheme="minorHAnsi"/>
        </w:rPr>
        <w:t xml:space="preserve"> </w:t>
      </w:r>
    </w:p>
    <w:p w14:paraId="60642481" w14:textId="4AD33361" w:rsidR="005D52D5" w:rsidRPr="006647E4" w:rsidRDefault="005D52D5" w:rsidP="005D52D5">
      <w:pPr>
        <w:pStyle w:val="ListParagraph"/>
        <w:numPr>
          <w:ilvl w:val="0"/>
          <w:numId w:val="2"/>
        </w:numPr>
        <w:rPr>
          <w:rFonts w:cstheme="minorHAnsi"/>
        </w:rPr>
      </w:pPr>
      <w:r w:rsidRPr="006647E4">
        <w:rPr>
          <w:rFonts w:cstheme="minorHAnsi"/>
          <w:b/>
          <w:bCs/>
        </w:rPr>
        <w:t>State-Level Analysis (2016-17 to 2023-24):</w:t>
      </w:r>
      <w:r w:rsidRPr="006647E4">
        <w:rPr>
          <w:rFonts w:cstheme="minorHAnsi"/>
        </w:rPr>
        <w:t xml:space="preserve"> This section evaluates the temporal progression of waste management metrics across Sikkim. Key performance indicators such as growth rate in waste generation, collection efficiency, per capita waste generation, landfill dependency, and processing focus are examined. The analysis provides insights into the state's capacity to manage increasing waste volumes and the effectiveness of implemented policies over the specified period.​</w:t>
      </w:r>
    </w:p>
    <w:p w14:paraId="3008524E" w14:textId="765259BB" w:rsidR="009B05CF" w:rsidRPr="006647E4" w:rsidRDefault="005D52D5" w:rsidP="00760D88">
      <w:pPr>
        <w:numPr>
          <w:ilvl w:val="0"/>
          <w:numId w:val="2"/>
        </w:numPr>
        <w:rPr>
          <w:rFonts w:cstheme="minorHAnsi"/>
        </w:rPr>
      </w:pPr>
      <w:r w:rsidRPr="006647E4">
        <w:rPr>
          <w:rFonts w:cstheme="minorHAnsi"/>
          <w:b/>
          <w:bCs/>
        </w:rPr>
        <w:t>Urban Local Bodies (ULBs) Assessment:</w:t>
      </w:r>
      <w:r w:rsidRPr="006647E4">
        <w:rPr>
          <w:rFonts w:cstheme="minorHAnsi"/>
        </w:rPr>
        <w:t xml:space="preserve"> The second section delves into a granular analysis of waste management practices across individual ULBs in Sikki</w:t>
      </w:r>
      <w:r w:rsidR="00C778CB">
        <w:rPr>
          <w:rFonts w:cstheme="minorHAnsi"/>
        </w:rPr>
        <w:t>m in the year 2023-24</w:t>
      </w:r>
      <w:r w:rsidRPr="006647E4">
        <w:rPr>
          <w:rFonts w:cstheme="minorHAnsi"/>
        </w:rPr>
        <w:t>. By examining parameters like unmanaged waste volumes, collection-processing gaps, and per capita waste generation, the study identifies disparities in waste management efficacy among different ULBs. This assessment is crucial for understanding localized challenges and tailoring interventions accordingly.</w:t>
      </w:r>
    </w:p>
    <w:p w14:paraId="7C7F7E4D" w14:textId="570D5956" w:rsidR="003E0802" w:rsidRPr="006647E4" w:rsidRDefault="005D52D5" w:rsidP="005D52D5">
      <w:pPr>
        <w:rPr>
          <w:rFonts w:cstheme="minorHAnsi"/>
        </w:rPr>
      </w:pPr>
      <w:r w:rsidRPr="006647E4">
        <w:rPr>
          <w:rFonts w:cstheme="minorHAnsi"/>
        </w:rPr>
        <w:t>The findings from this comprehensive analysis inform policymakers, urban planners, and environmental stakeholders about the current state of waste management in Sikkim. By identifying areas of success and those requiring improvement, the study contributes to the development of more effective, sustainable, and context-specific waste management strategies, thereby enhancing environmental governance and public health outcomes in the region.</w:t>
      </w:r>
    </w:p>
    <w:p w14:paraId="78DBE8A0" w14:textId="77777777" w:rsidR="003E0802" w:rsidRPr="006647E4" w:rsidRDefault="003E0802" w:rsidP="003E0802">
      <w:pPr>
        <w:rPr>
          <w:rFonts w:cstheme="minorHAnsi"/>
        </w:rPr>
      </w:pPr>
    </w:p>
    <w:p w14:paraId="1DBBF56E" w14:textId="041B0E84" w:rsidR="00760D88" w:rsidRPr="006647E4" w:rsidRDefault="00760D88" w:rsidP="003E0802">
      <w:pPr>
        <w:rPr>
          <w:rFonts w:cstheme="minorHAnsi"/>
          <w:b/>
          <w:bCs/>
          <w:sz w:val="28"/>
          <w:szCs w:val="28"/>
        </w:rPr>
      </w:pPr>
      <w:r w:rsidRPr="006647E4">
        <w:rPr>
          <w:rFonts w:cstheme="minorHAnsi"/>
          <w:b/>
          <w:bCs/>
          <w:sz w:val="28"/>
          <w:szCs w:val="28"/>
        </w:rPr>
        <w:t xml:space="preserve">Data Compilation and Analysis </w:t>
      </w:r>
    </w:p>
    <w:p w14:paraId="532D5F82" w14:textId="6AE1BEAE" w:rsidR="00760D88" w:rsidRPr="006647E4" w:rsidRDefault="00760D88" w:rsidP="003E0802">
      <w:pPr>
        <w:rPr>
          <w:rFonts w:cstheme="minorHAnsi"/>
          <w:b/>
          <w:bCs/>
          <w:sz w:val="16"/>
          <w:szCs w:val="16"/>
        </w:rPr>
      </w:pPr>
      <w:r w:rsidRPr="006647E4">
        <w:rPr>
          <w:rFonts w:cstheme="minorHAnsi"/>
          <w:b/>
          <w:bCs/>
          <w:sz w:val="16"/>
          <w:szCs w:val="16"/>
        </w:rPr>
        <w:t xml:space="preserve">Key components and their formulae </w:t>
      </w:r>
    </w:p>
    <w:p w14:paraId="65C5D684" w14:textId="71C3773E" w:rsidR="00760D88" w:rsidRPr="006647E4" w:rsidRDefault="00760D88" w:rsidP="003E0802">
      <w:pPr>
        <w:rPr>
          <w:rFonts w:cstheme="minorHAnsi"/>
          <w:b/>
          <w:bCs/>
          <w:sz w:val="16"/>
          <w:szCs w:val="16"/>
        </w:rPr>
      </w:pPr>
      <w:r w:rsidRPr="006647E4">
        <w:rPr>
          <w:rFonts w:cstheme="minorHAnsi"/>
          <w:b/>
          <w:bCs/>
          <w:noProof/>
          <w:sz w:val="28"/>
          <w:szCs w:val="28"/>
        </w:rPr>
        <w:lastRenderedPageBreak/>
        <w:drawing>
          <wp:inline distT="0" distB="0" distL="0" distR="0" wp14:anchorId="72C277F0" wp14:editId="32CEE9B3">
            <wp:extent cx="4997824" cy="3801801"/>
            <wp:effectExtent l="0" t="0" r="0" b="0"/>
            <wp:docPr id="1812330352" name="Picture 1" descr="A table with numbers and symbo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330352" name="Picture 1" descr="A table with numbers and symbols&#10;&#10;AI-generated content may be incorrect."/>
                    <pic:cNvPicPr/>
                  </pic:nvPicPr>
                  <pic:blipFill>
                    <a:blip r:embed="rId5"/>
                    <a:stretch>
                      <a:fillRect/>
                    </a:stretch>
                  </pic:blipFill>
                  <pic:spPr>
                    <a:xfrm>
                      <a:off x="0" y="0"/>
                      <a:ext cx="5004247" cy="3806687"/>
                    </a:xfrm>
                    <a:prstGeom prst="rect">
                      <a:avLst/>
                    </a:prstGeom>
                  </pic:spPr>
                </pic:pic>
              </a:graphicData>
            </a:graphic>
          </wp:inline>
        </w:drawing>
      </w:r>
    </w:p>
    <w:p w14:paraId="7392A38A" w14:textId="77777777" w:rsidR="00760D88" w:rsidRPr="006647E4" w:rsidRDefault="00760D88" w:rsidP="00760D88">
      <w:pPr>
        <w:rPr>
          <w:rFonts w:cstheme="minorHAnsi"/>
          <w:sz w:val="12"/>
          <w:szCs w:val="12"/>
        </w:rPr>
      </w:pPr>
      <w:r w:rsidRPr="006647E4">
        <w:rPr>
          <w:rFonts w:cstheme="minorHAnsi"/>
          <w:sz w:val="12"/>
          <w:szCs w:val="12"/>
        </w:rPr>
        <w:t>2.1 Waste Management Efficiency (%)</w:t>
      </w:r>
    </w:p>
    <w:p w14:paraId="5B98EBA1" w14:textId="77777777" w:rsidR="00760D88" w:rsidRPr="006647E4" w:rsidRDefault="00760D88" w:rsidP="00760D88">
      <w:pPr>
        <w:rPr>
          <w:rFonts w:cstheme="minorHAnsi"/>
          <w:sz w:val="12"/>
          <w:szCs w:val="12"/>
        </w:rPr>
      </w:pPr>
      <w:r w:rsidRPr="006647E4">
        <w:rPr>
          <w:rFonts w:cstheme="minorHAnsi"/>
          <w:sz w:val="12"/>
          <w:szCs w:val="12"/>
        </w:rPr>
        <w:t>This metric measures the proportion of total waste that is either processed or safely landfilled.</w:t>
      </w:r>
    </w:p>
    <w:p w14:paraId="14945B21" w14:textId="77777777" w:rsidR="00760D88" w:rsidRPr="006647E4" w:rsidRDefault="00760D88" w:rsidP="00760D88">
      <w:pPr>
        <w:rPr>
          <w:rFonts w:cstheme="minorHAnsi"/>
          <w:sz w:val="12"/>
          <w:szCs w:val="12"/>
        </w:rPr>
      </w:pPr>
      <w:r w:rsidRPr="006647E4">
        <w:rPr>
          <w:rFonts w:cstheme="minorHAnsi"/>
          <w:sz w:val="12"/>
          <w:szCs w:val="12"/>
        </w:rPr>
        <w:t>Formula: Efficiency (%) = ((Processed Waste + Landfilled Waste) / Total Waste Generated) × 100</w:t>
      </w:r>
    </w:p>
    <w:p w14:paraId="1A78BA16" w14:textId="77777777" w:rsidR="00760D88" w:rsidRPr="006647E4" w:rsidRDefault="00760D88" w:rsidP="00760D88">
      <w:pPr>
        <w:rPr>
          <w:rFonts w:cstheme="minorHAnsi"/>
          <w:sz w:val="12"/>
          <w:szCs w:val="12"/>
        </w:rPr>
      </w:pPr>
      <w:r w:rsidRPr="006647E4">
        <w:rPr>
          <w:rFonts w:cstheme="minorHAnsi"/>
          <w:sz w:val="12"/>
          <w:szCs w:val="12"/>
        </w:rPr>
        <w:t>2.2 Per Capita Waste Generation (kg/day)</w:t>
      </w:r>
    </w:p>
    <w:p w14:paraId="2487A134" w14:textId="77777777" w:rsidR="00760D88" w:rsidRPr="006647E4" w:rsidRDefault="00760D88" w:rsidP="00760D88">
      <w:pPr>
        <w:rPr>
          <w:rFonts w:cstheme="minorHAnsi"/>
          <w:sz w:val="12"/>
          <w:szCs w:val="12"/>
        </w:rPr>
      </w:pPr>
      <w:r w:rsidRPr="006647E4">
        <w:rPr>
          <w:rFonts w:cstheme="minorHAnsi"/>
          <w:sz w:val="12"/>
          <w:szCs w:val="12"/>
        </w:rPr>
        <w:t>This metric assesses the average amount of waste generated per person per day.</w:t>
      </w:r>
    </w:p>
    <w:p w14:paraId="02401F1C" w14:textId="77777777" w:rsidR="00760D88" w:rsidRPr="006647E4" w:rsidRDefault="00760D88" w:rsidP="00760D88">
      <w:pPr>
        <w:rPr>
          <w:rFonts w:cstheme="minorHAnsi"/>
          <w:sz w:val="12"/>
          <w:szCs w:val="12"/>
        </w:rPr>
      </w:pPr>
      <w:r w:rsidRPr="006647E4">
        <w:rPr>
          <w:rFonts w:cstheme="minorHAnsi"/>
          <w:sz w:val="12"/>
          <w:szCs w:val="12"/>
        </w:rPr>
        <w:t>Formula: Per Capita Waste = (Waste Generated (TPD) × 1000) / Population</w:t>
      </w:r>
    </w:p>
    <w:p w14:paraId="70F63921" w14:textId="77777777" w:rsidR="00760D88" w:rsidRPr="006647E4" w:rsidRDefault="00760D88" w:rsidP="00760D88">
      <w:pPr>
        <w:rPr>
          <w:rFonts w:cstheme="minorHAnsi"/>
          <w:sz w:val="12"/>
          <w:szCs w:val="12"/>
        </w:rPr>
      </w:pPr>
      <w:r w:rsidRPr="006647E4">
        <w:rPr>
          <w:rFonts w:cstheme="minorHAnsi"/>
          <w:sz w:val="12"/>
          <w:szCs w:val="12"/>
        </w:rPr>
        <w:t>2.3 Landfill Dependency vs. Processing Focus (%)</w:t>
      </w:r>
    </w:p>
    <w:p w14:paraId="30FA9D87" w14:textId="77777777" w:rsidR="00760D88" w:rsidRPr="006647E4" w:rsidRDefault="00760D88" w:rsidP="00760D88">
      <w:pPr>
        <w:rPr>
          <w:rFonts w:cstheme="minorHAnsi"/>
          <w:sz w:val="12"/>
          <w:szCs w:val="12"/>
        </w:rPr>
      </w:pPr>
      <w:r w:rsidRPr="006647E4">
        <w:rPr>
          <w:rFonts w:cstheme="minorHAnsi"/>
          <w:sz w:val="12"/>
          <w:szCs w:val="12"/>
        </w:rPr>
        <w:t>Formula for Landfill Dependency: Landfill Dependency (%) = (Waste Landfilled / Total Waste Generated) × 100</w:t>
      </w:r>
    </w:p>
    <w:p w14:paraId="197A1C3C" w14:textId="77777777" w:rsidR="00760D88" w:rsidRPr="006647E4" w:rsidRDefault="00760D88" w:rsidP="00760D88">
      <w:pPr>
        <w:rPr>
          <w:rFonts w:cstheme="minorHAnsi"/>
          <w:sz w:val="12"/>
          <w:szCs w:val="12"/>
        </w:rPr>
      </w:pPr>
      <w:r w:rsidRPr="006647E4">
        <w:rPr>
          <w:rFonts w:cstheme="minorHAnsi"/>
          <w:sz w:val="12"/>
          <w:szCs w:val="12"/>
        </w:rPr>
        <w:t>Formula for Processing Focus: Processing Focus (%) = (Waste Processed / Total Waste Generated) × 100</w:t>
      </w:r>
    </w:p>
    <w:p w14:paraId="7C99FB9D" w14:textId="77777777" w:rsidR="00760D88" w:rsidRPr="006647E4" w:rsidRDefault="00760D88" w:rsidP="00760D88">
      <w:pPr>
        <w:rPr>
          <w:rFonts w:cstheme="minorHAnsi"/>
          <w:sz w:val="12"/>
          <w:szCs w:val="12"/>
        </w:rPr>
      </w:pPr>
      <w:r w:rsidRPr="006647E4">
        <w:rPr>
          <w:rFonts w:cstheme="minorHAnsi"/>
          <w:sz w:val="12"/>
          <w:szCs w:val="12"/>
        </w:rPr>
        <w:t>2.4 Collection-Processing Gap (TPD)</w:t>
      </w:r>
    </w:p>
    <w:p w14:paraId="3A56C3BA" w14:textId="77777777" w:rsidR="00760D88" w:rsidRPr="006647E4" w:rsidRDefault="00760D88" w:rsidP="00760D88">
      <w:pPr>
        <w:rPr>
          <w:rFonts w:cstheme="minorHAnsi"/>
          <w:sz w:val="12"/>
          <w:szCs w:val="12"/>
        </w:rPr>
      </w:pPr>
      <w:r w:rsidRPr="006647E4">
        <w:rPr>
          <w:rFonts w:cstheme="minorHAnsi"/>
          <w:sz w:val="12"/>
          <w:szCs w:val="12"/>
        </w:rPr>
        <w:t>This metric measures the difference between waste collected and the sum of waste processed and landfilled.</w:t>
      </w:r>
    </w:p>
    <w:p w14:paraId="0874412F" w14:textId="77777777" w:rsidR="00760D88" w:rsidRPr="006647E4" w:rsidRDefault="00760D88" w:rsidP="00760D88">
      <w:pPr>
        <w:rPr>
          <w:rFonts w:cstheme="minorHAnsi"/>
          <w:sz w:val="12"/>
          <w:szCs w:val="12"/>
        </w:rPr>
      </w:pPr>
      <w:r w:rsidRPr="006647E4">
        <w:rPr>
          <w:rFonts w:cstheme="minorHAnsi"/>
          <w:sz w:val="12"/>
          <w:szCs w:val="12"/>
        </w:rPr>
        <w:t>Formula: Collection-Processing Gap = Waste Collected - (Waste Processed + Waste Landfilled)</w:t>
      </w:r>
    </w:p>
    <w:p w14:paraId="62D13FC9" w14:textId="77777777" w:rsidR="004274FC" w:rsidRPr="006647E4" w:rsidRDefault="004274FC" w:rsidP="004274FC">
      <w:pPr>
        <w:pStyle w:val="NormalWeb"/>
        <w:rPr>
          <w:rFonts w:asciiTheme="minorHAnsi" w:hAnsiTheme="minorHAnsi" w:cstheme="minorHAnsi"/>
        </w:rPr>
      </w:pPr>
      <w:r w:rsidRPr="006647E4">
        <w:rPr>
          <w:rFonts w:asciiTheme="minorHAnsi" w:hAnsiTheme="minorHAnsi" w:cstheme="minorHAnsi"/>
        </w:rPr>
        <w:t>Unmanaged Waste (TPD) = Waste generated - (Waste Processed + Waste Landfilled)</w:t>
      </w:r>
    </w:p>
    <w:p w14:paraId="4A4C0E66" w14:textId="77777777" w:rsidR="004274FC" w:rsidRPr="006647E4" w:rsidRDefault="004274FC" w:rsidP="00760D88">
      <w:pPr>
        <w:rPr>
          <w:rFonts w:cstheme="minorHAnsi"/>
          <w:sz w:val="12"/>
          <w:szCs w:val="12"/>
        </w:rPr>
      </w:pPr>
    </w:p>
    <w:p w14:paraId="288CD1F4" w14:textId="77777777" w:rsidR="00760D88" w:rsidRPr="006647E4" w:rsidRDefault="00760D88" w:rsidP="00760D88">
      <w:pPr>
        <w:rPr>
          <w:rFonts w:cstheme="minorHAnsi"/>
          <w:sz w:val="12"/>
          <w:szCs w:val="12"/>
        </w:rPr>
      </w:pPr>
    </w:p>
    <w:p w14:paraId="471548C9" w14:textId="77777777" w:rsidR="00760D88" w:rsidRPr="006647E4" w:rsidRDefault="00760D88" w:rsidP="00760D88">
      <w:pPr>
        <w:rPr>
          <w:rFonts w:cstheme="minorHAnsi"/>
          <w:b/>
          <w:bCs/>
          <w:sz w:val="28"/>
          <w:szCs w:val="28"/>
        </w:rPr>
      </w:pPr>
      <w:r w:rsidRPr="006647E4">
        <w:rPr>
          <w:rFonts w:cstheme="minorHAnsi"/>
          <w:b/>
          <w:bCs/>
          <w:sz w:val="28"/>
          <w:szCs w:val="28"/>
        </w:rPr>
        <w:t>Trend Analysis of Sikkim’s Waste Management (2016–2024)</w:t>
      </w:r>
    </w:p>
    <w:p w14:paraId="5B03EBCB" w14:textId="77777777" w:rsidR="00AF159F" w:rsidRPr="006647E4" w:rsidRDefault="00AF159F" w:rsidP="00AF159F">
      <w:pPr>
        <w:rPr>
          <w:rFonts w:cstheme="minorHAnsi"/>
          <w:sz w:val="16"/>
          <w:szCs w:val="16"/>
        </w:rPr>
      </w:pPr>
      <w:r w:rsidRPr="006647E4">
        <w:rPr>
          <w:rFonts w:cstheme="minorHAnsi"/>
          <w:b/>
          <w:bCs/>
          <w:sz w:val="16"/>
          <w:szCs w:val="16"/>
        </w:rPr>
        <w:t>1</w:t>
      </w:r>
      <w:r w:rsidRPr="006647E4">
        <w:rPr>
          <w:rFonts w:cstheme="minorHAnsi"/>
          <w:sz w:val="16"/>
          <w:szCs w:val="16"/>
        </w:rPr>
        <w:t>. Waste Generation &amp; Growth Rate:</w:t>
      </w:r>
    </w:p>
    <w:p w14:paraId="5A0F2170" w14:textId="3F1D90FB" w:rsidR="00B52E41" w:rsidRPr="006647E4" w:rsidRDefault="00B52E41" w:rsidP="00AF159F">
      <w:pPr>
        <w:numPr>
          <w:ilvl w:val="0"/>
          <w:numId w:val="5"/>
        </w:numPr>
        <w:rPr>
          <w:rFonts w:cstheme="minorHAnsi"/>
          <w:sz w:val="16"/>
          <w:szCs w:val="16"/>
        </w:rPr>
      </w:pPr>
      <w:r w:rsidRPr="006647E4">
        <w:rPr>
          <w:rFonts w:cstheme="minorHAnsi"/>
          <w:sz w:val="16"/>
          <w:szCs w:val="16"/>
        </w:rPr>
        <w:t>Overall Insight</w:t>
      </w:r>
    </w:p>
    <w:p w14:paraId="49CCD749" w14:textId="3731B78D" w:rsidR="00B52E41" w:rsidRPr="006647E4" w:rsidRDefault="00B52E41" w:rsidP="00B52E41">
      <w:pPr>
        <w:numPr>
          <w:ilvl w:val="1"/>
          <w:numId w:val="5"/>
        </w:numPr>
        <w:rPr>
          <w:rFonts w:cstheme="minorHAnsi"/>
          <w:sz w:val="16"/>
          <w:szCs w:val="16"/>
        </w:rPr>
      </w:pPr>
      <w:r w:rsidRPr="006647E4">
        <w:rPr>
          <w:rFonts w:cstheme="minorHAnsi"/>
          <w:sz w:val="16"/>
          <w:szCs w:val="16"/>
        </w:rPr>
        <w:t>Waste Generation from 2016-2024</w:t>
      </w:r>
    </w:p>
    <w:p w14:paraId="4D3DEEDF" w14:textId="75DDD3B1" w:rsidR="00B52E41" w:rsidRPr="006647E4" w:rsidRDefault="00B52E41" w:rsidP="00B52E41">
      <w:pPr>
        <w:numPr>
          <w:ilvl w:val="2"/>
          <w:numId w:val="5"/>
        </w:numPr>
        <w:rPr>
          <w:rFonts w:cstheme="minorHAnsi"/>
          <w:sz w:val="16"/>
          <w:szCs w:val="16"/>
        </w:rPr>
      </w:pPr>
      <w:r w:rsidRPr="006647E4">
        <w:rPr>
          <w:rFonts w:cstheme="minorHAnsi"/>
          <w:sz w:val="16"/>
          <w:szCs w:val="16"/>
        </w:rPr>
        <w:t>Average Waste Generated = 71.88875 TPD</w:t>
      </w:r>
    </w:p>
    <w:p w14:paraId="16CE3FD7" w14:textId="7557E835" w:rsidR="00B52E41" w:rsidRPr="006647E4" w:rsidRDefault="00B52E41" w:rsidP="00B52E41">
      <w:pPr>
        <w:numPr>
          <w:ilvl w:val="2"/>
          <w:numId w:val="5"/>
        </w:numPr>
        <w:rPr>
          <w:rFonts w:cstheme="minorHAnsi"/>
          <w:sz w:val="16"/>
          <w:szCs w:val="16"/>
        </w:rPr>
      </w:pPr>
      <w:r w:rsidRPr="006647E4">
        <w:rPr>
          <w:rFonts w:cstheme="minorHAnsi"/>
          <w:sz w:val="16"/>
          <w:szCs w:val="16"/>
        </w:rPr>
        <w:t>Maximum Waste Generated = 76.04 TPD (2016-17)</w:t>
      </w:r>
    </w:p>
    <w:p w14:paraId="4B728249" w14:textId="555B7D35" w:rsidR="00B52E41" w:rsidRPr="006647E4" w:rsidRDefault="00B52E41" w:rsidP="00B52E41">
      <w:pPr>
        <w:numPr>
          <w:ilvl w:val="2"/>
          <w:numId w:val="5"/>
        </w:numPr>
        <w:rPr>
          <w:rFonts w:cstheme="minorHAnsi"/>
          <w:sz w:val="16"/>
          <w:szCs w:val="16"/>
        </w:rPr>
      </w:pPr>
      <w:r w:rsidRPr="006647E4">
        <w:rPr>
          <w:rFonts w:cstheme="minorHAnsi"/>
          <w:sz w:val="16"/>
          <w:szCs w:val="16"/>
        </w:rPr>
        <w:lastRenderedPageBreak/>
        <w:t>Minimum Waste Generated = 65.5 TPD (2021-22)</w:t>
      </w:r>
    </w:p>
    <w:p w14:paraId="13182925" w14:textId="2963AE25" w:rsidR="00B52E41" w:rsidRPr="006647E4" w:rsidRDefault="00B52E41" w:rsidP="00B52E41">
      <w:pPr>
        <w:numPr>
          <w:ilvl w:val="1"/>
          <w:numId w:val="5"/>
        </w:numPr>
        <w:rPr>
          <w:rFonts w:cstheme="minorHAnsi"/>
          <w:sz w:val="16"/>
          <w:szCs w:val="16"/>
        </w:rPr>
      </w:pPr>
      <w:r w:rsidRPr="006647E4">
        <w:rPr>
          <w:rFonts w:cstheme="minorHAnsi"/>
          <w:sz w:val="16"/>
          <w:szCs w:val="16"/>
        </w:rPr>
        <w:t>Growth Rate from 2016 – 2024</w:t>
      </w:r>
    </w:p>
    <w:p w14:paraId="7E8600B9" w14:textId="377EB1A1" w:rsidR="00B52E41" w:rsidRPr="006647E4" w:rsidRDefault="00B52E41" w:rsidP="00B52E41">
      <w:pPr>
        <w:numPr>
          <w:ilvl w:val="2"/>
          <w:numId w:val="5"/>
        </w:numPr>
        <w:rPr>
          <w:rFonts w:cstheme="minorHAnsi"/>
          <w:sz w:val="16"/>
          <w:szCs w:val="16"/>
        </w:rPr>
      </w:pPr>
      <w:r w:rsidRPr="006647E4">
        <w:rPr>
          <w:rFonts w:cstheme="minorHAnsi"/>
          <w:sz w:val="16"/>
          <w:szCs w:val="16"/>
        </w:rPr>
        <w:t xml:space="preserve">Average Growth Rate = -1.144737058 % </w:t>
      </w:r>
    </w:p>
    <w:p w14:paraId="75D6AA45" w14:textId="6F3A1A00" w:rsidR="00B52E41" w:rsidRPr="006647E4" w:rsidRDefault="00B52E41" w:rsidP="00B52E41">
      <w:pPr>
        <w:numPr>
          <w:ilvl w:val="2"/>
          <w:numId w:val="5"/>
        </w:numPr>
        <w:rPr>
          <w:rFonts w:cstheme="minorHAnsi"/>
          <w:sz w:val="16"/>
          <w:szCs w:val="16"/>
        </w:rPr>
      </w:pPr>
      <w:r w:rsidRPr="006647E4">
        <w:rPr>
          <w:rFonts w:cstheme="minorHAnsi"/>
          <w:sz w:val="16"/>
          <w:szCs w:val="16"/>
        </w:rPr>
        <w:t>Maximum Growth Rate = 5.114503817 % (2022-23)</w:t>
      </w:r>
    </w:p>
    <w:p w14:paraId="25F0D5D7" w14:textId="5D2F4F21" w:rsidR="00B52E41" w:rsidRPr="006647E4" w:rsidRDefault="00B52E41" w:rsidP="00B52E41">
      <w:pPr>
        <w:numPr>
          <w:ilvl w:val="2"/>
          <w:numId w:val="5"/>
        </w:numPr>
        <w:rPr>
          <w:rFonts w:cstheme="minorHAnsi"/>
          <w:sz w:val="16"/>
          <w:szCs w:val="16"/>
        </w:rPr>
      </w:pPr>
      <w:r w:rsidRPr="006647E4">
        <w:rPr>
          <w:rFonts w:cstheme="minorHAnsi"/>
          <w:sz w:val="16"/>
          <w:szCs w:val="16"/>
        </w:rPr>
        <w:t>Minimum Growth Rate = -8.901251739 % (2021-22)</w:t>
      </w:r>
    </w:p>
    <w:p w14:paraId="40799FA4" w14:textId="31ACCCEA" w:rsidR="00AF159F" w:rsidRPr="006647E4" w:rsidRDefault="00AF159F" w:rsidP="00AF159F">
      <w:pPr>
        <w:numPr>
          <w:ilvl w:val="0"/>
          <w:numId w:val="5"/>
        </w:numPr>
        <w:rPr>
          <w:rFonts w:cstheme="minorHAnsi"/>
          <w:sz w:val="16"/>
          <w:szCs w:val="16"/>
        </w:rPr>
      </w:pPr>
      <w:r w:rsidRPr="006647E4">
        <w:rPr>
          <w:rFonts w:cstheme="minorHAnsi"/>
          <w:sz w:val="16"/>
          <w:szCs w:val="16"/>
        </w:rPr>
        <w:t>Overall Waste Generation shows moderate fluctuation, with a slight decline from 76.04 TPD in 2016–17 to 69.68 TPD in 2023–24.</w:t>
      </w:r>
    </w:p>
    <w:p w14:paraId="14EE28B4" w14:textId="1D8186C5" w:rsidR="00AF159F" w:rsidRPr="006647E4" w:rsidRDefault="00AF159F" w:rsidP="00AF159F">
      <w:pPr>
        <w:numPr>
          <w:ilvl w:val="0"/>
          <w:numId w:val="5"/>
        </w:numPr>
        <w:rPr>
          <w:rFonts w:cstheme="minorHAnsi"/>
          <w:sz w:val="16"/>
          <w:szCs w:val="16"/>
        </w:rPr>
      </w:pPr>
      <w:r w:rsidRPr="006647E4">
        <w:rPr>
          <w:rFonts w:cstheme="minorHAnsi"/>
          <w:sz w:val="16"/>
          <w:szCs w:val="16"/>
        </w:rPr>
        <w:t>The growth rate fluctuated over the years, with notable decreases in 2017–18 (−3.55%) and 2021–22 (−8.90%), and increases in 2022–23 (5.11%) and 2023–24 (1.21%). This could be attributed to population stabilization, improved waste minimization strategies, or better segregation practices.</w:t>
      </w:r>
    </w:p>
    <w:p w14:paraId="000C9D9A" w14:textId="140B22EA" w:rsidR="00B52E41" w:rsidRPr="006647E4" w:rsidRDefault="00AF159F" w:rsidP="00B52E41">
      <w:pPr>
        <w:numPr>
          <w:ilvl w:val="0"/>
          <w:numId w:val="5"/>
        </w:numPr>
        <w:rPr>
          <w:rFonts w:cstheme="minorHAnsi"/>
          <w:sz w:val="16"/>
          <w:szCs w:val="16"/>
        </w:rPr>
      </w:pPr>
      <w:r w:rsidRPr="006647E4">
        <w:rPr>
          <w:rFonts w:cstheme="minorHAnsi"/>
          <w:sz w:val="16"/>
          <w:szCs w:val="16"/>
        </w:rPr>
        <w:t>2022–23 and 2023–24 witnessed a rebound with a slight positive growth rate of 5.11% and 1.2%, respectively.</w:t>
      </w:r>
    </w:p>
    <w:p w14:paraId="2E7C7CAD" w14:textId="78C7BFBA" w:rsidR="004274FC" w:rsidRPr="006647E4" w:rsidRDefault="00AF159F" w:rsidP="004274FC">
      <w:pPr>
        <w:rPr>
          <w:rFonts w:cstheme="minorHAnsi"/>
          <w:sz w:val="16"/>
          <w:szCs w:val="16"/>
        </w:rPr>
      </w:pPr>
      <w:r w:rsidRPr="006647E4">
        <w:rPr>
          <w:rFonts w:cstheme="minorHAnsi"/>
          <w:sz w:val="16"/>
          <w:szCs w:val="16"/>
        </w:rPr>
        <w:t>2. Efficiency (%):</w:t>
      </w:r>
    </w:p>
    <w:p w14:paraId="5351CED3" w14:textId="1915696B" w:rsidR="004274FC" w:rsidRPr="006647E4" w:rsidRDefault="004274FC" w:rsidP="004274FC">
      <w:pPr>
        <w:numPr>
          <w:ilvl w:val="0"/>
          <w:numId w:val="6"/>
        </w:numPr>
        <w:rPr>
          <w:rFonts w:cstheme="minorHAnsi"/>
          <w:sz w:val="16"/>
          <w:szCs w:val="16"/>
        </w:rPr>
      </w:pPr>
      <w:r w:rsidRPr="006647E4">
        <w:rPr>
          <w:rFonts w:cstheme="minorHAnsi"/>
          <w:sz w:val="16"/>
          <w:szCs w:val="16"/>
        </w:rPr>
        <w:t>Overall Insight</w:t>
      </w:r>
    </w:p>
    <w:p w14:paraId="5EF10189" w14:textId="61EE9891" w:rsidR="004274FC" w:rsidRPr="006647E4" w:rsidRDefault="004274FC" w:rsidP="004274FC">
      <w:pPr>
        <w:numPr>
          <w:ilvl w:val="1"/>
          <w:numId w:val="6"/>
        </w:numPr>
        <w:rPr>
          <w:rFonts w:cstheme="minorHAnsi"/>
          <w:sz w:val="16"/>
          <w:szCs w:val="16"/>
        </w:rPr>
      </w:pPr>
      <w:r w:rsidRPr="006647E4">
        <w:rPr>
          <w:rFonts w:cstheme="minorHAnsi"/>
          <w:sz w:val="16"/>
          <w:szCs w:val="16"/>
        </w:rPr>
        <w:t>Average Efficiency: 93.5528058 %</w:t>
      </w:r>
    </w:p>
    <w:p w14:paraId="636F6544" w14:textId="4E753CE1" w:rsidR="004274FC" w:rsidRPr="006647E4" w:rsidRDefault="004274FC" w:rsidP="004274FC">
      <w:pPr>
        <w:numPr>
          <w:ilvl w:val="1"/>
          <w:numId w:val="6"/>
        </w:numPr>
        <w:rPr>
          <w:rFonts w:cstheme="minorHAnsi"/>
          <w:sz w:val="16"/>
          <w:szCs w:val="16"/>
        </w:rPr>
      </w:pPr>
      <w:r w:rsidRPr="006647E4">
        <w:rPr>
          <w:rFonts w:cstheme="minorHAnsi"/>
          <w:sz w:val="16"/>
          <w:szCs w:val="16"/>
        </w:rPr>
        <w:t>Maximum Efficiency: 100 % (2020 onwards)</w:t>
      </w:r>
    </w:p>
    <w:p w14:paraId="0F408712" w14:textId="143B6259" w:rsidR="004274FC" w:rsidRPr="006647E4" w:rsidRDefault="004274FC" w:rsidP="004274FC">
      <w:pPr>
        <w:numPr>
          <w:ilvl w:val="1"/>
          <w:numId w:val="6"/>
        </w:numPr>
        <w:rPr>
          <w:rFonts w:cstheme="minorHAnsi"/>
          <w:sz w:val="16"/>
          <w:szCs w:val="16"/>
        </w:rPr>
      </w:pPr>
      <w:r w:rsidRPr="006647E4">
        <w:rPr>
          <w:rFonts w:cstheme="minorHAnsi"/>
          <w:sz w:val="16"/>
          <w:szCs w:val="16"/>
        </w:rPr>
        <w:t>Minimum Efficiency: 79.76547587 % (2017-18)</w:t>
      </w:r>
      <w:r w:rsidRPr="006647E4">
        <w:rPr>
          <w:rFonts w:cstheme="minorHAnsi"/>
          <w:sz w:val="16"/>
          <w:szCs w:val="16"/>
        </w:rPr>
        <w:br/>
      </w:r>
    </w:p>
    <w:p w14:paraId="6D2480CD" w14:textId="22133C55" w:rsidR="00AF159F" w:rsidRPr="006647E4" w:rsidRDefault="00AF159F" w:rsidP="00AF159F">
      <w:pPr>
        <w:numPr>
          <w:ilvl w:val="0"/>
          <w:numId w:val="6"/>
        </w:numPr>
        <w:rPr>
          <w:rFonts w:cstheme="minorHAnsi"/>
          <w:sz w:val="16"/>
          <w:szCs w:val="16"/>
        </w:rPr>
      </w:pPr>
      <w:r w:rsidRPr="006647E4">
        <w:rPr>
          <w:rFonts w:cstheme="minorHAnsi"/>
          <w:sz w:val="16"/>
          <w:szCs w:val="16"/>
        </w:rPr>
        <w:t>Efficiency remained high throughout, peaking at 100% from 2019–20 onwards, which indicates that all generated waste was either processed or landfilled, leaving no unmanaged waste.</w:t>
      </w:r>
    </w:p>
    <w:p w14:paraId="2C6E3C20" w14:textId="77777777" w:rsidR="00AF159F" w:rsidRPr="006647E4" w:rsidRDefault="00AF159F" w:rsidP="00AF159F">
      <w:pPr>
        <w:numPr>
          <w:ilvl w:val="0"/>
          <w:numId w:val="6"/>
        </w:numPr>
        <w:rPr>
          <w:rFonts w:cstheme="minorHAnsi"/>
          <w:sz w:val="16"/>
          <w:szCs w:val="16"/>
        </w:rPr>
      </w:pPr>
      <w:r w:rsidRPr="006647E4">
        <w:rPr>
          <w:rFonts w:cstheme="minorHAnsi"/>
          <w:sz w:val="16"/>
          <w:szCs w:val="16"/>
        </w:rPr>
        <w:t>The sharp increase from 79.77% (2017–18) to 99.86% (2019–20) suggests significant infrastructure improvements or better waste tracking and reporting.</w:t>
      </w:r>
    </w:p>
    <w:p w14:paraId="1C0550A6" w14:textId="77777777" w:rsidR="00AF159F" w:rsidRPr="006647E4" w:rsidRDefault="00AF159F" w:rsidP="00AF159F">
      <w:pPr>
        <w:rPr>
          <w:rFonts w:cstheme="minorHAnsi"/>
          <w:sz w:val="16"/>
          <w:szCs w:val="16"/>
        </w:rPr>
      </w:pPr>
      <w:r w:rsidRPr="006647E4">
        <w:rPr>
          <w:rFonts w:cstheme="minorHAnsi"/>
          <w:sz w:val="16"/>
          <w:szCs w:val="16"/>
        </w:rPr>
        <w:t>3. Per Capita Waste Generation:</w:t>
      </w:r>
    </w:p>
    <w:p w14:paraId="6206C70A" w14:textId="77777777" w:rsidR="00AF159F" w:rsidRPr="006647E4" w:rsidRDefault="00AF159F" w:rsidP="00AF159F">
      <w:pPr>
        <w:numPr>
          <w:ilvl w:val="0"/>
          <w:numId w:val="7"/>
        </w:numPr>
        <w:rPr>
          <w:rFonts w:cstheme="minorHAnsi"/>
          <w:sz w:val="16"/>
          <w:szCs w:val="16"/>
        </w:rPr>
      </w:pPr>
      <w:r w:rsidRPr="006647E4">
        <w:rPr>
          <w:rFonts w:cstheme="minorHAnsi"/>
          <w:sz w:val="16"/>
          <w:szCs w:val="16"/>
        </w:rPr>
        <w:t>Per capita waste generation remained relatively stable, ranging from 0.43 to 0.48 kg/day.</w:t>
      </w:r>
    </w:p>
    <w:p w14:paraId="292F5233" w14:textId="003DE855" w:rsidR="00AF159F" w:rsidRPr="006647E4" w:rsidRDefault="00AF159F" w:rsidP="00AF159F">
      <w:pPr>
        <w:numPr>
          <w:ilvl w:val="0"/>
          <w:numId w:val="7"/>
        </w:numPr>
        <w:rPr>
          <w:rFonts w:cstheme="minorHAnsi"/>
          <w:sz w:val="16"/>
          <w:szCs w:val="16"/>
        </w:rPr>
      </w:pPr>
      <w:r w:rsidRPr="006647E4">
        <w:rPr>
          <w:rFonts w:cstheme="minorHAnsi"/>
          <w:sz w:val="16"/>
          <w:szCs w:val="16"/>
        </w:rPr>
        <w:t>The trend is stable, indicating that individual waste generation habits have not drastically changed, even though total population decreased slightly over time.</w:t>
      </w:r>
    </w:p>
    <w:p w14:paraId="1771321E" w14:textId="77777777" w:rsidR="00AF159F" w:rsidRPr="006647E4" w:rsidRDefault="00AF159F" w:rsidP="00AF159F">
      <w:pPr>
        <w:rPr>
          <w:rFonts w:cstheme="minorHAnsi"/>
          <w:sz w:val="16"/>
          <w:szCs w:val="16"/>
        </w:rPr>
      </w:pPr>
      <w:r w:rsidRPr="006647E4">
        <w:rPr>
          <w:rFonts w:cstheme="minorHAnsi"/>
          <w:sz w:val="16"/>
          <w:szCs w:val="16"/>
        </w:rPr>
        <w:t>4. Landfill Dependency (%):</w:t>
      </w:r>
    </w:p>
    <w:p w14:paraId="6C9C563A" w14:textId="77777777" w:rsidR="00AF159F" w:rsidRPr="006647E4" w:rsidRDefault="00AF159F" w:rsidP="00AF159F">
      <w:pPr>
        <w:numPr>
          <w:ilvl w:val="0"/>
          <w:numId w:val="8"/>
        </w:numPr>
        <w:rPr>
          <w:rFonts w:cstheme="minorHAnsi"/>
          <w:sz w:val="16"/>
          <w:szCs w:val="16"/>
        </w:rPr>
      </w:pPr>
      <w:r w:rsidRPr="006647E4">
        <w:rPr>
          <w:rFonts w:cstheme="minorHAnsi"/>
          <w:sz w:val="16"/>
          <w:szCs w:val="16"/>
        </w:rPr>
        <w:t>Consistently high till 2019–20 (over 68–83%), then a notable decline to 47.5% in 2023–24.</w:t>
      </w:r>
    </w:p>
    <w:p w14:paraId="44A4EB27" w14:textId="77777777" w:rsidR="00AF159F" w:rsidRPr="006647E4" w:rsidRDefault="00AF159F" w:rsidP="00AF159F">
      <w:pPr>
        <w:numPr>
          <w:ilvl w:val="0"/>
          <w:numId w:val="8"/>
        </w:numPr>
        <w:rPr>
          <w:rFonts w:cstheme="minorHAnsi"/>
          <w:sz w:val="16"/>
          <w:szCs w:val="16"/>
        </w:rPr>
      </w:pPr>
      <w:r w:rsidRPr="006647E4">
        <w:rPr>
          <w:rFonts w:cstheme="minorHAnsi"/>
          <w:sz w:val="16"/>
          <w:szCs w:val="16"/>
        </w:rPr>
        <w:t>This trend reveals that Sikkim is gradually shifting away from landfilling towards processing and resource recovery methods—an encouraging move for environmental sustainability.</w:t>
      </w:r>
    </w:p>
    <w:p w14:paraId="04049C49" w14:textId="1A4230E8" w:rsidR="00AF159F" w:rsidRPr="006647E4" w:rsidRDefault="00AF159F" w:rsidP="00AF159F">
      <w:pPr>
        <w:numPr>
          <w:ilvl w:val="0"/>
          <w:numId w:val="8"/>
        </w:numPr>
        <w:rPr>
          <w:rFonts w:cstheme="minorHAnsi"/>
          <w:sz w:val="16"/>
          <w:szCs w:val="16"/>
        </w:rPr>
      </w:pPr>
      <w:r w:rsidRPr="006647E4">
        <w:rPr>
          <w:rFonts w:cstheme="minorHAnsi"/>
          <w:sz w:val="16"/>
          <w:szCs w:val="16"/>
        </w:rPr>
        <w:t xml:space="preserve">Landfill dependency decreased significantly from 68.45% in 2016–17 to 47.52% in 2023–24. </w:t>
      </w:r>
    </w:p>
    <w:p w14:paraId="05DE0938" w14:textId="77777777" w:rsidR="00AF159F" w:rsidRPr="006647E4" w:rsidRDefault="00AF159F" w:rsidP="00AF159F">
      <w:pPr>
        <w:rPr>
          <w:rFonts w:cstheme="minorHAnsi"/>
          <w:sz w:val="16"/>
          <w:szCs w:val="16"/>
        </w:rPr>
      </w:pPr>
      <w:r w:rsidRPr="006647E4">
        <w:rPr>
          <w:rFonts w:cstheme="minorHAnsi"/>
          <w:sz w:val="16"/>
          <w:szCs w:val="16"/>
        </w:rPr>
        <w:t>5. Processing Focus (%):</w:t>
      </w:r>
    </w:p>
    <w:p w14:paraId="321458D9" w14:textId="77777777" w:rsidR="00AF159F" w:rsidRPr="006647E4" w:rsidRDefault="00AF159F" w:rsidP="00AF159F">
      <w:pPr>
        <w:numPr>
          <w:ilvl w:val="0"/>
          <w:numId w:val="9"/>
        </w:numPr>
        <w:rPr>
          <w:rFonts w:cstheme="minorHAnsi"/>
          <w:sz w:val="16"/>
          <w:szCs w:val="16"/>
        </w:rPr>
      </w:pPr>
      <w:r w:rsidRPr="006647E4">
        <w:rPr>
          <w:rFonts w:cstheme="minorHAnsi"/>
          <w:sz w:val="16"/>
          <w:szCs w:val="16"/>
        </w:rPr>
        <w:t>A clear upward trend is seen: from 14.53% in 2016–17 to 52.48% in 2023–24.</w:t>
      </w:r>
    </w:p>
    <w:p w14:paraId="51A15CD0" w14:textId="77777777" w:rsidR="00AF159F" w:rsidRPr="006647E4" w:rsidRDefault="00AF159F" w:rsidP="00AF159F">
      <w:pPr>
        <w:numPr>
          <w:ilvl w:val="0"/>
          <w:numId w:val="9"/>
        </w:numPr>
        <w:rPr>
          <w:rFonts w:cstheme="minorHAnsi"/>
          <w:sz w:val="16"/>
          <w:szCs w:val="16"/>
        </w:rPr>
      </w:pPr>
      <w:r w:rsidRPr="006647E4">
        <w:rPr>
          <w:rFonts w:cstheme="minorHAnsi"/>
          <w:sz w:val="16"/>
          <w:szCs w:val="16"/>
        </w:rPr>
        <w:t>The state has made substantial progress in increasing waste processing capacity, likely through composting, segregation, or bioconversion facilities.</w:t>
      </w:r>
    </w:p>
    <w:p w14:paraId="36728B8D" w14:textId="77777777" w:rsidR="00AF159F" w:rsidRPr="006647E4" w:rsidRDefault="00AF159F" w:rsidP="00AF159F">
      <w:pPr>
        <w:rPr>
          <w:rFonts w:cstheme="minorHAnsi"/>
          <w:sz w:val="16"/>
          <w:szCs w:val="16"/>
        </w:rPr>
      </w:pPr>
      <w:r w:rsidRPr="006647E4">
        <w:rPr>
          <w:rFonts w:cstheme="minorHAnsi"/>
          <w:sz w:val="16"/>
          <w:szCs w:val="16"/>
        </w:rPr>
        <w:t>6. Collection-Processing Gap:</w:t>
      </w:r>
    </w:p>
    <w:p w14:paraId="636080F4" w14:textId="77777777" w:rsidR="00AF159F" w:rsidRPr="006647E4" w:rsidRDefault="00AF159F" w:rsidP="00AF159F">
      <w:pPr>
        <w:numPr>
          <w:ilvl w:val="0"/>
          <w:numId w:val="10"/>
        </w:numPr>
        <w:rPr>
          <w:rFonts w:cstheme="minorHAnsi"/>
          <w:sz w:val="16"/>
          <w:szCs w:val="16"/>
        </w:rPr>
      </w:pPr>
      <w:r w:rsidRPr="006647E4">
        <w:rPr>
          <w:rFonts w:cstheme="minorHAnsi"/>
          <w:sz w:val="16"/>
          <w:szCs w:val="16"/>
        </w:rPr>
        <w:t>From a small gap of 4.5 TPD in 2017–18, the value has narrowed down to zero from 2020–21 onwards.</w:t>
      </w:r>
    </w:p>
    <w:p w14:paraId="083FFD97" w14:textId="32E015DD" w:rsidR="00AF159F" w:rsidRPr="006647E4" w:rsidRDefault="00AF159F" w:rsidP="00AF159F">
      <w:pPr>
        <w:numPr>
          <w:ilvl w:val="0"/>
          <w:numId w:val="10"/>
        </w:numPr>
        <w:rPr>
          <w:rFonts w:cstheme="minorHAnsi"/>
          <w:sz w:val="16"/>
          <w:szCs w:val="16"/>
        </w:rPr>
      </w:pPr>
      <w:r w:rsidRPr="006647E4">
        <w:rPr>
          <w:rFonts w:cstheme="minorHAnsi"/>
          <w:sz w:val="16"/>
          <w:szCs w:val="16"/>
        </w:rPr>
        <w:t>This implies improved synchronization between waste collection and its subsequent processing or disposal—critical for reducing dumping and overflow.</w:t>
      </w:r>
    </w:p>
    <w:p w14:paraId="0C571FB9" w14:textId="0568BBD3" w:rsidR="00AF159F" w:rsidRPr="006647E4" w:rsidRDefault="00AF159F" w:rsidP="00AF159F">
      <w:pPr>
        <w:rPr>
          <w:rFonts w:cstheme="minorHAnsi"/>
          <w:sz w:val="20"/>
          <w:szCs w:val="20"/>
        </w:rPr>
      </w:pPr>
      <w:r w:rsidRPr="006647E4">
        <w:rPr>
          <w:rFonts w:cstheme="minorHAnsi"/>
          <w:sz w:val="20"/>
          <w:szCs w:val="20"/>
        </w:rPr>
        <w:t>Insights</w:t>
      </w:r>
    </w:p>
    <w:p w14:paraId="3608B1BF" w14:textId="1DFA494C" w:rsidR="00AF159F" w:rsidRPr="006647E4" w:rsidRDefault="00AF159F" w:rsidP="00AF159F">
      <w:pPr>
        <w:rPr>
          <w:rFonts w:cstheme="minorHAnsi"/>
          <w:sz w:val="16"/>
          <w:szCs w:val="16"/>
        </w:rPr>
      </w:pPr>
      <w:r w:rsidRPr="006647E4">
        <w:rPr>
          <w:rFonts w:cstheme="minorHAnsi"/>
          <w:sz w:val="16"/>
          <w:szCs w:val="16"/>
        </w:rPr>
        <w:lastRenderedPageBreak/>
        <w:t>At the ULB level, Gangtok Municipal Corporation (GMC) stands out, generating approximately 49 TPD of waste, accounting for nearly 70% of the state's total urban waste output. In response to waste management challenges, GMC has privatized door-to-door waste collection and transportation services. However, this move has sparked discussions regarding the effectiveness and equity of privatization in waste management. ​ The Martam landfill, inaugurated in 2017 with an expected lifespan of 17 years, has become overburdened ahead of schedule due to waste from across Sikkim being dumped there. This has led to environmental and logistical challenges, prompting the initiation of a biomining project in January 2024 to manage waste scientifically and mitigate environmental impacts.</w:t>
      </w:r>
    </w:p>
    <w:p w14:paraId="520122DE" w14:textId="051543B1" w:rsidR="00AF159F" w:rsidRPr="006647E4" w:rsidRDefault="005857E2" w:rsidP="005857E2">
      <w:pPr>
        <w:rPr>
          <w:rFonts w:cstheme="minorHAnsi"/>
          <w:sz w:val="16"/>
          <w:szCs w:val="16"/>
        </w:rPr>
      </w:pPr>
      <w:r w:rsidRPr="006647E4">
        <w:rPr>
          <w:rFonts w:cstheme="minorHAnsi"/>
          <w:sz w:val="16"/>
          <w:szCs w:val="16"/>
        </w:rPr>
        <w:t>Sikkim has been proactive in implementing environmentally friendly policies. Despite the efforts, challenges persist, especially with the increasing number of tourists and the resultant waste generation. The state government has also focused on scientific waste management practices, such as the biomining project at Martam landfill, which aims to reduce waste volume, recover resources, and improve land use using biological methods. This initiative is part of a broader strategy to achieve a zero-waste situation in the state.</w:t>
      </w:r>
    </w:p>
    <w:p w14:paraId="205F293B" w14:textId="1EC3E687" w:rsidR="00AF159F" w:rsidRPr="006647E4" w:rsidRDefault="005857E2" w:rsidP="00AF159F">
      <w:pPr>
        <w:rPr>
          <w:rFonts w:cstheme="minorHAnsi"/>
          <w:sz w:val="16"/>
          <w:szCs w:val="16"/>
        </w:rPr>
      </w:pPr>
      <w:r w:rsidRPr="006647E4">
        <w:rPr>
          <w:rFonts w:cstheme="minorHAnsi"/>
          <w:sz w:val="16"/>
          <w:szCs w:val="16"/>
        </w:rPr>
        <w:t>Conclusion</w:t>
      </w:r>
    </w:p>
    <w:p w14:paraId="40FC89F5" w14:textId="04EDD586" w:rsidR="005857E2" w:rsidRPr="006647E4" w:rsidRDefault="005857E2" w:rsidP="005857E2">
      <w:pPr>
        <w:rPr>
          <w:rFonts w:cstheme="minorHAnsi"/>
          <w:b/>
          <w:bCs/>
          <w:sz w:val="16"/>
          <w:szCs w:val="16"/>
        </w:rPr>
      </w:pPr>
      <w:r w:rsidRPr="006647E4">
        <w:rPr>
          <w:rFonts w:cstheme="minorHAnsi"/>
          <w:b/>
          <w:bCs/>
          <w:sz w:val="16"/>
          <w:szCs w:val="16"/>
        </w:rPr>
        <w:t>Sikkim's waste management trends from 2016–17 to 2023–24 reflect significant progress in efficiency and a shift towards sustainable practices. However, challenges remain, particularly concerning landfill overcapacity and the integration of informal waste workers into formal systems. Continued efforts in policy implementation, infrastructure development, and community engagement are essential to address these challenges and move towards a more sustainable waste management system.</w:t>
      </w:r>
    </w:p>
    <w:p w14:paraId="19B95B1D" w14:textId="77777777" w:rsidR="00760D88" w:rsidRPr="006647E4" w:rsidRDefault="00760D88" w:rsidP="00760D88">
      <w:pPr>
        <w:rPr>
          <w:rFonts w:cstheme="minorHAnsi"/>
          <w:sz w:val="16"/>
          <w:szCs w:val="16"/>
        </w:rPr>
      </w:pPr>
    </w:p>
    <w:p w14:paraId="677ED69B" w14:textId="77777777" w:rsidR="00760D88" w:rsidRPr="006647E4" w:rsidRDefault="00760D88" w:rsidP="00760D88">
      <w:pPr>
        <w:rPr>
          <w:rFonts w:cstheme="minorHAnsi"/>
          <w:sz w:val="28"/>
          <w:szCs w:val="28"/>
        </w:rPr>
      </w:pPr>
    </w:p>
    <w:p w14:paraId="64BF3632" w14:textId="77777777" w:rsidR="00760D88" w:rsidRPr="006647E4" w:rsidRDefault="00760D88" w:rsidP="00760D88">
      <w:pPr>
        <w:rPr>
          <w:rFonts w:cstheme="minorHAnsi"/>
          <w:sz w:val="28"/>
          <w:szCs w:val="28"/>
        </w:rPr>
      </w:pPr>
    </w:p>
    <w:p w14:paraId="09406AD8" w14:textId="77777777" w:rsidR="00760D88" w:rsidRPr="006647E4" w:rsidRDefault="00760D88" w:rsidP="00760D88">
      <w:pPr>
        <w:rPr>
          <w:rFonts w:cstheme="minorHAnsi"/>
          <w:sz w:val="28"/>
          <w:szCs w:val="28"/>
        </w:rPr>
      </w:pPr>
    </w:p>
    <w:p w14:paraId="138C7559" w14:textId="77777777" w:rsidR="00760D88" w:rsidRPr="006647E4" w:rsidRDefault="00760D88" w:rsidP="00760D88">
      <w:pPr>
        <w:rPr>
          <w:rFonts w:cstheme="minorHAnsi"/>
          <w:sz w:val="28"/>
          <w:szCs w:val="28"/>
        </w:rPr>
      </w:pPr>
    </w:p>
    <w:p w14:paraId="2777BAAF" w14:textId="77777777" w:rsidR="00760D88" w:rsidRPr="006647E4" w:rsidRDefault="00760D88" w:rsidP="00760D88">
      <w:pPr>
        <w:rPr>
          <w:rFonts w:cstheme="minorHAnsi"/>
          <w:sz w:val="28"/>
          <w:szCs w:val="28"/>
        </w:rPr>
      </w:pPr>
    </w:p>
    <w:p w14:paraId="4D13B0FD" w14:textId="0E7E89C3" w:rsidR="003E0802" w:rsidRPr="006647E4" w:rsidRDefault="003E0802" w:rsidP="00760D88">
      <w:pPr>
        <w:rPr>
          <w:rFonts w:cstheme="minorHAnsi"/>
        </w:rPr>
      </w:pPr>
      <w:r w:rsidRPr="006647E4">
        <w:rPr>
          <w:rFonts w:cstheme="minorHAnsi"/>
        </w:rPr>
        <w:t>References:</w:t>
      </w:r>
    </w:p>
    <w:p w14:paraId="70568B67" w14:textId="64A36D37" w:rsidR="003E0802" w:rsidRPr="006647E4" w:rsidRDefault="003E0802" w:rsidP="003E0802">
      <w:pPr>
        <w:rPr>
          <w:rFonts w:cstheme="minorHAnsi"/>
        </w:rPr>
      </w:pPr>
      <w:hyperlink r:id="rId6" w:history="1">
        <w:r w:rsidRPr="006647E4">
          <w:rPr>
            <w:rStyle w:val="Hyperlink"/>
            <w:rFonts w:cstheme="minorHAnsi"/>
          </w:rPr>
          <w:t>https://spcb.sikkim.gov.in/Waste.html</w:t>
        </w:r>
      </w:hyperlink>
      <w:r w:rsidRPr="006647E4">
        <w:rPr>
          <w:rFonts w:cstheme="minorHAnsi"/>
        </w:rPr>
        <w:t xml:space="preserve"> </w:t>
      </w:r>
    </w:p>
    <w:p w14:paraId="50903649" w14:textId="24D554B2" w:rsidR="003E0802" w:rsidRPr="006647E4" w:rsidRDefault="003E0802" w:rsidP="003E0802">
      <w:pPr>
        <w:rPr>
          <w:rFonts w:cstheme="minorHAnsi"/>
        </w:rPr>
      </w:pPr>
      <w:hyperlink r:id="rId7" w:history="1">
        <w:r w:rsidRPr="006647E4">
          <w:rPr>
            <w:rStyle w:val="Hyperlink"/>
            <w:rFonts w:cstheme="minorHAnsi"/>
          </w:rPr>
          <w:t>https://spcb.sikkim.gov.in/docs/Public%20Hearing/SWTF-UDD-Mangan/PUBLIC%20HEARING%20NOTICE%20Eng.pdf</w:t>
        </w:r>
      </w:hyperlink>
      <w:r w:rsidRPr="006647E4">
        <w:rPr>
          <w:rFonts w:cstheme="minorHAnsi"/>
        </w:rPr>
        <w:t xml:space="preserve"> </w:t>
      </w:r>
    </w:p>
    <w:p w14:paraId="1F43BC96" w14:textId="0AB82B22" w:rsidR="003E0802" w:rsidRPr="006647E4" w:rsidRDefault="003E0802" w:rsidP="003E0802">
      <w:pPr>
        <w:rPr>
          <w:rFonts w:cstheme="minorHAnsi"/>
        </w:rPr>
      </w:pPr>
      <w:hyperlink r:id="rId8" w:history="1">
        <w:r w:rsidRPr="006647E4">
          <w:rPr>
            <w:rStyle w:val="Hyperlink"/>
            <w:rFonts w:cstheme="minorHAnsi"/>
          </w:rPr>
          <w:t>https://spcb.sikkim.gov.in/docs/Public%20Hearing/SWTF-UDD-Mangan/DEIA%20Sikkim.pdf</w:t>
        </w:r>
      </w:hyperlink>
      <w:r w:rsidRPr="006647E4">
        <w:rPr>
          <w:rFonts w:cstheme="minorHAnsi"/>
        </w:rPr>
        <w:t xml:space="preserve"> </w:t>
      </w:r>
    </w:p>
    <w:p w14:paraId="6945914A" w14:textId="2A128D7D" w:rsidR="009B05CF" w:rsidRPr="006647E4" w:rsidRDefault="009B05CF" w:rsidP="003E0802">
      <w:pPr>
        <w:rPr>
          <w:rFonts w:cstheme="minorHAnsi"/>
        </w:rPr>
      </w:pPr>
      <w:hyperlink r:id="rId9" w:history="1">
        <w:r w:rsidRPr="006647E4">
          <w:rPr>
            <w:rStyle w:val="Hyperlink"/>
            <w:rFonts w:cstheme="minorHAnsi"/>
          </w:rPr>
          <w:t>https://www.academia.edu/53439678/Solid_Waste_Management_Practices_and_Raising_Environmental_Concerns_A_Case_Study_of_Gangtok_Municipal_Corporation_Areas_Sikkim</w:t>
        </w:r>
      </w:hyperlink>
      <w:r w:rsidRPr="006647E4">
        <w:rPr>
          <w:rFonts w:cstheme="minorHAnsi"/>
        </w:rPr>
        <w:t xml:space="preserve"> </w:t>
      </w:r>
    </w:p>
    <w:p w14:paraId="0E67870F" w14:textId="7B55EFC3" w:rsidR="003E0802" w:rsidRPr="006647E4" w:rsidRDefault="00AF159F" w:rsidP="003E0802">
      <w:pPr>
        <w:rPr>
          <w:rFonts w:cstheme="minorHAnsi"/>
          <w:sz w:val="14"/>
          <w:szCs w:val="14"/>
        </w:rPr>
      </w:pPr>
      <w:hyperlink r:id="rId10" w:history="1">
        <w:r w:rsidRPr="006647E4">
          <w:rPr>
            <w:rStyle w:val="Hyperlink"/>
            <w:rFonts w:cstheme="minorHAnsi"/>
          </w:rPr>
          <w:t>https://sikkimexpress.com/news-details/gangtoks-solid-waste-crisis-can-privatization-clean-up-the-mess</w:t>
        </w:r>
      </w:hyperlink>
      <w:r w:rsidRPr="006647E4">
        <w:rPr>
          <w:rFonts w:cstheme="minorHAnsi"/>
        </w:rPr>
        <w:t xml:space="preserve"> </w:t>
      </w:r>
    </w:p>
    <w:p w14:paraId="21012433" w14:textId="404533EE" w:rsidR="005857E2" w:rsidRPr="006647E4" w:rsidRDefault="005857E2" w:rsidP="003E0802">
      <w:pPr>
        <w:rPr>
          <w:rFonts w:cstheme="minorHAnsi"/>
          <w:b/>
          <w:bCs/>
          <w:sz w:val="18"/>
          <w:szCs w:val="18"/>
        </w:rPr>
      </w:pPr>
      <w:hyperlink r:id="rId11" w:history="1">
        <w:r w:rsidRPr="006647E4">
          <w:rPr>
            <w:rStyle w:val="Hyperlink"/>
            <w:rFonts w:cstheme="minorHAnsi"/>
            <w:b/>
            <w:bCs/>
            <w:sz w:val="18"/>
            <w:szCs w:val="18"/>
          </w:rPr>
          <w:t>https://www.krctimes.com/news/sikkim-urban-development-secretary-inspects-martam-biomining-project-stresses-on-scientific-waste-management/</w:t>
        </w:r>
      </w:hyperlink>
      <w:r w:rsidRPr="006647E4">
        <w:rPr>
          <w:rFonts w:cstheme="minorHAnsi"/>
          <w:b/>
          <w:bCs/>
          <w:sz w:val="18"/>
          <w:szCs w:val="18"/>
        </w:rPr>
        <w:t xml:space="preserve"> </w:t>
      </w:r>
    </w:p>
    <w:sectPr w:rsidR="005857E2" w:rsidRPr="006647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2E50BC"/>
    <w:multiLevelType w:val="hybridMultilevel"/>
    <w:tmpl w:val="9B463F46"/>
    <w:lvl w:ilvl="0" w:tplc="49FEF076">
      <w:start w:val="5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67D1F23"/>
    <w:multiLevelType w:val="multilevel"/>
    <w:tmpl w:val="6E400A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65569A"/>
    <w:multiLevelType w:val="multilevel"/>
    <w:tmpl w:val="13E0C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703D64"/>
    <w:multiLevelType w:val="multilevel"/>
    <w:tmpl w:val="BB02D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4B3572"/>
    <w:multiLevelType w:val="hybridMultilevel"/>
    <w:tmpl w:val="BAD0427C"/>
    <w:lvl w:ilvl="0" w:tplc="504E4328">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9F46D35"/>
    <w:multiLevelType w:val="hybridMultilevel"/>
    <w:tmpl w:val="E0744208"/>
    <w:lvl w:ilvl="0" w:tplc="B5C6F244">
      <w:start w:val="5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EE310F1"/>
    <w:multiLevelType w:val="multilevel"/>
    <w:tmpl w:val="3B1E5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F046D9"/>
    <w:multiLevelType w:val="multilevel"/>
    <w:tmpl w:val="57FE37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272402"/>
    <w:multiLevelType w:val="multilevel"/>
    <w:tmpl w:val="52D8B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8804AB"/>
    <w:multiLevelType w:val="multilevel"/>
    <w:tmpl w:val="D5A6BE0E"/>
    <w:lvl w:ilvl="0">
      <w:start w:val="1"/>
      <w:numFmt w:val="upperRoman"/>
      <w:lvlText w:val="%1."/>
      <w:lvlJc w:val="left"/>
      <w:pPr>
        <w:tabs>
          <w:tab w:val="num" w:pos="720"/>
        </w:tabs>
        <w:ind w:left="720" w:hanging="360"/>
      </w:pPr>
      <w:rPr>
        <w:rFonts w:asciiTheme="minorHAnsi" w:eastAsiaTheme="minorHAnsi" w:hAnsiTheme="minorHAnsi" w:cstheme="min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72024772">
    <w:abstractNumId w:val="4"/>
  </w:num>
  <w:num w:numId="2" w16cid:durableId="638144660">
    <w:abstractNumId w:val="9"/>
  </w:num>
  <w:num w:numId="3" w16cid:durableId="1404140112">
    <w:abstractNumId w:val="0"/>
  </w:num>
  <w:num w:numId="4" w16cid:durableId="1949697826">
    <w:abstractNumId w:val="5"/>
  </w:num>
  <w:num w:numId="5" w16cid:durableId="582646139">
    <w:abstractNumId w:val="7"/>
  </w:num>
  <w:num w:numId="6" w16cid:durableId="21129074">
    <w:abstractNumId w:val="1"/>
  </w:num>
  <w:num w:numId="7" w16cid:durableId="1757630223">
    <w:abstractNumId w:val="6"/>
  </w:num>
  <w:num w:numId="8" w16cid:durableId="1012146686">
    <w:abstractNumId w:val="3"/>
  </w:num>
  <w:num w:numId="9" w16cid:durableId="531110358">
    <w:abstractNumId w:val="2"/>
  </w:num>
  <w:num w:numId="10" w16cid:durableId="197462835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802"/>
    <w:rsid w:val="00200CAD"/>
    <w:rsid w:val="0029038B"/>
    <w:rsid w:val="003E0802"/>
    <w:rsid w:val="004274FC"/>
    <w:rsid w:val="005857E2"/>
    <w:rsid w:val="005A2176"/>
    <w:rsid w:val="005D52D5"/>
    <w:rsid w:val="006647E4"/>
    <w:rsid w:val="00677297"/>
    <w:rsid w:val="006C5F5C"/>
    <w:rsid w:val="00760D88"/>
    <w:rsid w:val="008241F5"/>
    <w:rsid w:val="009B05CF"/>
    <w:rsid w:val="00AF159F"/>
    <w:rsid w:val="00B52E41"/>
    <w:rsid w:val="00C778CB"/>
    <w:rsid w:val="00EB6D7B"/>
    <w:rsid w:val="00F93FDF"/>
    <w:rsid w:val="00FA0E9D"/>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10CDD"/>
  <w15:chartTrackingRefBased/>
  <w15:docId w15:val="{C70E9109-E521-46C1-8606-892183CD7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mr-IN"/>
    </w:rPr>
  </w:style>
  <w:style w:type="paragraph" w:styleId="Heading1">
    <w:name w:val="heading 1"/>
    <w:basedOn w:val="Normal"/>
    <w:next w:val="Normal"/>
    <w:link w:val="Heading1Char"/>
    <w:uiPriority w:val="9"/>
    <w:qFormat/>
    <w:rsid w:val="003E0802"/>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semiHidden/>
    <w:unhideWhenUsed/>
    <w:qFormat/>
    <w:rsid w:val="003E0802"/>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3E0802"/>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3E0802"/>
    <w:pPr>
      <w:keepNext/>
      <w:keepLines/>
      <w:spacing w:before="80" w:after="40"/>
      <w:outlineLvl w:val="3"/>
    </w:pPr>
    <w:rPr>
      <w:rFonts w:eastAsiaTheme="majorEastAsia" w:cstheme="majorBidi"/>
      <w:i/>
      <w:iCs/>
      <w:color w:val="2F5496" w:themeColor="accent1" w:themeShade="BF"/>
      <w:szCs w:val="20"/>
    </w:rPr>
  </w:style>
  <w:style w:type="paragraph" w:styleId="Heading5">
    <w:name w:val="heading 5"/>
    <w:basedOn w:val="Normal"/>
    <w:next w:val="Normal"/>
    <w:link w:val="Heading5Char"/>
    <w:uiPriority w:val="9"/>
    <w:semiHidden/>
    <w:unhideWhenUsed/>
    <w:qFormat/>
    <w:rsid w:val="003E0802"/>
    <w:pPr>
      <w:keepNext/>
      <w:keepLines/>
      <w:spacing w:before="80" w:after="40"/>
      <w:outlineLvl w:val="4"/>
    </w:pPr>
    <w:rPr>
      <w:rFonts w:eastAsiaTheme="majorEastAsia" w:cstheme="majorBidi"/>
      <w:color w:val="2F5496" w:themeColor="accent1" w:themeShade="BF"/>
      <w:szCs w:val="20"/>
    </w:rPr>
  </w:style>
  <w:style w:type="paragraph" w:styleId="Heading6">
    <w:name w:val="heading 6"/>
    <w:basedOn w:val="Normal"/>
    <w:next w:val="Normal"/>
    <w:link w:val="Heading6Char"/>
    <w:uiPriority w:val="9"/>
    <w:semiHidden/>
    <w:unhideWhenUsed/>
    <w:qFormat/>
    <w:rsid w:val="003E0802"/>
    <w:pPr>
      <w:keepNext/>
      <w:keepLines/>
      <w:spacing w:before="40" w:after="0"/>
      <w:outlineLvl w:val="5"/>
    </w:pPr>
    <w:rPr>
      <w:rFonts w:eastAsiaTheme="majorEastAsia" w:cstheme="majorBidi"/>
      <w:i/>
      <w:iCs/>
      <w:color w:val="595959" w:themeColor="text1" w:themeTint="A6"/>
      <w:szCs w:val="20"/>
    </w:rPr>
  </w:style>
  <w:style w:type="paragraph" w:styleId="Heading7">
    <w:name w:val="heading 7"/>
    <w:basedOn w:val="Normal"/>
    <w:next w:val="Normal"/>
    <w:link w:val="Heading7Char"/>
    <w:uiPriority w:val="9"/>
    <w:semiHidden/>
    <w:unhideWhenUsed/>
    <w:qFormat/>
    <w:rsid w:val="003E0802"/>
    <w:pPr>
      <w:keepNext/>
      <w:keepLines/>
      <w:spacing w:before="40" w:after="0"/>
      <w:outlineLvl w:val="6"/>
    </w:pPr>
    <w:rPr>
      <w:rFonts w:eastAsiaTheme="majorEastAsia" w:cstheme="majorBidi"/>
      <w:color w:val="595959" w:themeColor="text1" w:themeTint="A6"/>
      <w:szCs w:val="20"/>
    </w:rPr>
  </w:style>
  <w:style w:type="paragraph" w:styleId="Heading8">
    <w:name w:val="heading 8"/>
    <w:basedOn w:val="Normal"/>
    <w:next w:val="Normal"/>
    <w:link w:val="Heading8Char"/>
    <w:uiPriority w:val="9"/>
    <w:semiHidden/>
    <w:unhideWhenUsed/>
    <w:qFormat/>
    <w:rsid w:val="003E0802"/>
    <w:pPr>
      <w:keepNext/>
      <w:keepLines/>
      <w:spacing w:after="0"/>
      <w:outlineLvl w:val="7"/>
    </w:pPr>
    <w:rPr>
      <w:rFonts w:eastAsiaTheme="majorEastAsia" w:cstheme="majorBidi"/>
      <w:i/>
      <w:iCs/>
      <w:color w:val="272727" w:themeColor="text1" w:themeTint="D8"/>
      <w:szCs w:val="20"/>
    </w:rPr>
  </w:style>
  <w:style w:type="paragraph" w:styleId="Heading9">
    <w:name w:val="heading 9"/>
    <w:basedOn w:val="Normal"/>
    <w:next w:val="Normal"/>
    <w:link w:val="Heading9Char"/>
    <w:uiPriority w:val="9"/>
    <w:semiHidden/>
    <w:unhideWhenUsed/>
    <w:qFormat/>
    <w:rsid w:val="003E0802"/>
    <w:pPr>
      <w:keepNext/>
      <w:keepLines/>
      <w:spacing w:after="0"/>
      <w:outlineLvl w:val="8"/>
    </w:pPr>
    <w:rPr>
      <w:rFonts w:eastAsiaTheme="majorEastAsia" w:cstheme="majorBidi"/>
      <w:color w:val="272727" w:themeColor="text1" w:themeTint="D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0802"/>
    <w:rPr>
      <w:rFonts w:asciiTheme="majorHAnsi" w:eastAsiaTheme="majorEastAsia" w:hAnsiTheme="majorHAnsi" w:cstheme="majorBidi"/>
      <w:color w:val="2F5496" w:themeColor="accent1" w:themeShade="BF"/>
      <w:sz w:val="40"/>
      <w:szCs w:val="36"/>
      <w:lang w:bidi="mr-IN"/>
    </w:rPr>
  </w:style>
  <w:style w:type="character" w:customStyle="1" w:styleId="Heading2Char">
    <w:name w:val="Heading 2 Char"/>
    <w:basedOn w:val="DefaultParagraphFont"/>
    <w:link w:val="Heading2"/>
    <w:uiPriority w:val="9"/>
    <w:semiHidden/>
    <w:rsid w:val="003E0802"/>
    <w:rPr>
      <w:rFonts w:asciiTheme="majorHAnsi" w:eastAsiaTheme="majorEastAsia" w:hAnsiTheme="majorHAnsi" w:cstheme="majorBidi"/>
      <w:color w:val="2F5496" w:themeColor="accent1" w:themeShade="BF"/>
      <w:sz w:val="32"/>
      <w:szCs w:val="29"/>
      <w:lang w:bidi="mr-IN"/>
    </w:rPr>
  </w:style>
  <w:style w:type="character" w:customStyle="1" w:styleId="Heading3Char">
    <w:name w:val="Heading 3 Char"/>
    <w:basedOn w:val="DefaultParagraphFont"/>
    <w:link w:val="Heading3"/>
    <w:uiPriority w:val="9"/>
    <w:semiHidden/>
    <w:rsid w:val="003E0802"/>
    <w:rPr>
      <w:rFonts w:eastAsiaTheme="majorEastAsia" w:cstheme="majorBidi"/>
      <w:color w:val="2F5496" w:themeColor="accent1" w:themeShade="BF"/>
      <w:sz w:val="28"/>
      <w:szCs w:val="25"/>
      <w:lang w:bidi="mr-IN"/>
    </w:rPr>
  </w:style>
  <w:style w:type="character" w:customStyle="1" w:styleId="Heading4Char">
    <w:name w:val="Heading 4 Char"/>
    <w:basedOn w:val="DefaultParagraphFont"/>
    <w:link w:val="Heading4"/>
    <w:uiPriority w:val="9"/>
    <w:semiHidden/>
    <w:rsid w:val="003E0802"/>
    <w:rPr>
      <w:rFonts w:eastAsiaTheme="majorEastAsia" w:cstheme="majorBidi"/>
      <w:i/>
      <w:iCs/>
      <w:color w:val="2F5496" w:themeColor="accent1" w:themeShade="BF"/>
      <w:szCs w:val="20"/>
      <w:lang w:bidi="mr-IN"/>
    </w:rPr>
  </w:style>
  <w:style w:type="character" w:customStyle="1" w:styleId="Heading5Char">
    <w:name w:val="Heading 5 Char"/>
    <w:basedOn w:val="DefaultParagraphFont"/>
    <w:link w:val="Heading5"/>
    <w:uiPriority w:val="9"/>
    <w:semiHidden/>
    <w:rsid w:val="003E0802"/>
    <w:rPr>
      <w:rFonts w:eastAsiaTheme="majorEastAsia" w:cstheme="majorBidi"/>
      <w:color w:val="2F5496" w:themeColor="accent1" w:themeShade="BF"/>
      <w:szCs w:val="20"/>
      <w:lang w:bidi="mr-IN"/>
    </w:rPr>
  </w:style>
  <w:style w:type="character" w:customStyle="1" w:styleId="Heading6Char">
    <w:name w:val="Heading 6 Char"/>
    <w:basedOn w:val="DefaultParagraphFont"/>
    <w:link w:val="Heading6"/>
    <w:uiPriority w:val="9"/>
    <w:semiHidden/>
    <w:rsid w:val="003E0802"/>
    <w:rPr>
      <w:rFonts w:eastAsiaTheme="majorEastAsia" w:cstheme="majorBidi"/>
      <w:i/>
      <w:iCs/>
      <w:color w:val="595959" w:themeColor="text1" w:themeTint="A6"/>
      <w:szCs w:val="20"/>
      <w:lang w:bidi="mr-IN"/>
    </w:rPr>
  </w:style>
  <w:style w:type="character" w:customStyle="1" w:styleId="Heading7Char">
    <w:name w:val="Heading 7 Char"/>
    <w:basedOn w:val="DefaultParagraphFont"/>
    <w:link w:val="Heading7"/>
    <w:uiPriority w:val="9"/>
    <w:semiHidden/>
    <w:rsid w:val="003E0802"/>
    <w:rPr>
      <w:rFonts w:eastAsiaTheme="majorEastAsia" w:cstheme="majorBidi"/>
      <w:color w:val="595959" w:themeColor="text1" w:themeTint="A6"/>
      <w:szCs w:val="20"/>
      <w:lang w:bidi="mr-IN"/>
    </w:rPr>
  </w:style>
  <w:style w:type="character" w:customStyle="1" w:styleId="Heading8Char">
    <w:name w:val="Heading 8 Char"/>
    <w:basedOn w:val="DefaultParagraphFont"/>
    <w:link w:val="Heading8"/>
    <w:uiPriority w:val="9"/>
    <w:semiHidden/>
    <w:rsid w:val="003E0802"/>
    <w:rPr>
      <w:rFonts w:eastAsiaTheme="majorEastAsia" w:cstheme="majorBidi"/>
      <w:i/>
      <w:iCs/>
      <w:color w:val="272727" w:themeColor="text1" w:themeTint="D8"/>
      <w:szCs w:val="20"/>
      <w:lang w:bidi="mr-IN"/>
    </w:rPr>
  </w:style>
  <w:style w:type="character" w:customStyle="1" w:styleId="Heading9Char">
    <w:name w:val="Heading 9 Char"/>
    <w:basedOn w:val="DefaultParagraphFont"/>
    <w:link w:val="Heading9"/>
    <w:uiPriority w:val="9"/>
    <w:semiHidden/>
    <w:rsid w:val="003E0802"/>
    <w:rPr>
      <w:rFonts w:eastAsiaTheme="majorEastAsia" w:cstheme="majorBidi"/>
      <w:color w:val="272727" w:themeColor="text1" w:themeTint="D8"/>
      <w:szCs w:val="20"/>
      <w:lang w:bidi="mr-IN"/>
    </w:rPr>
  </w:style>
  <w:style w:type="paragraph" w:styleId="Title">
    <w:name w:val="Title"/>
    <w:basedOn w:val="Normal"/>
    <w:next w:val="Normal"/>
    <w:link w:val="TitleChar"/>
    <w:uiPriority w:val="10"/>
    <w:qFormat/>
    <w:rsid w:val="003E0802"/>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3E0802"/>
    <w:rPr>
      <w:rFonts w:asciiTheme="majorHAnsi" w:eastAsiaTheme="majorEastAsia" w:hAnsiTheme="majorHAnsi" w:cstheme="majorBidi"/>
      <w:spacing w:val="-10"/>
      <w:kern w:val="28"/>
      <w:sz w:val="56"/>
      <w:szCs w:val="50"/>
      <w:lang w:bidi="mr-IN"/>
    </w:rPr>
  </w:style>
  <w:style w:type="paragraph" w:styleId="Subtitle">
    <w:name w:val="Subtitle"/>
    <w:basedOn w:val="Normal"/>
    <w:next w:val="Normal"/>
    <w:link w:val="SubtitleChar"/>
    <w:uiPriority w:val="11"/>
    <w:qFormat/>
    <w:rsid w:val="003E0802"/>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3E0802"/>
    <w:rPr>
      <w:rFonts w:eastAsiaTheme="majorEastAsia" w:cstheme="majorBidi"/>
      <w:color w:val="595959" w:themeColor="text1" w:themeTint="A6"/>
      <w:spacing w:val="15"/>
      <w:sz w:val="28"/>
      <w:szCs w:val="25"/>
      <w:lang w:bidi="mr-IN"/>
    </w:rPr>
  </w:style>
  <w:style w:type="paragraph" w:styleId="Quote">
    <w:name w:val="Quote"/>
    <w:basedOn w:val="Normal"/>
    <w:next w:val="Normal"/>
    <w:link w:val="QuoteChar"/>
    <w:uiPriority w:val="29"/>
    <w:qFormat/>
    <w:rsid w:val="003E0802"/>
    <w:pPr>
      <w:spacing w:before="160"/>
      <w:jc w:val="center"/>
    </w:pPr>
    <w:rPr>
      <w:i/>
      <w:iCs/>
      <w:color w:val="404040" w:themeColor="text1" w:themeTint="BF"/>
      <w:szCs w:val="20"/>
    </w:rPr>
  </w:style>
  <w:style w:type="character" w:customStyle="1" w:styleId="QuoteChar">
    <w:name w:val="Quote Char"/>
    <w:basedOn w:val="DefaultParagraphFont"/>
    <w:link w:val="Quote"/>
    <w:uiPriority w:val="29"/>
    <w:rsid w:val="003E0802"/>
    <w:rPr>
      <w:i/>
      <w:iCs/>
      <w:color w:val="404040" w:themeColor="text1" w:themeTint="BF"/>
      <w:szCs w:val="20"/>
      <w:lang w:bidi="mr-IN"/>
    </w:rPr>
  </w:style>
  <w:style w:type="paragraph" w:styleId="ListParagraph">
    <w:name w:val="List Paragraph"/>
    <w:basedOn w:val="Normal"/>
    <w:uiPriority w:val="34"/>
    <w:qFormat/>
    <w:rsid w:val="003E0802"/>
    <w:pPr>
      <w:ind w:left="720"/>
      <w:contextualSpacing/>
    </w:pPr>
    <w:rPr>
      <w:szCs w:val="20"/>
    </w:rPr>
  </w:style>
  <w:style w:type="character" w:styleId="IntenseEmphasis">
    <w:name w:val="Intense Emphasis"/>
    <w:basedOn w:val="DefaultParagraphFont"/>
    <w:uiPriority w:val="21"/>
    <w:qFormat/>
    <w:rsid w:val="003E0802"/>
    <w:rPr>
      <w:i/>
      <w:iCs/>
      <w:color w:val="2F5496" w:themeColor="accent1" w:themeShade="BF"/>
    </w:rPr>
  </w:style>
  <w:style w:type="paragraph" w:styleId="IntenseQuote">
    <w:name w:val="Intense Quote"/>
    <w:basedOn w:val="Normal"/>
    <w:next w:val="Normal"/>
    <w:link w:val="IntenseQuoteChar"/>
    <w:uiPriority w:val="30"/>
    <w:qFormat/>
    <w:rsid w:val="003E080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szCs w:val="20"/>
    </w:rPr>
  </w:style>
  <w:style w:type="character" w:customStyle="1" w:styleId="IntenseQuoteChar">
    <w:name w:val="Intense Quote Char"/>
    <w:basedOn w:val="DefaultParagraphFont"/>
    <w:link w:val="IntenseQuote"/>
    <w:uiPriority w:val="30"/>
    <w:rsid w:val="003E0802"/>
    <w:rPr>
      <w:i/>
      <w:iCs/>
      <w:color w:val="2F5496" w:themeColor="accent1" w:themeShade="BF"/>
      <w:szCs w:val="20"/>
      <w:lang w:bidi="mr-IN"/>
    </w:rPr>
  </w:style>
  <w:style w:type="character" w:styleId="IntenseReference">
    <w:name w:val="Intense Reference"/>
    <w:basedOn w:val="DefaultParagraphFont"/>
    <w:uiPriority w:val="32"/>
    <w:qFormat/>
    <w:rsid w:val="003E0802"/>
    <w:rPr>
      <w:b/>
      <w:bCs/>
      <w:smallCaps/>
      <w:color w:val="2F5496" w:themeColor="accent1" w:themeShade="BF"/>
      <w:spacing w:val="5"/>
    </w:rPr>
  </w:style>
  <w:style w:type="character" w:styleId="Hyperlink">
    <w:name w:val="Hyperlink"/>
    <w:basedOn w:val="DefaultParagraphFont"/>
    <w:uiPriority w:val="99"/>
    <w:unhideWhenUsed/>
    <w:rsid w:val="003E0802"/>
    <w:rPr>
      <w:color w:val="0563C1" w:themeColor="hyperlink"/>
      <w:u w:val="single"/>
    </w:rPr>
  </w:style>
  <w:style w:type="character" w:styleId="UnresolvedMention">
    <w:name w:val="Unresolved Mention"/>
    <w:basedOn w:val="DefaultParagraphFont"/>
    <w:uiPriority w:val="99"/>
    <w:semiHidden/>
    <w:unhideWhenUsed/>
    <w:rsid w:val="003E0802"/>
    <w:rPr>
      <w:color w:val="605E5C"/>
      <w:shd w:val="clear" w:color="auto" w:fill="E1DFDD"/>
    </w:rPr>
  </w:style>
  <w:style w:type="table" w:styleId="TableGrid">
    <w:name w:val="Table Grid"/>
    <w:basedOn w:val="TableNormal"/>
    <w:uiPriority w:val="39"/>
    <w:rsid w:val="00760D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857E2"/>
    <w:rPr>
      <w:color w:val="954F72" w:themeColor="followedHyperlink"/>
      <w:u w:val="single"/>
    </w:rPr>
  </w:style>
  <w:style w:type="paragraph" w:styleId="NormalWeb">
    <w:name w:val="Normal (Web)"/>
    <w:basedOn w:val="Normal"/>
    <w:uiPriority w:val="99"/>
    <w:semiHidden/>
    <w:unhideWhenUsed/>
    <w:rsid w:val="004274FC"/>
    <w:pPr>
      <w:spacing w:before="100" w:beforeAutospacing="1" w:after="100" w:afterAutospacing="1" w:line="240" w:lineRule="auto"/>
    </w:pPr>
    <w:rPr>
      <w:rFonts w:ascii="Times New Roman" w:eastAsia="Times New Roman" w:hAnsi="Times New Roman" w:cs="Times New Roman"/>
      <w:kern w:val="0"/>
      <w:sz w:val="24"/>
      <w:szCs w:val="24"/>
      <w:lang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21999">
      <w:bodyDiv w:val="1"/>
      <w:marLeft w:val="0"/>
      <w:marRight w:val="0"/>
      <w:marTop w:val="0"/>
      <w:marBottom w:val="0"/>
      <w:divBdr>
        <w:top w:val="none" w:sz="0" w:space="0" w:color="auto"/>
        <w:left w:val="none" w:sz="0" w:space="0" w:color="auto"/>
        <w:bottom w:val="none" w:sz="0" w:space="0" w:color="auto"/>
        <w:right w:val="none" w:sz="0" w:space="0" w:color="auto"/>
      </w:divBdr>
    </w:div>
    <w:div w:id="73750743">
      <w:bodyDiv w:val="1"/>
      <w:marLeft w:val="0"/>
      <w:marRight w:val="0"/>
      <w:marTop w:val="0"/>
      <w:marBottom w:val="0"/>
      <w:divBdr>
        <w:top w:val="none" w:sz="0" w:space="0" w:color="auto"/>
        <w:left w:val="none" w:sz="0" w:space="0" w:color="auto"/>
        <w:bottom w:val="none" w:sz="0" w:space="0" w:color="auto"/>
        <w:right w:val="none" w:sz="0" w:space="0" w:color="auto"/>
      </w:divBdr>
    </w:div>
    <w:div w:id="483741343">
      <w:bodyDiv w:val="1"/>
      <w:marLeft w:val="0"/>
      <w:marRight w:val="0"/>
      <w:marTop w:val="0"/>
      <w:marBottom w:val="0"/>
      <w:divBdr>
        <w:top w:val="none" w:sz="0" w:space="0" w:color="auto"/>
        <w:left w:val="none" w:sz="0" w:space="0" w:color="auto"/>
        <w:bottom w:val="none" w:sz="0" w:space="0" w:color="auto"/>
        <w:right w:val="none" w:sz="0" w:space="0" w:color="auto"/>
      </w:divBdr>
    </w:div>
    <w:div w:id="487289347">
      <w:bodyDiv w:val="1"/>
      <w:marLeft w:val="0"/>
      <w:marRight w:val="0"/>
      <w:marTop w:val="0"/>
      <w:marBottom w:val="0"/>
      <w:divBdr>
        <w:top w:val="none" w:sz="0" w:space="0" w:color="auto"/>
        <w:left w:val="none" w:sz="0" w:space="0" w:color="auto"/>
        <w:bottom w:val="none" w:sz="0" w:space="0" w:color="auto"/>
        <w:right w:val="none" w:sz="0" w:space="0" w:color="auto"/>
      </w:divBdr>
    </w:div>
    <w:div w:id="500659060">
      <w:bodyDiv w:val="1"/>
      <w:marLeft w:val="0"/>
      <w:marRight w:val="0"/>
      <w:marTop w:val="0"/>
      <w:marBottom w:val="0"/>
      <w:divBdr>
        <w:top w:val="none" w:sz="0" w:space="0" w:color="auto"/>
        <w:left w:val="none" w:sz="0" w:space="0" w:color="auto"/>
        <w:bottom w:val="none" w:sz="0" w:space="0" w:color="auto"/>
        <w:right w:val="none" w:sz="0" w:space="0" w:color="auto"/>
      </w:divBdr>
    </w:div>
    <w:div w:id="508913652">
      <w:bodyDiv w:val="1"/>
      <w:marLeft w:val="0"/>
      <w:marRight w:val="0"/>
      <w:marTop w:val="0"/>
      <w:marBottom w:val="0"/>
      <w:divBdr>
        <w:top w:val="none" w:sz="0" w:space="0" w:color="auto"/>
        <w:left w:val="none" w:sz="0" w:space="0" w:color="auto"/>
        <w:bottom w:val="none" w:sz="0" w:space="0" w:color="auto"/>
        <w:right w:val="none" w:sz="0" w:space="0" w:color="auto"/>
      </w:divBdr>
    </w:div>
    <w:div w:id="552276244">
      <w:bodyDiv w:val="1"/>
      <w:marLeft w:val="0"/>
      <w:marRight w:val="0"/>
      <w:marTop w:val="0"/>
      <w:marBottom w:val="0"/>
      <w:divBdr>
        <w:top w:val="none" w:sz="0" w:space="0" w:color="auto"/>
        <w:left w:val="none" w:sz="0" w:space="0" w:color="auto"/>
        <w:bottom w:val="none" w:sz="0" w:space="0" w:color="auto"/>
        <w:right w:val="none" w:sz="0" w:space="0" w:color="auto"/>
      </w:divBdr>
    </w:div>
    <w:div w:id="594364968">
      <w:bodyDiv w:val="1"/>
      <w:marLeft w:val="0"/>
      <w:marRight w:val="0"/>
      <w:marTop w:val="0"/>
      <w:marBottom w:val="0"/>
      <w:divBdr>
        <w:top w:val="none" w:sz="0" w:space="0" w:color="auto"/>
        <w:left w:val="none" w:sz="0" w:space="0" w:color="auto"/>
        <w:bottom w:val="none" w:sz="0" w:space="0" w:color="auto"/>
        <w:right w:val="none" w:sz="0" w:space="0" w:color="auto"/>
      </w:divBdr>
    </w:div>
    <w:div w:id="597638104">
      <w:bodyDiv w:val="1"/>
      <w:marLeft w:val="0"/>
      <w:marRight w:val="0"/>
      <w:marTop w:val="0"/>
      <w:marBottom w:val="0"/>
      <w:divBdr>
        <w:top w:val="none" w:sz="0" w:space="0" w:color="auto"/>
        <w:left w:val="none" w:sz="0" w:space="0" w:color="auto"/>
        <w:bottom w:val="none" w:sz="0" w:space="0" w:color="auto"/>
        <w:right w:val="none" w:sz="0" w:space="0" w:color="auto"/>
      </w:divBdr>
    </w:div>
    <w:div w:id="933322747">
      <w:bodyDiv w:val="1"/>
      <w:marLeft w:val="0"/>
      <w:marRight w:val="0"/>
      <w:marTop w:val="0"/>
      <w:marBottom w:val="0"/>
      <w:divBdr>
        <w:top w:val="none" w:sz="0" w:space="0" w:color="auto"/>
        <w:left w:val="none" w:sz="0" w:space="0" w:color="auto"/>
        <w:bottom w:val="none" w:sz="0" w:space="0" w:color="auto"/>
        <w:right w:val="none" w:sz="0" w:space="0" w:color="auto"/>
      </w:divBdr>
    </w:div>
    <w:div w:id="1086877445">
      <w:bodyDiv w:val="1"/>
      <w:marLeft w:val="0"/>
      <w:marRight w:val="0"/>
      <w:marTop w:val="0"/>
      <w:marBottom w:val="0"/>
      <w:divBdr>
        <w:top w:val="none" w:sz="0" w:space="0" w:color="auto"/>
        <w:left w:val="none" w:sz="0" w:space="0" w:color="auto"/>
        <w:bottom w:val="none" w:sz="0" w:space="0" w:color="auto"/>
        <w:right w:val="none" w:sz="0" w:space="0" w:color="auto"/>
      </w:divBdr>
    </w:div>
    <w:div w:id="1306467184">
      <w:bodyDiv w:val="1"/>
      <w:marLeft w:val="0"/>
      <w:marRight w:val="0"/>
      <w:marTop w:val="0"/>
      <w:marBottom w:val="0"/>
      <w:divBdr>
        <w:top w:val="none" w:sz="0" w:space="0" w:color="auto"/>
        <w:left w:val="none" w:sz="0" w:space="0" w:color="auto"/>
        <w:bottom w:val="none" w:sz="0" w:space="0" w:color="auto"/>
        <w:right w:val="none" w:sz="0" w:space="0" w:color="auto"/>
      </w:divBdr>
    </w:div>
    <w:div w:id="1484278963">
      <w:bodyDiv w:val="1"/>
      <w:marLeft w:val="0"/>
      <w:marRight w:val="0"/>
      <w:marTop w:val="0"/>
      <w:marBottom w:val="0"/>
      <w:divBdr>
        <w:top w:val="none" w:sz="0" w:space="0" w:color="auto"/>
        <w:left w:val="none" w:sz="0" w:space="0" w:color="auto"/>
        <w:bottom w:val="none" w:sz="0" w:space="0" w:color="auto"/>
        <w:right w:val="none" w:sz="0" w:space="0" w:color="auto"/>
      </w:divBdr>
    </w:div>
    <w:div w:id="1657417676">
      <w:bodyDiv w:val="1"/>
      <w:marLeft w:val="0"/>
      <w:marRight w:val="0"/>
      <w:marTop w:val="0"/>
      <w:marBottom w:val="0"/>
      <w:divBdr>
        <w:top w:val="none" w:sz="0" w:space="0" w:color="auto"/>
        <w:left w:val="none" w:sz="0" w:space="0" w:color="auto"/>
        <w:bottom w:val="none" w:sz="0" w:space="0" w:color="auto"/>
        <w:right w:val="none" w:sz="0" w:space="0" w:color="auto"/>
      </w:divBdr>
    </w:div>
    <w:div w:id="2129736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pcb.sikkim.gov.in/docs/Public%20Hearing/SWTF-UDD-Mangan/DEIA%20Sikkim.pd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pcb.sikkim.gov.in/docs/Public%20Hearing/SWTF-UDD-Mangan/PUBLIC%20HEARING%20NOTICE%20Eng.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pcb.sikkim.gov.in/Waste.html" TargetMode="External"/><Relationship Id="rId11" Type="http://schemas.openxmlformats.org/officeDocument/2006/relationships/hyperlink" Target="https://www.krctimes.com/news/sikkim-urban-development-secretary-inspects-martam-biomining-project-stresses-on-scientific-waste-management/" TargetMode="External"/><Relationship Id="rId5" Type="http://schemas.openxmlformats.org/officeDocument/2006/relationships/image" Target="media/image1.png"/><Relationship Id="rId10" Type="http://schemas.openxmlformats.org/officeDocument/2006/relationships/hyperlink" Target="https://sikkimexpress.com/news-details/gangtoks-solid-waste-crisis-can-privatization-clean-up-the-mess" TargetMode="External"/><Relationship Id="rId4" Type="http://schemas.openxmlformats.org/officeDocument/2006/relationships/webSettings" Target="webSettings.xml"/><Relationship Id="rId9" Type="http://schemas.openxmlformats.org/officeDocument/2006/relationships/hyperlink" Target="https://www.academia.edu/53439678/Solid_Waste_Management_Practices_and_Raising_Environmental_Concerns_A_Case_Study_of_Gangtok_Municipal_Corporation_Areas_Sikki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4</Pages>
  <Words>1426</Words>
  <Characters>8132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Vijol Lobo</dc:creator>
  <cp:keywords/>
  <dc:description/>
  <cp:lastModifiedBy>Vijol Lobo</cp:lastModifiedBy>
  <cp:revision>4</cp:revision>
  <dcterms:created xsi:type="dcterms:W3CDTF">2025-04-19T22:12:00Z</dcterms:created>
  <dcterms:modified xsi:type="dcterms:W3CDTF">2025-04-20T18:56:00Z</dcterms:modified>
</cp:coreProperties>
</file>