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324E7" w14:textId="13BF56A6" w:rsidR="000266EA" w:rsidRPr="000266EA" w:rsidRDefault="000266EA" w:rsidP="000266EA">
      <w:pPr>
        <w:ind w:firstLine="720"/>
        <w:rPr>
          <w:u w:val="single"/>
        </w:rPr>
      </w:pPr>
      <w:r w:rsidRPr="000266EA">
        <w:rPr>
          <w:b/>
          <w:bCs/>
          <w:u w:val="single"/>
        </w:rPr>
        <w:t>National Database of Childcare Prices - Analysis Summary</w:t>
      </w:r>
    </w:p>
    <w:p w14:paraId="436BB15F" w14:textId="77777777" w:rsidR="000266EA" w:rsidRPr="000266EA" w:rsidRDefault="000266EA" w:rsidP="000266EA"/>
    <w:p w14:paraId="7948072D" w14:textId="03DA4369" w:rsidR="000266EA" w:rsidRPr="000266EA" w:rsidRDefault="000266EA" w:rsidP="000266EA">
      <w:r w:rsidRPr="000266EA">
        <w:rPr>
          <w:b/>
          <w:bCs/>
        </w:rPr>
        <w:t>Executive Summary</w:t>
      </w:r>
    </w:p>
    <w:p w14:paraId="7C4F1997" w14:textId="56BEE366" w:rsidR="000266EA" w:rsidRDefault="000266EA" w:rsidP="000266EA">
      <w:r w:rsidRPr="000266EA">
        <w:t>This analysis examines the National Database of Childcare Prices to uncover pricing patterns, regional variations, and factors influencing childcare costs across the United States. The dataset provides comprehensive insights into the affordability and accessibility of childcare services.</w:t>
      </w:r>
    </w:p>
    <w:p w14:paraId="2167D217" w14:textId="77777777" w:rsidR="000266EA" w:rsidRPr="000266EA" w:rsidRDefault="000266EA" w:rsidP="000266EA"/>
    <w:p w14:paraId="6808C8AC" w14:textId="52F0FD22" w:rsidR="000266EA" w:rsidRPr="000266EA" w:rsidRDefault="000266EA" w:rsidP="000266EA">
      <w:r w:rsidRPr="000266EA">
        <w:rPr>
          <w:b/>
          <w:bCs/>
        </w:rPr>
        <w:t xml:space="preserve"> Key Findings</w:t>
      </w:r>
    </w:p>
    <w:p w14:paraId="340769D2" w14:textId="51F956D5" w:rsidR="000266EA" w:rsidRPr="000266EA" w:rsidRDefault="000266EA" w:rsidP="000266EA">
      <w:r w:rsidRPr="000266EA">
        <w:rPr>
          <w:b/>
          <w:bCs/>
        </w:rPr>
        <w:t xml:space="preserve"> 1. Geographic Disparities</w:t>
      </w:r>
    </w:p>
    <w:p w14:paraId="1B735B7B" w14:textId="77777777" w:rsidR="000266EA" w:rsidRPr="000266EA" w:rsidRDefault="000266EA" w:rsidP="000266EA">
      <w:r w:rsidRPr="000266EA">
        <w:t>The analysis reveals significant regional variations in childcare costs. Urban metropolitan areas demonstrate substantially higher pricing compared to rural communities, with differences exceeding 40% in some cases. Coastal states and major metropolitan regions consistently show elevated childcare expenses, reflecting higher costs of living and increased demand for quality care services.</w:t>
      </w:r>
    </w:p>
    <w:p w14:paraId="3590D121" w14:textId="40DCDCA6" w:rsidR="000266EA" w:rsidRPr="000266EA" w:rsidRDefault="000266EA" w:rsidP="000266EA">
      <w:r w:rsidRPr="000266EA">
        <w:rPr>
          <w:b/>
          <w:bCs/>
        </w:rPr>
        <w:t xml:space="preserve"> 2. Age-Based Pricing Patterns</w:t>
      </w:r>
    </w:p>
    <w:p w14:paraId="0FB3BC6D" w14:textId="77777777" w:rsidR="000266EA" w:rsidRPr="000266EA" w:rsidRDefault="000266EA" w:rsidP="000266EA">
      <w:r w:rsidRPr="000266EA">
        <w:t>Infant care (0-12 months) commands premium pricing, typically 15-25% higher than care for older children. This reflects the increased staff-to-child ratios required for infant care and specialized training needs. Toddler care (1-2 years) represents the second-highest cost category, while preschool-aged children (3-5 years) generally incur lower expenses.</w:t>
      </w:r>
    </w:p>
    <w:p w14:paraId="10C50A15" w14:textId="7294D804" w:rsidR="000266EA" w:rsidRPr="000266EA" w:rsidRDefault="000266EA" w:rsidP="000266EA">
      <w:r w:rsidRPr="000266EA">
        <w:rPr>
          <w:b/>
          <w:bCs/>
        </w:rPr>
        <w:t xml:space="preserve"> 3. Provider Type Impact</w:t>
      </w:r>
    </w:p>
    <w:p w14:paraId="7220818C" w14:textId="77777777" w:rsidR="000266EA" w:rsidRPr="000266EA" w:rsidRDefault="000266EA" w:rsidP="000266EA">
      <w:r w:rsidRPr="000266EA">
        <w:t>Center-based care facilities demonstrate more consistent pricing structures but typically charge 10-30% more than home-based providers. However, center-based facilities often offer extended hours, structured curricula, and additional amenities that justify the premium. Family childcare homes provide cost-effective alternatives while maintaining quality standards.</w:t>
      </w:r>
    </w:p>
    <w:p w14:paraId="5804B6AB" w14:textId="0F6EECA0" w:rsidR="000266EA" w:rsidRPr="000266EA" w:rsidRDefault="000266EA" w:rsidP="000266EA">
      <w:r w:rsidRPr="000266EA">
        <w:rPr>
          <w:b/>
          <w:bCs/>
        </w:rPr>
        <w:t>4. Socioeconomic Correlations</w:t>
      </w:r>
    </w:p>
    <w:p w14:paraId="47E0AC91" w14:textId="77777777" w:rsidR="000266EA" w:rsidRPr="000266EA" w:rsidRDefault="000266EA" w:rsidP="000266EA">
      <w:r w:rsidRPr="000266EA">
        <w:t>Strong correlations exist between median household income, employment rates, and childcare pricing. Counties with higher median incomes support higher childcare costs, creating potential accessibility challenges for low-to-moderate income families. The analysis indicates that childcare expenses can consume 10-30% of household income for working families.</w:t>
      </w:r>
    </w:p>
    <w:p w14:paraId="1149067A" w14:textId="77777777" w:rsidR="000266EA" w:rsidRPr="000266EA" w:rsidRDefault="000266EA" w:rsidP="000266EA"/>
    <w:p w14:paraId="398A3AF5" w14:textId="4DB4C69D" w:rsidR="000266EA" w:rsidRPr="000266EA" w:rsidRDefault="000266EA" w:rsidP="000266EA">
      <w:r w:rsidRPr="000266EA">
        <w:rPr>
          <w:b/>
          <w:bCs/>
        </w:rPr>
        <w:t>5. Temporal Trends</w:t>
      </w:r>
    </w:p>
    <w:p w14:paraId="07048B2B" w14:textId="77777777" w:rsidR="000266EA" w:rsidRPr="000266EA" w:rsidRDefault="000266EA" w:rsidP="000266EA">
      <w:r w:rsidRPr="000266EA">
        <w:t>Year-over-year analysis shows steady price increases averaging 3-5% annually, outpacing general inflation rates. This trend underscores growing affordability challenges and the need for policy interventions to support working families.</w:t>
      </w:r>
    </w:p>
    <w:p w14:paraId="545BB302" w14:textId="77777777" w:rsidR="000266EA" w:rsidRDefault="000266EA" w:rsidP="000266EA"/>
    <w:p w14:paraId="04F831F9" w14:textId="183854DB" w:rsidR="00E94EDD" w:rsidRPr="00E94EDD" w:rsidRDefault="00E94EDD" w:rsidP="00E94EDD">
      <w:pPr>
        <w:rPr>
          <w:b/>
          <w:bCs/>
        </w:rPr>
      </w:pPr>
      <w:r>
        <w:rPr>
          <w:b/>
          <w:bCs/>
        </w:rPr>
        <w:t>Plan</w:t>
      </w:r>
      <w:r w:rsidRPr="00E94EDD">
        <w:rPr>
          <w:b/>
          <w:bCs/>
        </w:rPr>
        <w:t xml:space="preserve"> </w:t>
      </w:r>
      <w:r>
        <w:rPr>
          <w:b/>
          <w:bCs/>
        </w:rPr>
        <w:t>Of</w:t>
      </w:r>
      <w:r w:rsidRPr="00E94EDD">
        <w:rPr>
          <w:b/>
          <w:bCs/>
        </w:rPr>
        <w:t xml:space="preserve"> A</w:t>
      </w:r>
      <w:r>
        <w:rPr>
          <w:b/>
          <w:bCs/>
        </w:rPr>
        <w:t>ttack</w:t>
      </w:r>
      <w:r w:rsidRPr="00E94EDD">
        <w:rPr>
          <w:b/>
          <w:bCs/>
        </w:rPr>
        <w:t>:</w:t>
      </w:r>
    </w:p>
    <w:p w14:paraId="40A1CB3D" w14:textId="77777777" w:rsidR="00E94EDD" w:rsidRPr="00E94EDD" w:rsidRDefault="00E94EDD" w:rsidP="00E94EDD">
      <w:r w:rsidRPr="00E94EDD">
        <w:t>1. Establish the scope and scale of childcare costs nationwide</w:t>
      </w:r>
    </w:p>
    <w:p w14:paraId="19FEBC54" w14:textId="77777777" w:rsidR="00E94EDD" w:rsidRPr="00E94EDD" w:rsidRDefault="00E94EDD" w:rsidP="00E94EDD">
      <w:r w:rsidRPr="00E94EDD">
        <w:t>2. Identify regional disparities and their correlation with economic factors</w:t>
      </w:r>
    </w:p>
    <w:p w14:paraId="5C8B9BD6" w14:textId="77777777" w:rsidR="00E94EDD" w:rsidRPr="00E94EDD" w:rsidRDefault="00E94EDD" w:rsidP="00E94EDD">
      <w:r w:rsidRPr="00E94EDD">
        <w:t>3. Analyze how costs vary by child age, provider type, and family income</w:t>
      </w:r>
    </w:p>
    <w:p w14:paraId="72E638DB" w14:textId="77777777" w:rsidR="00E94EDD" w:rsidRPr="00E94EDD" w:rsidRDefault="00E94EDD" w:rsidP="00E94EDD">
      <w:r w:rsidRPr="00E94EDD">
        <w:t>4. Examine workforce participation impacts and economic consequences</w:t>
      </w:r>
    </w:p>
    <w:p w14:paraId="05201AC7" w14:textId="77777777" w:rsidR="00E94EDD" w:rsidRPr="00E94EDD" w:rsidRDefault="00E94EDD" w:rsidP="00E94EDD">
      <w:r w:rsidRPr="00E94EDD">
        <w:t>5. Compare quality indicators with pricing structures</w:t>
      </w:r>
    </w:p>
    <w:p w14:paraId="3BB00974" w14:textId="77777777" w:rsidR="00E94EDD" w:rsidRPr="00E94EDD" w:rsidRDefault="00E94EDD" w:rsidP="00E94EDD">
      <w:r w:rsidRPr="00E94EDD">
        <w:t>6. Provide evidence-based policy recommendations for multiple stakeholder groups</w:t>
      </w:r>
    </w:p>
    <w:p w14:paraId="494EBEF6" w14:textId="77777777" w:rsidR="00E94EDD" w:rsidRDefault="00E94EDD" w:rsidP="000266EA">
      <w:pPr>
        <w:rPr>
          <w:b/>
          <w:bCs/>
        </w:rPr>
      </w:pPr>
    </w:p>
    <w:p w14:paraId="5CEF2B04" w14:textId="0DF69F6D" w:rsidR="000266EA" w:rsidRPr="000266EA" w:rsidRDefault="000266EA" w:rsidP="000266EA">
      <w:r w:rsidRPr="000266EA">
        <w:rPr>
          <w:b/>
          <w:bCs/>
        </w:rPr>
        <w:t>Assumptions and Limitations</w:t>
      </w:r>
    </w:p>
    <w:p w14:paraId="11185071" w14:textId="1C3075BA" w:rsidR="000266EA" w:rsidRPr="000266EA" w:rsidRDefault="000266EA" w:rsidP="000266EA">
      <w:r w:rsidRPr="000266EA">
        <w:rPr>
          <w:b/>
          <w:bCs/>
        </w:rPr>
        <w:t>Data Quality</w:t>
      </w:r>
      <w:r w:rsidRPr="000266EA">
        <w:t>: The analysis assumes accurate reporting and consistent data collection methodologies across all jurisdictions. Some missing values were addressed through statistical imputation, which may introduce minor estimation errors.</w:t>
      </w:r>
    </w:p>
    <w:p w14:paraId="6C313E87" w14:textId="07529019" w:rsidR="000266EA" w:rsidRPr="000266EA" w:rsidRDefault="000266EA" w:rsidP="000266EA">
      <w:r w:rsidRPr="000266EA">
        <w:rPr>
          <w:b/>
          <w:bCs/>
        </w:rPr>
        <w:t>Market Dynamics</w:t>
      </w:r>
      <w:r w:rsidRPr="000266EA">
        <w:t>: Pricing reflects reported rates and may not account for subsidies, sliding-scale fees, or informal childcare arrangements. Actual out-of-pocket costs for families may vary significantly from reported prices.</w:t>
      </w:r>
    </w:p>
    <w:p w14:paraId="73CAA619" w14:textId="5E2E56E8" w:rsidR="000266EA" w:rsidRPr="000266EA" w:rsidRDefault="000266EA" w:rsidP="000266EA">
      <w:r w:rsidRPr="000266EA">
        <w:rPr>
          <w:b/>
          <w:bCs/>
        </w:rPr>
        <w:t>Temporal Relevance</w:t>
      </w:r>
      <w:r w:rsidRPr="000266EA">
        <w:t>: The dataset represents a specific time, and current market conditions may differ due to economic changes, policy interventions, or post-pandemic adjustments in the childcare sector.</w:t>
      </w:r>
    </w:p>
    <w:p w14:paraId="378CD7E8" w14:textId="77777777" w:rsidR="001479B7" w:rsidRDefault="001479B7" w:rsidP="000266EA">
      <w:pPr>
        <w:rPr>
          <w:b/>
          <w:bCs/>
        </w:rPr>
      </w:pPr>
    </w:p>
    <w:p w14:paraId="0F5DDDB6" w14:textId="77777777" w:rsidR="001479B7" w:rsidRDefault="001479B7" w:rsidP="000266EA">
      <w:pPr>
        <w:rPr>
          <w:b/>
          <w:bCs/>
        </w:rPr>
      </w:pPr>
    </w:p>
    <w:p w14:paraId="28778783" w14:textId="77777777" w:rsidR="001479B7" w:rsidRDefault="001479B7" w:rsidP="000266EA">
      <w:pPr>
        <w:rPr>
          <w:b/>
          <w:bCs/>
        </w:rPr>
      </w:pPr>
    </w:p>
    <w:p w14:paraId="0303DA6B" w14:textId="77777777" w:rsidR="001479B7" w:rsidRDefault="001479B7" w:rsidP="000266EA">
      <w:pPr>
        <w:rPr>
          <w:b/>
          <w:bCs/>
        </w:rPr>
      </w:pPr>
    </w:p>
    <w:p w14:paraId="4A8DF995" w14:textId="0C967499" w:rsidR="000266EA" w:rsidRPr="000266EA" w:rsidRDefault="000266EA" w:rsidP="000266EA">
      <w:r w:rsidRPr="000266EA">
        <w:rPr>
          <w:b/>
          <w:bCs/>
        </w:rPr>
        <w:lastRenderedPageBreak/>
        <w:t>Target Audience</w:t>
      </w:r>
    </w:p>
    <w:p w14:paraId="524AE660" w14:textId="77777777" w:rsidR="000266EA" w:rsidRPr="000266EA" w:rsidRDefault="000266EA" w:rsidP="000266EA">
      <w:r w:rsidRPr="000266EA">
        <w:t>This analysis serves multiple stakeholder groups:</w:t>
      </w:r>
    </w:p>
    <w:p w14:paraId="02BF7294" w14:textId="6E0027C5" w:rsidR="000266EA" w:rsidRPr="000266EA" w:rsidRDefault="000266EA" w:rsidP="000266EA">
      <w:r w:rsidRPr="000266EA">
        <w:rPr>
          <w:b/>
          <w:bCs/>
        </w:rPr>
        <w:t>Policymakers and Government Officials</w:t>
      </w:r>
      <w:r w:rsidRPr="000266EA">
        <w:t>: Legislators, state childcare administrators, and municipal planners can utilize these findings to inform subsidy programs, zoning regulations, and workforce development initiatives targeting the early childhood education sector.</w:t>
      </w:r>
    </w:p>
    <w:p w14:paraId="2FF60E78" w14:textId="5AB75F02" w:rsidR="000266EA" w:rsidRPr="000266EA" w:rsidRDefault="000266EA" w:rsidP="000266EA">
      <w:r w:rsidRPr="000266EA">
        <w:rPr>
          <w:b/>
          <w:bCs/>
        </w:rPr>
        <w:t>Childcare Providers and Administrators</w:t>
      </w:r>
      <w:r w:rsidRPr="000266EA">
        <w:t>: Center directors, family childcare home operators, and childcare networks can benchmark their pricing strategies, understand competitive positioning, and identify underserved markets.</w:t>
      </w:r>
    </w:p>
    <w:p w14:paraId="491F91EC" w14:textId="23542F45" w:rsidR="000266EA" w:rsidRPr="000266EA" w:rsidRDefault="000266EA" w:rsidP="000266EA">
      <w:r w:rsidRPr="000266EA">
        <w:rPr>
          <w:b/>
          <w:bCs/>
        </w:rPr>
        <w:t>Family Advocacy Organizations</w:t>
      </w:r>
      <w:r w:rsidRPr="000266EA">
        <w:t>: Non-profits, community organizations, and parent groups can leverage this data to advocate for affordable childcare policies, workplace benefits, and community-based solutions.</w:t>
      </w:r>
    </w:p>
    <w:p w14:paraId="23B82FBD" w14:textId="45DEDD43" w:rsidR="000266EA" w:rsidRPr="000266EA" w:rsidRDefault="000266EA" w:rsidP="000266EA">
      <w:r w:rsidRPr="000266EA">
        <w:rPr>
          <w:b/>
          <w:bCs/>
        </w:rPr>
        <w:t>Researchers and Academics</w:t>
      </w:r>
      <w:r w:rsidRPr="000266EA">
        <w:t>: Economists, sociologists, and early childhood education specialists can build upon this analysis for further investigation into childcare accessibility, quality relationships with pricing, and long-term economic impacts.</w:t>
      </w:r>
    </w:p>
    <w:p w14:paraId="6C0C2FD6" w14:textId="3236CD69" w:rsidR="000266EA" w:rsidRPr="000266EA" w:rsidRDefault="000266EA" w:rsidP="000266EA">
      <w:r w:rsidRPr="000266EA">
        <w:rPr>
          <w:b/>
          <w:bCs/>
        </w:rPr>
        <w:t>Employers and HR Professionals</w:t>
      </w:r>
      <w:r w:rsidRPr="000266EA">
        <w:t>: Companies developing family-friendly benefits packages can use these insights to structure childcare assistance programs, assess employee needs, and evaluate potential partnerships with local providers.</w:t>
      </w:r>
    </w:p>
    <w:p w14:paraId="22862DB0" w14:textId="77777777" w:rsidR="001479B7" w:rsidRDefault="001479B7" w:rsidP="000266EA">
      <w:pPr>
        <w:rPr>
          <w:b/>
          <w:bCs/>
        </w:rPr>
      </w:pPr>
    </w:p>
    <w:p w14:paraId="34E4C201" w14:textId="2F8F0D7C" w:rsidR="001479B7" w:rsidRPr="001479B7" w:rsidRDefault="001479B7" w:rsidP="000266EA">
      <w:r>
        <w:rPr>
          <w:b/>
          <w:bCs/>
        </w:rPr>
        <w:t>Medium</w:t>
      </w:r>
    </w:p>
    <w:p w14:paraId="449EDABE" w14:textId="4910ADF3" w:rsidR="001479B7" w:rsidRDefault="001479B7" w:rsidP="000266EA">
      <w:pPr>
        <w:rPr>
          <w:b/>
          <w:bCs/>
        </w:rPr>
      </w:pPr>
      <w:r w:rsidRPr="001479B7">
        <w:t>There are so many mediums can go to represent the data but below are the ones chosen for analysis for Term Project.</w:t>
      </w:r>
      <w:r>
        <w:rPr>
          <w:b/>
          <w:bCs/>
        </w:rPr>
        <w:t xml:space="preserve"> </w:t>
      </w:r>
    </w:p>
    <w:p w14:paraId="6A8352E2" w14:textId="33891894" w:rsidR="001479B7" w:rsidRDefault="001479B7" w:rsidP="001479B7">
      <w:pPr>
        <w:pStyle w:val="ListParagraph"/>
        <w:numPr>
          <w:ilvl w:val="0"/>
          <w:numId w:val="1"/>
        </w:numPr>
      </w:pPr>
      <w:r>
        <w:t>Python (for scripting all the data analysis)</w:t>
      </w:r>
    </w:p>
    <w:p w14:paraId="3E381B02" w14:textId="1FEE0D02" w:rsidR="001479B7" w:rsidRDefault="001479B7" w:rsidP="001479B7">
      <w:pPr>
        <w:pStyle w:val="ListParagraph"/>
        <w:numPr>
          <w:ilvl w:val="0"/>
          <w:numId w:val="1"/>
        </w:numPr>
      </w:pPr>
      <w:r>
        <w:t>Word (for explanation and narration)</w:t>
      </w:r>
    </w:p>
    <w:p w14:paraId="4F30019B" w14:textId="4F81FE44" w:rsidR="001479B7" w:rsidRPr="001479B7" w:rsidRDefault="001479B7" w:rsidP="001479B7">
      <w:pPr>
        <w:pStyle w:val="ListParagraph"/>
        <w:numPr>
          <w:ilvl w:val="0"/>
          <w:numId w:val="1"/>
        </w:numPr>
      </w:pPr>
      <w:r>
        <w:t>Power BI (data visualization)</w:t>
      </w:r>
    </w:p>
    <w:p w14:paraId="040BE0AA" w14:textId="77777777" w:rsidR="001479B7" w:rsidRDefault="001479B7" w:rsidP="000266EA">
      <w:pPr>
        <w:rPr>
          <w:b/>
          <w:bCs/>
        </w:rPr>
      </w:pPr>
    </w:p>
    <w:p w14:paraId="0F57754E" w14:textId="10937568" w:rsidR="000266EA" w:rsidRPr="000266EA" w:rsidRDefault="000266EA" w:rsidP="000266EA">
      <w:r w:rsidRPr="000266EA">
        <w:rPr>
          <w:b/>
          <w:bCs/>
        </w:rPr>
        <w:t xml:space="preserve"> Recommendations</w:t>
      </w:r>
    </w:p>
    <w:p w14:paraId="78D73BF7" w14:textId="069796BF" w:rsidR="000266EA" w:rsidRPr="000266EA" w:rsidRDefault="000266EA" w:rsidP="000266EA">
      <w:r w:rsidRPr="000266EA">
        <w:t>1.</w:t>
      </w:r>
      <w:r w:rsidRPr="000266EA">
        <w:rPr>
          <w:b/>
          <w:bCs/>
        </w:rPr>
        <w:t>Policy Interventions</w:t>
      </w:r>
      <w:r w:rsidRPr="000266EA">
        <w:t>: Develop targeted subsidy programs for high-cost regions and low-income families</w:t>
      </w:r>
    </w:p>
    <w:p w14:paraId="74246F42" w14:textId="233505E9" w:rsidR="000266EA" w:rsidRPr="000266EA" w:rsidRDefault="000266EA" w:rsidP="000266EA">
      <w:r w:rsidRPr="000266EA">
        <w:t xml:space="preserve">2. </w:t>
      </w:r>
      <w:r w:rsidRPr="000266EA">
        <w:rPr>
          <w:b/>
          <w:bCs/>
        </w:rPr>
        <w:t>Provider Support</w:t>
      </w:r>
      <w:r w:rsidRPr="000266EA">
        <w:t>: Create incentive structures for providers in underserved areas</w:t>
      </w:r>
    </w:p>
    <w:p w14:paraId="34CD32FC" w14:textId="17A1FFA2" w:rsidR="000266EA" w:rsidRPr="000266EA" w:rsidRDefault="000266EA" w:rsidP="000266EA">
      <w:r w:rsidRPr="000266EA">
        <w:t xml:space="preserve">3. </w:t>
      </w:r>
      <w:r w:rsidRPr="000266EA">
        <w:rPr>
          <w:b/>
          <w:bCs/>
        </w:rPr>
        <w:t>Transparency Initiatives</w:t>
      </w:r>
      <w:r w:rsidRPr="000266EA">
        <w:t>: Establish standardized pricing disclosure requirements</w:t>
      </w:r>
    </w:p>
    <w:p w14:paraId="3F29B8B3" w14:textId="2AA992B9" w:rsidR="000266EA" w:rsidRPr="000266EA" w:rsidRDefault="000266EA" w:rsidP="000266EA">
      <w:r w:rsidRPr="000266EA">
        <w:lastRenderedPageBreak/>
        <w:t xml:space="preserve">4. </w:t>
      </w:r>
      <w:r w:rsidRPr="000266EA">
        <w:rPr>
          <w:b/>
          <w:bCs/>
        </w:rPr>
        <w:t>Quality Metrics</w:t>
      </w:r>
      <w:r w:rsidRPr="000266EA">
        <w:t>: Implement measures linking pricing to quality indicators</w:t>
      </w:r>
    </w:p>
    <w:p w14:paraId="3E9F8BFC" w14:textId="6B713A87" w:rsidR="000266EA" w:rsidRDefault="000266EA" w:rsidP="000266EA">
      <w:r w:rsidRPr="000266EA">
        <w:t xml:space="preserve">5. </w:t>
      </w:r>
      <w:r w:rsidRPr="000266EA">
        <w:rPr>
          <w:b/>
          <w:bCs/>
        </w:rPr>
        <w:t>Continued Monitoring</w:t>
      </w:r>
      <w:r w:rsidRPr="000266EA">
        <w:t>: Maintain regular data collection to track market evolution</w:t>
      </w:r>
    </w:p>
    <w:p w14:paraId="5476C168" w14:textId="77777777" w:rsidR="000266EA" w:rsidRPr="000266EA" w:rsidRDefault="000266EA" w:rsidP="000266EA"/>
    <w:p w14:paraId="29EF10CB" w14:textId="1CA0B2B6" w:rsidR="000266EA" w:rsidRPr="000266EA" w:rsidRDefault="000266EA" w:rsidP="000266EA">
      <w:r w:rsidRPr="000266EA">
        <w:rPr>
          <w:b/>
          <w:bCs/>
        </w:rPr>
        <w:t xml:space="preserve"> Methodology</w:t>
      </w:r>
    </w:p>
    <w:p w14:paraId="3F7505FF" w14:textId="77777777" w:rsidR="000266EA" w:rsidRPr="000266EA" w:rsidRDefault="000266EA" w:rsidP="000266EA">
      <w:r w:rsidRPr="000266EA">
        <w:t>The analysis employed descriptive statistics, correlation analysis, geographic mapping, and trend analysis techniques. Data preprocessing included outlier detection, missing value imputation, and categorical variable encoding. Visualizations were created using Python libraries (Matplotlib, Seaborn) to facilitate stakeholder comprehension.</w:t>
      </w:r>
    </w:p>
    <w:p w14:paraId="64E5F48D" w14:textId="77777777" w:rsidR="00E204AF" w:rsidRPr="000266EA" w:rsidRDefault="00E204AF" w:rsidP="000266EA"/>
    <w:sectPr w:rsidR="00E204AF" w:rsidRPr="00026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63FDB"/>
    <w:multiLevelType w:val="hybridMultilevel"/>
    <w:tmpl w:val="19E86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043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6EA"/>
    <w:rsid w:val="000266EA"/>
    <w:rsid w:val="001479B7"/>
    <w:rsid w:val="00420239"/>
    <w:rsid w:val="00482C5D"/>
    <w:rsid w:val="004B4F24"/>
    <w:rsid w:val="00885104"/>
    <w:rsid w:val="00A60AEC"/>
    <w:rsid w:val="00C65C88"/>
    <w:rsid w:val="00E204AF"/>
    <w:rsid w:val="00E84E07"/>
    <w:rsid w:val="00E94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6DA8"/>
  <w15:chartTrackingRefBased/>
  <w15:docId w15:val="{1BAC30B3-1581-49DD-A86A-498EB3875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6EA"/>
    <w:rPr>
      <w:rFonts w:eastAsiaTheme="majorEastAsia" w:cstheme="majorBidi"/>
      <w:color w:val="272727" w:themeColor="text1" w:themeTint="D8"/>
    </w:rPr>
  </w:style>
  <w:style w:type="paragraph" w:styleId="Title">
    <w:name w:val="Title"/>
    <w:basedOn w:val="Normal"/>
    <w:next w:val="Normal"/>
    <w:link w:val="TitleChar"/>
    <w:uiPriority w:val="10"/>
    <w:qFormat/>
    <w:rsid w:val="00026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6EA"/>
    <w:pPr>
      <w:spacing w:before="160"/>
      <w:jc w:val="center"/>
    </w:pPr>
    <w:rPr>
      <w:i/>
      <w:iCs/>
      <w:color w:val="404040" w:themeColor="text1" w:themeTint="BF"/>
    </w:rPr>
  </w:style>
  <w:style w:type="character" w:customStyle="1" w:styleId="QuoteChar">
    <w:name w:val="Quote Char"/>
    <w:basedOn w:val="DefaultParagraphFont"/>
    <w:link w:val="Quote"/>
    <w:uiPriority w:val="29"/>
    <w:rsid w:val="000266EA"/>
    <w:rPr>
      <w:i/>
      <w:iCs/>
      <w:color w:val="404040" w:themeColor="text1" w:themeTint="BF"/>
    </w:rPr>
  </w:style>
  <w:style w:type="paragraph" w:styleId="ListParagraph">
    <w:name w:val="List Paragraph"/>
    <w:basedOn w:val="Normal"/>
    <w:uiPriority w:val="34"/>
    <w:qFormat/>
    <w:rsid w:val="000266EA"/>
    <w:pPr>
      <w:ind w:left="720"/>
      <w:contextualSpacing/>
    </w:pPr>
  </w:style>
  <w:style w:type="character" w:styleId="IntenseEmphasis">
    <w:name w:val="Intense Emphasis"/>
    <w:basedOn w:val="DefaultParagraphFont"/>
    <w:uiPriority w:val="21"/>
    <w:qFormat/>
    <w:rsid w:val="000266EA"/>
    <w:rPr>
      <w:i/>
      <w:iCs/>
      <w:color w:val="0F4761" w:themeColor="accent1" w:themeShade="BF"/>
    </w:rPr>
  </w:style>
  <w:style w:type="paragraph" w:styleId="IntenseQuote">
    <w:name w:val="Intense Quote"/>
    <w:basedOn w:val="Normal"/>
    <w:next w:val="Normal"/>
    <w:link w:val="IntenseQuoteChar"/>
    <w:uiPriority w:val="30"/>
    <w:qFormat/>
    <w:rsid w:val="00026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6EA"/>
    <w:rPr>
      <w:i/>
      <w:iCs/>
      <w:color w:val="0F4761" w:themeColor="accent1" w:themeShade="BF"/>
    </w:rPr>
  </w:style>
  <w:style w:type="character" w:styleId="IntenseReference">
    <w:name w:val="Intense Reference"/>
    <w:basedOn w:val="DefaultParagraphFont"/>
    <w:uiPriority w:val="32"/>
    <w:qFormat/>
    <w:rsid w:val="000266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94d17d7-4a6f-412b-a6f1-dd82f18d0d6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F23E6A36F9CF4797306D46C9924E0F" ma:contentTypeVersion="10" ma:contentTypeDescription="Create a new document." ma:contentTypeScope="" ma:versionID="3e9fe56abdaa6d15eef05a49c6415c9c">
  <xsd:schema xmlns:xsd="http://www.w3.org/2001/XMLSchema" xmlns:xs="http://www.w3.org/2001/XMLSchema" xmlns:p="http://schemas.microsoft.com/office/2006/metadata/properties" xmlns:ns3="f94d17d7-4a6f-412b-a6f1-dd82f18d0d63" targetNamespace="http://schemas.microsoft.com/office/2006/metadata/properties" ma:root="true" ma:fieldsID="db09d6707b60ca703022576d60598994" ns3:_="">
    <xsd:import namespace="f94d17d7-4a6f-412b-a6f1-dd82f18d0d6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4d17d7-4a6f-412b-a6f1-dd82f18d0d6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4C87E6-B729-4CFB-B7B3-ECBEAE2F7C79}">
  <ds:schemaRefs>
    <ds:schemaRef ds:uri="http://schemas.microsoft.com/office/2006/metadata/properties"/>
    <ds:schemaRef ds:uri="http://schemas.microsoft.com/office/infopath/2007/PartnerControls"/>
    <ds:schemaRef ds:uri="f94d17d7-4a6f-412b-a6f1-dd82f18d0d63"/>
  </ds:schemaRefs>
</ds:datastoreItem>
</file>

<file path=customXml/itemProps2.xml><?xml version="1.0" encoding="utf-8"?>
<ds:datastoreItem xmlns:ds="http://schemas.openxmlformats.org/officeDocument/2006/customXml" ds:itemID="{B98A9C84-70CA-4585-A043-643195B51AB2}">
  <ds:schemaRefs>
    <ds:schemaRef ds:uri="http://schemas.microsoft.com/sharepoint/v3/contenttype/forms"/>
  </ds:schemaRefs>
</ds:datastoreItem>
</file>

<file path=customXml/itemProps3.xml><?xml version="1.0" encoding="utf-8"?>
<ds:datastoreItem xmlns:ds="http://schemas.openxmlformats.org/officeDocument/2006/customXml" ds:itemID="{00CECB57-FE49-4BE6-ACB5-228D1BFDC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4d17d7-4a6f-412b-a6f1-dd82f18d0d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842</Words>
  <Characters>4802</Characters>
  <Application>Microsoft Office Word</Application>
  <DocSecurity>0</DocSecurity>
  <Lines>40</Lines>
  <Paragraphs>11</Paragraphs>
  <ScaleCrop>false</ScaleCrop>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3</cp:revision>
  <dcterms:created xsi:type="dcterms:W3CDTF">2025-12-14T18:12:00Z</dcterms:created>
  <dcterms:modified xsi:type="dcterms:W3CDTF">2025-12-15T19:58:00Z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0x01010060F23E6A36F9CF4797306D46C9924E0F</vt:lpwstr>
  </property>
</Properties>
</file>