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60" w:before="0"/>
        <w:jc w:val="center"/>
      </w:pPr>
      <w:r>
        <w:rPr>
          <w:rFonts w:ascii="Arial" w:cs="Arial" w:eastAsia="Arial" w:hAnsi="Arial"/>
          <w:b/>
          <w:bCs/>
          <w:color w:val="1F3864"/>
          <w:sz w:val="56"/>
          <w:szCs w:val="56"/>
        </w:rPr>
        <w:t xml:space="preserve">PHARMA COMPETITIVE INTELLIGENCE</w:t>
      </w:r>
    </w:p>
    <w:p>
      <w:pPr>
        <w:pBdr>
          <w:bottom w:val="single" w:color="2E75B6" w:sz="8" w:space="6"/>
        </w:pBdr>
        <w:spacing w:after="280" w:before="0"/>
        <w:jc w:val="center"/>
      </w:pPr>
      <w:r>
        <w:rPr>
          <w:rFonts w:ascii="Arial" w:cs="Arial" w:eastAsia="Arial" w:hAnsi="Arial"/>
          <w:color w:val="2E75B6"/>
          <w:sz w:val="36"/>
          <w:szCs w:val="36"/>
        </w:rPr>
        <w:t xml:space="preserve">Immunology &amp; Autoimmune Drug Landscape</w:t>
      </w:r>
    </w:p>
    <w:p>
      <w:pPr>
        <w:spacing w:after="0" w:before="0"/>
      </w:pPr>
      <w:r>
        <w:t xml:space="preserve"/>
      </w:r>
    </w:p>
    <w:p>
      <w:pPr>
        <w:spacing w:after="160" w:before="160"/>
        <w:jc w:val="center"/>
      </w:pPr>
      <w:r>
        <w:rPr>
          <w:rFonts w:ascii="Arial" w:cs="Arial" w:eastAsia="Arial" w:hAnsi="Arial"/>
          <w:color w:val="595959"/>
          <w:sz w:val="22"/>
          <w:szCs w:val="22"/>
        </w:rPr>
        <w:t xml:space="preserve">Plaque Psoriasis  |  Psoriatic Arthritis  |  Ulcerative Colitis  |  Crohn's Disease  |  SLE  |  Rheumatoid Arthritis</w:t>
      </w:r>
    </w:p>
    <w:p>
      <w:pPr>
        <w:spacing w:after="0" w:before="0"/>
      </w:pPr>
      <w:r>
        <w:t xml:space="preserve"/>
      </w:r>
    </w:p>
    <w:p>
      <w:pPr>
        <w:spacing w:after="0" w:before="0"/>
      </w:pPr>
      <w:r>
        <w:t xml:space="preserve"/>
      </w:r>
    </w:p>
    <w:p>
      <w:pPr>
        <w:spacing w:after="320" w:before="0"/>
        <w:jc w:val="center"/>
      </w:pPr>
      <w:r>
        <w:rPr>
          <w:rFonts w:ascii="Arial" w:cs="Arial" w:eastAsia="Arial" w:hAnsi="Arial"/>
          <w:color w:val="595959"/>
          <w:sz w:val="20"/>
          <w:szCs w:val="20"/>
        </w:rPr>
        <w:t xml:space="preserve">25 Companies  |  Approved + Phase 2/3 Pipeline  |  SWOT Analysis  |  Earnings Intelligence</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1F1F1F"/>
          <w:sz w:val="22"/>
          <w:szCs w:val="22"/>
        </w:rPr>
        <w:t xml:space="preserve">March 2026  |  Confidential</w:t>
      </w:r>
    </w:p>
    <w:p>
      <w:pPr>
        <w:spacing w:after="0" w:before="0"/>
        <w:jc w:val="center"/>
      </w:pPr>
      <w:r>
        <w:rPr>
          <w:rFonts w:ascii="Arial" w:cs="Arial" w:eastAsia="Arial" w:hAnsi="Arial"/>
          <w:color w:val="595959"/>
          <w:sz w:val="20"/>
          <w:szCs w:val="20"/>
        </w:rPr>
        <w:t xml:space="preserve">March 2026  |  Confidential</w:t>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 \t "Heading 1,1,Heading 2,2"</w:instrText>
            <w:fldChar w:fldCharType="separate"/>
          </w:r>
        </w:p>
        <w:p>
          <w:r>
            <w:fldChar w:fldCharType="end"/>
          </w:r>
        </w:p>
      </w:sdtContent>
    </w:sdt>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1. Executive Summary</w:t>
      </w:r>
    </w:p>
    <w:p>
      <w:pPr>
        <w:spacing w:after="60" w:before="60"/>
      </w:pPr>
      <w:r>
        <w:rPr>
          <w:rFonts w:ascii="Arial" w:cs="Arial" w:eastAsia="Arial" w:hAnsi="Arial"/>
          <w:color w:val="1F1F1F"/>
          <w:sz w:val="20"/>
          <w:szCs w:val="20"/>
        </w:rPr>
        <w:t xml:space="preserve">This report profiles approved drugs and Phase 2/3 pipeline assets for 25 major pharmaceutical companies across six high-priority immunology and autoimmune indications: Plaque Psoriasis, Psoriatic Arthritis (PsA), Ulcerative Colitis (UC), Crohn's Disease (CD), Systemic Lupus Erythematosus (SLE), and Rheumatoid Arthritis (RA). Data is current as of March 2026, incorporating recent FDA approvals, Phase 3 readouts, and Q4 2024/FY2025 earnings commentary.</w:t>
      </w:r>
    </w:p>
    <w:p>
      <w:pPr>
        <w:spacing w:after="0" w:before="0"/>
      </w:pPr>
      <w:r>
        <w:t xml:space="preserve"/>
      </w:r>
    </w:p>
    <w:p>
      <w:pPr>
        <w:pStyle w:val="Heading2"/>
        <w:spacing w:after="120" w:before="280"/>
      </w:pPr>
      <w:r>
        <w:rPr>
          <w:rFonts w:ascii="Arial" w:cs="Arial" w:eastAsia="Arial" w:hAnsi="Arial"/>
          <w:b/>
          <w:bCs/>
          <w:color w:val="2E75B6"/>
          <w:sz w:val="26"/>
          <w:szCs w:val="26"/>
        </w:rPr>
        <w:t xml:space="preserve">Portfolio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DEEAF1" w:val="clear"/>
            <w:tcMar>
              <w:top w:type="dxa" w:w="120"/>
              <w:left w:type="dxa" w:w="120"/>
              <w:bottom w:type="dxa" w:w="120"/>
              <w:right w:type="dxa" w:w="120"/>
            </w:tcMar>
            <w:vAlign w:val="center"/>
          </w:tcPr>
          <w:p>
            <w:pPr>
              <w:jc w:val="center"/>
            </w:pPr>
            <w:r>
              <w:rPr>
                <w:rFonts w:ascii="Arial" w:cs="Arial" w:eastAsia="Arial" w:hAnsi="Arial"/>
                <w:b/>
                <w:bCs/>
                <w:color w:val="2E75B6"/>
                <w:sz w:val="48"/>
                <w:szCs w:val="48"/>
              </w:rPr>
              <w:t xml:space="preserve">77</w:t>
            </w:r>
          </w:p>
          <w:p>
            <w:pPr>
              <w:jc w:val="center"/>
            </w:pPr>
            <w:r>
              <w:rPr>
                <w:rFonts w:ascii="Arial" w:cs="Arial" w:eastAsia="Arial" w:hAnsi="Arial"/>
                <w:color w:val="595959"/>
                <w:sz w:val="15"/>
                <w:szCs w:val="15"/>
              </w:rPr>
              <w:t xml:space="preserve">TOTAL DRUG-INDICATION ENTRIES</w:t>
            </w:r>
          </w:p>
        </w:tc>
        <w:tc>
          <w:tcPr>
            <w:tcBorders>
              <w:top w:val="single" w:color="CCCCCC" w:sz="1"/>
              <w:left w:val="single" w:color="CCCCCC" w:sz="1"/>
              <w:bottom w:val="single" w:color="CCCCCC" w:sz="1"/>
              <w:right w:val="single" w:color="CCCCCC" w:sz="1"/>
            </w:tcBorders>
            <w:shd w:fill="DEEAF1" w:val="clear"/>
            <w:tcMar>
              <w:top w:type="dxa" w:w="120"/>
              <w:left w:type="dxa" w:w="120"/>
              <w:bottom w:type="dxa" w:w="120"/>
              <w:right w:type="dxa" w:w="120"/>
            </w:tcMar>
            <w:vAlign w:val="center"/>
          </w:tcPr>
          <w:p>
            <w:pPr>
              <w:jc w:val="center"/>
            </w:pPr>
            <w:r>
              <w:rPr>
                <w:rFonts w:ascii="Arial" w:cs="Arial" w:eastAsia="Arial" w:hAnsi="Arial"/>
                <w:b/>
                <w:bCs/>
                <w:color w:val="375623"/>
                <w:sz w:val="48"/>
                <w:szCs w:val="48"/>
              </w:rPr>
              <w:t xml:space="preserve">62</w:t>
            </w:r>
          </w:p>
          <w:p>
            <w:pPr>
              <w:jc w:val="center"/>
            </w:pPr>
            <w:r>
              <w:rPr>
                <w:rFonts w:ascii="Arial" w:cs="Arial" w:eastAsia="Arial" w:hAnsi="Arial"/>
                <w:color w:val="595959"/>
                <w:sz w:val="15"/>
                <w:szCs w:val="15"/>
              </w:rPr>
              <w:t xml:space="preserve">APPROVED ENTRIES</w:t>
            </w:r>
          </w:p>
        </w:tc>
        <w:tc>
          <w:tcPr>
            <w:tcBorders>
              <w:top w:val="single" w:color="CCCCCC" w:sz="1"/>
              <w:left w:val="single" w:color="CCCCCC" w:sz="1"/>
              <w:bottom w:val="single" w:color="CCCCCC" w:sz="1"/>
              <w:right w:val="single" w:color="CCCCCC" w:sz="1"/>
            </w:tcBorders>
            <w:shd w:fill="DEEAF1" w:val="clear"/>
            <w:tcMar>
              <w:top w:type="dxa" w:w="120"/>
              <w:left w:type="dxa" w:w="120"/>
              <w:bottom w:type="dxa" w:w="120"/>
              <w:right w:type="dxa" w:w="120"/>
            </w:tcMar>
            <w:vAlign w:val="center"/>
          </w:tcPr>
          <w:p>
            <w:pPr>
              <w:jc w:val="center"/>
            </w:pPr>
            <w:r>
              <w:rPr>
                <w:rFonts w:ascii="Arial" w:cs="Arial" w:eastAsia="Arial" w:hAnsi="Arial"/>
                <w:b/>
                <w:bCs/>
                <w:color w:val="7F6000"/>
                <w:sz w:val="48"/>
                <w:szCs w:val="48"/>
              </w:rPr>
              <w:t xml:space="preserve">13</w:t>
            </w:r>
          </w:p>
          <w:p>
            <w:pPr>
              <w:jc w:val="center"/>
            </w:pPr>
            <w:r>
              <w:rPr>
                <w:rFonts w:ascii="Arial" w:cs="Arial" w:eastAsia="Arial" w:hAnsi="Arial"/>
                <w:color w:val="595959"/>
                <w:sz w:val="15"/>
                <w:szCs w:val="15"/>
              </w:rPr>
              <w:t xml:space="preserve">PHASE 3 PIPELINE</w:t>
            </w:r>
          </w:p>
        </w:tc>
        <w:tc>
          <w:tcPr>
            <w:tcBorders>
              <w:top w:val="single" w:color="CCCCCC" w:sz="1"/>
              <w:left w:val="single" w:color="CCCCCC" w:sz="1"/>
              <w:bottom w:val="single" w:color="CCCCCC" w:sz="1"/>
              <w:right w:val="single" w:color="CCCCCC" w:sz="1"/>
            </w:tcBorders>
            <w:shd w:fill="DEEAF1" w:val="clear"/>
            <w:tcMar>
              <w:top w:type="dxa" w:w="120"/>
              <w:left w:type="dxa" w:w="120"/>
              <w:bottom w:type="dxa" w:w="120"/>
              <w:right w:type="dxa" w:w="120"/>
            </w:tcMar>
            <w:vAlign w:val="center"/>
          </w:tcPr>
          <w:p>
            <w:pPr>
              <w:jc w:val="center"/>
            </w:pPr>
            <w:r>
              <w:rPr>
                <w:rFonts w:ascii="Arial" w:cs="Arial" w:eastAsia="Arial" w:hAnsi="Arial"/>
                <w:b/>
                <w:bCs/>
                <w:color w:val="843C0C"/>
                <w:sz w:val="48"/>
                <w:szCs w:val="48"/>
              </w:rPr>
              <w:t xml:space="preserve">2</w:t>
            </w:r>
          </w:p>
          <w:p>
            <w:pPr>
              <w:jc w:val="center"/>
            </w:pPr>
            <w:r>
              <w:rPr>
                <w:rFonts w:ascii="Arial" w:cs="Arial" w:eastAsia="Arial" w:hAnsi="Arial"/>
                <w:color w:val="595959"/>
                <w:sz w:val="15"/>
                <w:szCs w:val="15"/>
              </w:rPr>
              <w:t xml:space="preserve">PHASE 2 PIPELINE</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Key Strategic Findings</w:t>
      </w:r>
    </w:p>
    <w:p>
      <w:pPr>
        <w:pStyle w:val="ListParagraph"/>
        <w:numPr>
          <w:ilvl w:val="0"/>
          <w:numId w:val="2"/>
        </w:numPr>
        <w:spacing w:after="40" w:before="40"/>
      </w:pPr>
      <w:r>
        <w:rPr>
          <w:rFonts w:ascii="Arial" w:cs="Arial" w:eastAsia="Arial" w:hAnsi="Arial"/>
          <w:color w:val="1F1F1F"/>
          <w:sz w:val="20"/>
          <w:szCs w:val="20"/>
        </w:rPr>
        <w:t xml:space="preserve">AbbVie is the clear dominant leader — Skyrizi and Rinvoq together are guided to exceed $31B by 2027, covering all 6 indications between them with Rinvoq SLE Phase 3 as the next catalyst.</w:t>
      </w:r>
    </w:p>
    <w:p>
      <w:pPr>
        <w:pStyle w:val="ListParagraph"/>
        <w:numPr>
          <w:ilvl w:val="0"/>
          <w:numId w:val="2"/>
        </w:numPr>
        <w:spacing w:after="40" w:before="40"/>
      </w:pPr>
      <w:r>
        <w:rPr>
          <w:rFonts w:ascii="Arial" w:cs="Arial" w:eastAsia="Arial" w:hAnsi="Arial"/>
          <w:color w:val="1F1F1F"/>
          <w:sz w:val="20"/>
          <w:szCs w:val="20"/>
        </w:rPr>
        <w:t xml:space="preserve">IL-23 inhibitors (anti-p19) are the current class of choice — Skyrizi, Tremfya, Omvoh, and Ilumya have collectively displaced IL-12/23 dual-blockers and are expanding from psoriasis into IBD.</w:t>
      </w:r>
    </w:p>
    <w:p>
      <w:pPr>
        <w:pStyle w:val="ListParagraph"/>
        <w:numPr>
          <w:ilvl w:val="0"/>
          <w:numId w:val="2"/>
        </w:numPr>
        <w:spacing w:after="40" w:before="40"/>
      </w:pPr>
      <w:r>
        <w:rPr>
          <w:rFonts w:ascii="Arial" w:cs="Arial" w:eastAsia="Arial" w:hAnsi="Arial"/>
          <w:color w:val="1F1F1F"/>
          <w:sz w:val="20"/>
          <w:szCs w:val="20"/>
        </w:rPr>
        <w:t xml:space="preserve">Anti-TL1A is the biggest emerging IBD battleground — Merck's tulisokibart and Sanofi/Teva's duvakitug are both in Phase 3 for UC and CD, representing the first genuinely new IBD mechanism in a decade.</w:t>
      </w:r>
    </w:p>
    <w:p>
      <w:pPr>
        <w:pStyle w:val="ListParagraph"/>
        <w:numPr>
          <w:ilvl w:val="0"/>
          <w:numId w:val="2"/>
        </w:numPr>
        <w:spacing w:after="40" w:before="40"/>
      </w:pPr>
      <w:r>
        <w:rPr>
          <w:rFonts w:ascii="Arial" w:cs="Arial" w:eastAsia="Arial" w:hAnsi="Arial"/>
          <w:color w:val="1F1F1F"/>
          <w:sz w:val="20"/>
          <w:szCs w:val="20"/>
        </w:rPr>
        <w:t xml:space="preserve">TYK2 inhibitors (BMS Sotyktu) are the only oral immunology class without an FDA black-box warning — a meaningful formulary differentiation vs JAK inhibitors as the category expands into PsA, SLE, and CD.</w:t>
      </w:r>
    </w:p>
    <w:p>
      <w:pPr>
        <w:pStyle w:val="ListParagraph"/>
        <w:numPr>
          <w:ilvl w:val="0"/>
          <w:numId w:val="2"/>
        </w:numPr>
        <w:spacing w:after="40" w:before="40"/>
      </w:pPr>
      <w:r>
        <w:rPr>
          <w:rFonts w:ascii="Arial" w:cs="Arial" w:eastAsia="Arial" w:hAnsi="Arial"/>
          <w:color w:val="1F1F1F"/>
          <w:sz w:val="20"/>
          <w:szCs w:val="20"/>
        </w:rPr>
        <w:t xml:space="preserve">Biosimilar erosion is accelerating across the TNF and IL-12/23 classes — Humira, Stelara, Actemra, and Rituxan are all facing or actively experiencing biosimilar competition, reshaping the competitive landscape.</w:t>
      </w:r>
    </w:p>
    <w:p>
      <w:pPr>
        <w:pStyle w:val="ListParagraph"/>
        <w:numPr>
          <w:ilvl w:val="0"/>
          <w:numId w:val="2"/>
        </w:numPr>
        <w:spacing w:after="40" w:before="40"/>
      </w:pPr>
      <w:r>
        <w:rPr>
          <w:rFonts w:ascii="Arial" w:cs="Arial" w:eastAsia="Arial" w:hAnsi="Arial"/>
          <w:color w:val="1F1F1F"/>
          <w:sz w:val="20"/>
          <w:szCs w:val="20"/>
        </w:rPr>
        <w:t xml:space="preserve">5 of 25 companies (Novo Nordisk, Bayer, CSL, Vertex, Daiichi Sankyo) have no meaningful approved drugs or pipeline in these 6 indications and are excluded from the drug profile analysis.</w:t>
      </w:r>
    </w:p>
    <w:p>
      <w:pPr>
        <w:spacing w:after="0" w:before="0"/>
      </w:pPr>
      <w:r>
        <w:t xml:space="preserve"/>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2. Indication Landscape Overview</w:t>
      </w:r>
    </w:p>
    <w:p>
      <w:pPr>
        <w:spacing w:after="60" w:before="60"/>
      </w:pPr>
      <w:r>
        <w:rPr>
          <w:rFonts w:ascii="Arial" w:cs="Arial" w:eastAsia="Arial" w:hAnsi="Arial"/>
          <w:color w:val="1F1F1F"/>
          <w:sz w:val="20"/>
          <w:szCs w:val="20"/>
        </w:rPr>
        <w:t xml:space="preserve">The table below summarizes the number of approved and pipeline drugs per indication, and the companies active in each space as of March 2026.</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5760"/>
      </w:tblGrid>
      <w:tr>
        <w:trPr>
          <w:tblHeader/>
        </w:trPr>
        <w:tc>
          <w:tcPr>
            <w:gridSpan w:val="1"/>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0" w:before="0"/>
              <w:jc w:val="left"/>
            </w:pPr>
            <w:r>
              <w:rPr>
                <w:rFonts w:ascii="Arial" w:cs="Arial" w:eastAsia="Arial" w:hAnsi="Arial"/>
                <w:b/>
                <w:bCs/>
                <w:color w:val="FFFFFF"/>
                <w:sz w:val="18"/>
                <w:szCs w:val="18"/>
              </w:rPr>
              <w:t xml:space="preserve">Indication</w:t>
            </w:r>
          </w:p>
        </w:tc>
        <w:tc>
          <w:tcPr>
            <w:gridSpan w:val="1"/>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0" w:before="0"/>
              <w:jc w:val="left"/>
            </w:pPr>
            <w:r>
              <w:rPr>
                <w:rFonts w:ascii="Arial" w:cs="Arial" w:eastAsia="Arial" w:hAnsi="Arial"/>
                <w:b/>
                <w:bCs/>
                <w:color w:val="FFFFFF"/>
                <w:sz w:val="18"/>
                <w:szCs w:val="18"/>
              </w:rPr>
              <w:t xml:space="preserve">Approved Drugs</w:t>
            </w:r>
          </w:p>
        </w:tc>
        <w:tc>
          <w:tcPr>
            <w:gridSpan w:val="1"/>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0" w:before="0"/>
              <w:jc w:val="left"/>
            </w:pPr>
            <w:r>
              <w:rPr>
                <w:rFonts w:ascii="Arial" w:cs="Arial" w:eastAsia="Arial" w:hAnsi="Arial"/>
                <w:b/>
                <w:bCs/>
                <w:color w:val="FFFFFF"/>
                <w:sz w:val="18"/>
                <w:szCs w:val="18"/>
              </w:rPr>
              <w:t xml:space="preserve">Pipeline (Ph2/3)</w:t>
            </w:r>
          </w:p>
        </w:tc>
        <w:tc>
          <w:tcPr>
            <w:gridSpan w:val="1"/>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0" w:before="0"/>
              <w:jc w:val="left"/>
            </w:pPr>
            <w:r>
              <w:rPr>
                <w:rFonts w:ascii="Arial" w:cs="Arial" w:eastAsia="Arial" w:hAnsi="Arial"/>
                <w:b/>
                <w:bCs/>
                <w:color w:val="FFFFFF"/>
                <w:sz w:val="18"/>
                <w:szCs w:val="18"/>
              </w:rPr>
              <w:t xml:space="preserve">Companies Active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7"/>
                <w:szCs w:val="17"/>
              </w:rPr>
              <w:t xml:space="preserve">Plaque Psoriasis</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7"/>
                <w:szCs w:val="17"/>
              </w:rPr>
              <w:t xml:space="preserve">13</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7"/>
                <w:szCs w:val="17"/>
              </w:rPr>
              <w:t xml:space="preserve">0</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AbbVie, J&amp;J (Janssen), Novartis, BMS, Eli Lilly, Amgen, Boehringer Ingelheim, Sandoz, Sun Pharma</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7"/>
                <w:szCs w:val="17"/>
              </w:rPr>
              <w:t xml:space="preserve">PsA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7"/>
                <w:szCs w:val="17"/>
              </w:rPr>
              <w:t xml:space="preserve">17</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7"/>
                <w:szCs w:val="17"/>
              </w:rPr>
              <w:t xml:space="preserve">0</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AbbVie, J&amp;J (Janssen), Novartis, BMS, Eli Lilly, Amgen, Viatris, Sandoz</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7"/>
                <w:szCs w:val="17"/>
              </w:rPr>
              <w:t xml:space="preserve">UC</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7"/>
                <w:szCs w:val="17"/>
              </w:rPr>
              <w:t xml:space="preserve">14</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7"/>
                <w:szCs w:val="17"/>
              </w:rPr>
              <w:t xml:space="preserve">4</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AbbVie, J&amp;J (Janssen), Merck, BMS, Eli Lilly, Sanofi, Amgen, Gilead, Takeda, Boehringer Ingelheim, Teva, Viatris, Sandoz</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7"/>
                <w:szCs w:val="17"/>
              </w:rPr>
              <w:t xml:space="preserve">Crohn's Disease</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7"/>
                <w:szCs w:val="17"/>
              </w:rPr>
              <w:t xml:space="preserve">7</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7"/>
                <w:szCs w:val="17"/>
              </w:rPr>
              <w:t xml:space="preserve">4</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AbbVie, J&amp;J (Janssen), Merck, BMS, Eli Lilly, Sanofi, Takeda, Teva</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7"/>
                <w:szCs w:val="17"/>
              </w:rPr>
              <w:t xml:space="preserve">SLE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7"/>
                <w:szCs w:val="17"/>
              </w:rPr>
              <w:t xml:space="preserve">4</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7"/>
                <w:szCs w:val="17"/>
              </w:rPr>
              <w:t xml:space="preserve">6</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AbbVie, J&amp;J (Janssen), AstraZeneca, Novartis, BMS, Eli Lilly, GSK, Viatris</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7"/>
                <w:szCs w:val="17"/>
              </w:rPr>
              <w:t xml:space="preserve">RA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7"/>
                <w:szCs w:val="17"/>
              </w:rPr>
              <w:t xml:space="preserve">17</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7"/>
                <w:szCs w:val="17"/>
              </w:rPr>
              <w:t xml:space="preserve">1</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AbbVie, J&amp;J (Janssen), Merck, Roche, BMS, Eli Lilly, Sanofi, Amgen, Gilead, Viatris, Regeneron, Astellas, Sandoz</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Indication Narratives</w:t>
      </w:r>
    </w:p>
    <w:p>
      <w:pPr>
        <w:pStyle w:val="Heading3"/>
        <w:spacing w:after="80" w:before="200"/>
      </w:pPr>
      <w:r>
        <w:rPr>
          <w:rFonts w:ascii="Arial" w:cs="Arial" w:eastAsia="Arial" w:hAnsi="Arial"/>
          <w:b/>
          <w:bCs/>
          <w:color w:val="1F1F1F"/>
          <w:sz w:val="22"/>
          <w:szCs w:val="22"/>
        </w:rPr>
        <w:t xml:space="preserve">Plaque Psoriasis</w:t>
      </w:r>
    </w:p>
    <w:p>
      <w:pPr>
        <w:spacing w:after="60" w:before="60"/>
      </w:pPr>
      <w:r>
        <w:rPr>
          <w:rFonts w:ascii="Arial" w:cs="Arial" w:eastAsia="Arial" w:hAnsi="Arial"/>
          <w:color w:val="1F1F1F"/>
          <w:sz w:val="20"/>
          <w:szCs w:val="20"/>
        </w:rPr>
        <w:t xml:space="preserve">The most commercially mature indication. The market has transitioned from TNF-alpha inhibitors (Humira, Enbrel) to IL-17A (Cosentyx, Taltz) and now to IL-23 anti-p19 inhibitors (Skyrizi, Tremfya, Ilumya) as the dominant modality. TYK2 inhibitor Sotyktu (deucravacitinib) represents the newest oral entrant. The residual PDE4 option (Otezla) is declining in share.</w:t>
      </w:r>
    </w:p>
    <w:p>
      <w:pPr>
        <w:pStyle w:val="Heading3"/>
        <w:spacing w:after="80" w:before="200"/>
      </w:pPr>
      <w:r>
        <w:rPr>
          <w:rFonts w:ascii="Arial" w:cs="Arial" w:eastAsia="Arial" w:hAnsi="Arial"/>
          <w:b/>
          <w:bCs/>
          <w:color w:val="1F1F1F"/>
          <w:sz w:val="22"/>
          <w:szCs w:val="22"/>
        </w:rPr>
        <w:t xml:space="preserve">Psoriatic Arthritis (PsA)</w:t>
      </w:r>
    </w:p>
    <w:p>
      <w:pPr>
        <w:spacing w:after="60" w:before="60"/>
      </w:pPr>
      <w:r>
        <w:rPr>
          <w:rFonts w:ascii="Arial" w:cs="Arial" w:eastAsia="Arial" w:hAnsi="Arial"/>
          <w:color w:val="1F1F1F"/>
          <w:sz w:val="20"/>
          <w:szCs w:val="20"/>
        </w:rPr>
        <w:t xml:space="preserve">PsA overlaps with psoriasis but requires efficacy across joint, skin, and enthesitis domains. IL-17A, IL-23, JAK1, TYK2, and CTLA4-Ig (Orencia) all have approvals. Sotyktu received PsA approval in 2026. Anti-TNF biosimilars are losing share to newer MOAs.</w:t>
      </w:r>
    </w:p>
    <w:p>
      <w:pPr>
        <w:pStyle w:val="Heading3"/>
        <w:spacing w:after="80" w:before="200"/>
      </w:pPr>
      <w:r>
        <w:rPr>
          <w:rFonts w:ascii="Arial" w:cs="Arial" w:eastAsia="Arial" w:hAnsi="Arial"/>
          <w:b/>
          <w:bCs/>
          <w:color w:val="1F1F1F"/>
          <w:sz w:val="22"/>
          <w:szCs w:val="22"/>
        </w:rPr>
        <w:t xml:space="preserve">Ulcerative Colitis (UC)</w:t>
      </w:r>
    </w:p>
    <w:p>
      <w:pPr>
        <w:spacing w:after="60" w:before="60"/>
      </w:pPr>
      <w:r>
        <w:rPr>
          <w:rFonts w:ascii="Arial" w:cs="Arial" w:eastAsia="Arial" w:hAnsi="Arial"/>
          <w:color w:val="1F1F1F"/>
          <w:sz w:val="20"/>
          <w:szCs w:val="20"/>
        </w:rPr>
        <w:t xml:space="preserve">A competitive IBD market with multiple approved MOAs: TNF inhibitors, anti-integrin (Entyvio), IL-12/23 (Stelara), IL-23 anti-p19 (Skyrizi, Omvoh), JAK1 (Rinvoq, Jyseleca EU), S1P (Zeposia), and TYK2 (Sotyktu under study). Anti-TL1A Phase 3 programs (Merck, Sanofi/Teva) represent the next wave.</w:t>
      </w:r>
    </w:p>
    <w:p>
      <w:pPr>
        <w:pStyle w:val="Heading3"/>
        <w:spacing w:after="80" w:before="200"/>
      </w:pPr>
      <w:r>
        <w:rPr>
          <w:rFonts w:ascii="Arial" w:cs="Arial" w:eastAsia="Arial" w:hAnsi="Arial"/>
          <w:b/>
          <w:bCs/>
          <w:color w:val="1F1F1F"/>
          <w:sz w:val="22"/>
          <w:szCs w:val="22"/>
        </w:rPr>
        <w:t xml:space="preserve">Crohn's Disease</w:t>
      </w:r>
    </w:p>
    <w:p>
      <w:pPr>
        <w:spacing w:after="60" w:before="60"/>
      </w:pPr>
      <w:r>
        <w:rPr>
          <w:rFonts w:ascii="Arial" w:cs="Arial" w:eastAsia="Arial" w:hAnsi="Arial"/>
          <w:color w:val="1F1F1F"/>
          <w:sz w:val="20"/>
          <w:szCs w:val="20"/>
        </w:rPr>
        <w:t xml:space="preserve">Similar competitive dynamics to UC but with fewer approved options. AbbVie Skyrizi (2022) and Eli Lilly Omvoh (2025) are the most recent approvals. Vedolizumab (Entyvio SC) dominates the bio-naive market. Anti-TL1A entrants are the most closely watched pipeline assets.</w:t>
      </w:r>
    </w:p>
    <w:p>
      <w:pPr>
        <w:pStyle w:val="Heading3"/>
        <w:spacing w:after="80" w:before="200"/>
      </w:pPr>
      <w:r>
        <w:rPr>
          <w:rFonts w:ascii="Arial" w:cs="Arial" w:eastAsia="Arial" w:hAnsi="Arial"/>
          <w:b/>
          <w:bCs/>
          <w:color w:val="1F1F1F"/>
          <w:sz w:val="22"/>
          <w:szCs w:val="22"/>
        </w:rPr>
        <w:t xml:space="preserve">SLE (Systemic Lupus Erythematosus)</w:t>
      </w:r>
    </w:p>
    <w:p>
      <w:pPr>
        <w:spacing w:after="60" w:before="60"/>
      </w:pPr>
      <w:r>
        <w:rPr>
          <w:rFonts w:ascii="Arial" w:cs="Arial" w:eastAsia="Arial" w:hAnsi="Arial"/>
          <w:color w:val="1F1F1F"/>
          <w:sz w:val="20"/>
          <w:szCs w:val="20"/>
        </w:rPr>
        <w:t xml:space="preserve">Historically underserved. Only three approved biologics with broad SLE indications: Benlysta (belimumab, GSK), Saphnelo (anifrolumab, AstraZeneca), and Olumiant (baricitinib, Eli Lilly). Multiple late-stage pipeline assets are targeting SLE: nipocalimab (J&amp;J, FcRn), ianalumab (Novartis, BAFF-R), cenerimod (Viatris, S1P1), Rinvoq (AbbVie, JAK1), and Sotyktu (BMS, TYK2).</w:t>
      </w:r>
    </w:p>
    <w:p>
      <w:pPr>
        <w:pStyle w:val="Heading3"/>
        <w:spacing w:after="80" w:before="200"/>
      </w:pPr>
      <w:r>
        <w:rPr>
          <w:rFonts w:ascii="Arial" w:cs="Arial" w:eastAsia="Arial" w:hAnsi="Arial"/>
          <w:b/>
          <w:bCs/>
          <w:color w:val="1F1F1F"/>
          <w:sz w:val="22"/>
          <w:szCs w:val="22"/>
        </w:rPr>
        <w:t xml:space="preserve">Rheumatoid Arthritis (RA)</w:t>
      </w:r>
    </w:p>
    <w:p>
      <w:pPr>
        <w:spacing w:after="60" w:before="60"/>
      </w:pPr>
      <w:r>
        <w:rPr>
          <w:rFonts w:ascii="Arial" w:cs="Arial" w:eastAsia="Arial" w:hAnsi="Arial"/>
          <w:color w:val="1F1F1F"/>
          <w:sz w:val="20"/>
          <w:szCs w:val="20"/>
        </w:rPr>
        <w:t xml:space="preserve">The most established indication — TNF inhibitors have been the backbone since 1998. The market is now stratified: JAK inhibitors (Rinvoq, Olumiant, filgotinib EU) are displacing older biologics. IL-6R inhibitors (Actemra, Kevzara) maintain a role but face biosimilar pressure. Anti-TL1A (Merck tulisokibart Phase 2b) is an early pipeline entrant.</w:t>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3. Mechanism of Action (MOA) Landscape</w:t>
      </w:r>
    </w:p>
    <w:p>
      <w:pPr>
        <w:spacing w:after="60" w:before="60"/>
      </w:pPr>
      <w:r>
        <w:rPr>
          <w:rFonts w:ascii="Arial" w:cs="Arial" w:eastAsia="Arial" w:hAnsi="Arial"/>
          <w:color w:val="1F1F1F"/>
          <w:sz w:val="20"/>
          <w:szCs w:val="20"/>
        </w:rPr>
        <w:t xml:space="preserve">The table below maps all relevant MOA classes to their key indications, representative drugs, and strategic positioning as of 2025-2026.</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800"/>
        <w:gridCol w:w="2640"/>
      </w:tblGrid>
      <w:tr>
        <w:trPr>
          <w:tblHeader/>
        </w:trPr>
        <w:tc>
          <w:tcPr>
            <w:gridSpan w:val="1"/>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0" w:before="0"/>
              <w:jc w:val="left"/>
            </w:pPr>
            <w:r>
              <w:rPr>
                <w:rFonts w:ascii="Arial" w:cs="Arial" w:eastAsia="Arial" w:hAnsi="Arial"/>
                <w:b/>
                <w:bCs/>
                <w:color w:val="FFFFFF"/>
                <w:sz w:val="18"/>
                <w:szCs w:val="18"/>
              </w:rPr>
              <w:t xml:space="preserve">MOA Class</w:t>
            </w:r>
          </w:p>
        </w:tc>
        <w:tc>
          <w:tcPr>
            <w:gridSpan w:val="1"/>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0" w:before="0"/>
              <w:jc w:val="left"/>
            </w:pPr>
            <w:r>
              <w:rPr>
                <w:rFonts w:ascii="Arial" w:cs="Arial" w:eastAsia="Arial" w:hAnsi="Arial"/>
                <w:b/>
                <w:bCs/>
                <w:color w:val="FFFFFF"/>
                <w:sz w:val="18"/>
                <w:szCs w:val="18"/>
              </w:rPr>
              <w:t xml:space="preserve">Mechanism</w:t>
            </w:r>
          </w:p>
        </w:tc>
        <w:tc>
          <w:tcPr>
            <w:gridSpan w:val="1"/>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0" w:before="0"/>
              <w:jc w:val="left"/>
            </w:pPr>
            <w:r>
              <w:rPr>
                <w:rFonts w:ascii="Arial" w:cs="Arial" w:eastAsia="Arial" w:hAnsi="Arial"/>
                <w:b/>
                <w:bCs/>
                <w:color w:val="FFFFFF"/>
                <w:sz w:val="18"/>
                <w:szCs w:val="18"/>
              </w:rPr>
              <w:t xml:space="preserve">Key Indications</w:t>
            </w:r>
          </w:p>
        </w:tc>
        <w:tc>
          <w:tcPr>
            <w:gridSpan w:val="1"/>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0" w:before="0"/>
              <w:jc w:val="left"/>
            </w:pPr>
            <w:r>
              <w:rPr>
                <w:rFonts w:ascii="Arial" w:cs="Arial" w:eastAsia="Arial" w:hAnsi="Arial"/>
                <w:b/>
                <w:bCs/>
                <w:color w:val="FFFFFF"/>
                <w:sz w:val="18"/>
                <w:szCs w:val="18"/>
              </w:rPr>
              <w:t xml:space="preserve">Key Drugs</w:t>
            </w:r>
          </w:p>
        </w:tc>
        <w:tc>
          <w:tcPr>
            <w:gridSpan w:val="1"/>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0" w:before="0"/>
              <w:jc w:val="left"/>
            </w:pPr>
            <w:r>
              <w:rPr>
                <w:rFonts w:ascii="Arial" w:cs="Arial" w:eastAsia="Arial" w:hAnsi="Arial"/>
                <w:b/>
                <w:bCs/>
                <w:color w:val="FFFFFF"/>
                <w:sz w:val="18"/>
                <w:szCs w:val="18"/>
              </w:rPr>
              <w:t xml:space="preserve">Strategic Assessment</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TNF-α Inhibitors</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Block TNF-alpha cytokine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RA, PsA, Plaque Psoriasis, UC, CD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Humira, Enbrel, Simponi, Remicade + biosimilars</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Mature; all facing biosimilar erosion. Still first-line in many settings.</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IL-23 Inhibitors (anti-p19)</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Block IL-23 cytokine (p19 subunit)</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Plaque Psoriasis, PsA, UC, CD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Skyrizi, Tremfya, Omvoh, Ilumya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Current class of choice in psoriasis, rapidly expanding into IBD.</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IL-17A Inhibitors</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Block IL-17A cytokine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Plaque Psoriasis, PsA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Cosentyx, Taltz</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Strong in derm/MSK; limited in IBD. IL-17A/F dual blockade emerging.</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JAK Inhibitors</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Block JAK-STAT intracellular signaling</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RA, PsA, UC, CD, Plaque Psoriasis, SLE</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Rinvoq, Olumiant, Jyseleca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Oral convenience; FDA black-box warning limits uptake. JAK1-selective preferred.</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TYK2 Inhibitor</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Allosteric TYK2 block (no black-box)</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Plaque Psoriasis, PsA, SLE (Ph3)</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Sotyktu (deucravacitinib)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Only approved TYK2; no black-box is key differentiator vs JAKs.</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IL-6R Inhibitors</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Block IL-6 receptor</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RA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Actemra (tocilizumab), Kevzara (sarilumab)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RA workhorses; biosimilar competition now underway for tocilizumab.</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IL-12/23 Inhibitors (anti-p40)</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Block shared p40 subunit of IL-12 and IL-23</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Plaque Psoriasis, PsA, UC, CD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Stelara (ustekinumab)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Stelara facing US biosimilar entry (Jan 2025). IL-23 anti-p19 largely replacing class.</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BAFF/BLyS Inhibitors</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Block B-cell survival factor</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SLE</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Benlysta (belimumab)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Established SLE standard; BAFF-R inhibitor (ianalumab) in Phase 3 as next-gen.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IFNAR1 Inhibitor</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Block type I interferon receptor</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SLE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Saphnelo (anifrolumab)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Novel differentiated MOA; 69% revenue growth in 2024. SC form pending.</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CTLA4-Ig</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Block T-cell co-stimulation via CD80/86</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RA, PsA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Orencia (abatacept)</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Established in RA; differentiated MOA; IV and SC forms available.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Anti-CD20</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B-cell depletion</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RA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Rituxan (rituximab)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Used in refractory seropositive RA; facing biosimilar pressure.</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alpha-4-beta-7 Integrin Inhibitor</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Gut-selective; blocks lymphocyte trafficking to GI tract</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UC, CD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Entyvio (vedolizumab)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IBD market leader in bio-naive starts. Safest IBD biologic profile. US exclusivity to ~2032.</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PDE4 Inhibitor</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Block phosphodiesterase-4; oral small molecule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Plaque Psoriasis, PsA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Otezla (apremilast)</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Oral option; moderate efficacy; no immunosuppression risk. Declining revenue.</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Anti-TL1A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Block TL1A cytokine; novel IBD target</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UC, CD (Ph3), RA (Ph2)</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Tulisokibart (Merck), Duvakitug (Sanofi/Teva)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Emerging class; two competing Phase 3 programs. No approved drug yet.</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S1P Receptor Modulators</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Block lymphocyte egress from lymph nodes; oral</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UC, CD (Ph3), SLE (Ph3)</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Zeposia (ozanimod), Cenerimod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Oral convenience; S1P1 class expanding from UC into broader autoimmune.</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FcRn Inhibitor</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Block neonatal Fc receptor; reduces IgG autoantibodies</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SLE (Ph3)</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Nipocalimab (J&amp;J)</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Emerging mechanism; targets autoantibody levels broadly. Phase 3.</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IL-36R Inhibitor</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Block IL-36 receptor; regulates skin/gut inflammation</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GPP (approved), UC &amp; plaque psoriasis (Ph2)</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Spevigo/spesolimab (BI)</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First-in-class; niche GPP approval. Broader indications in development.</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BAFF-R Inhibitor</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Block BAFF receptor (not BAFF ligand)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SLE (Ph3)</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Ianalumab (Novartis)</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5"/>
                <w:szCs w:val="15"/>
              </w:rPr>
              <w:t xml:space="preserve">Differentiated from belimumab; 6 Phase 3 studies ongoing.</w:t>
            </w:r>
          </w:p>
        </w:tc>
      </w:tr>
    </w:tbl>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4. Drug Profiles by Company</w:t>
      </w:r>
    </w:p>
    <w:p>
      <w:pPr>
        <w:spacing w:after="60" w:before="60"/>
      </w:pPr>
      <w:r>
        <w:rPr>
          <w:rFonts w:ascii="Arial" w:cs="Arial" w:eastAsia="Arial" w:hAnsi="Arial"/>
          <w:color w:val="1F1F1F"/>
          <w:sz w:val="20"/>
          <w:szCs w:val="20"/>
        </w:rPr>
        <w:t xml:space="preserve">The following table lists all approved drugs and Phase 2/3 pipeline assets for the 20 companies with active presence across the 6 target indications. Status color coding: Green = Approved, Yellow = Phase 3, Orange = Phase 2. Year reflects US FDA approval unless otherwise noted.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300"/>
        <w:gridCol w:w="1360"/>
        <w:gridCol w:w="2500"/>
        <w:gridCol w:w="1000"/>
        <w:gridCol w:w="700"/>
      </w:tblGrid>
      <w:tr>
        <w:trPr>
          <w:tblHeader/>
        </w:trPr>
        <w:tc>
          <w:tcPr>
            <w:gridSpan w:val="1"/>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0" w:before="0"/>
              <w:jc w:val="left"/>
            </w:pPr>
            <w:r>
              <w:rPr>
                <w:rFonts w:ascii="Arial" w:cs="Arial" w:eastAsia="Arial" w:hAnsi="Arial"/>
                <w:b/>
                <w:bCs/>
                <w:color w:val="FFFFFF"/>
                <w:sz w:val="18"/>
                <w:szCs w:val="18"/>
              </w:rPr>
              <w:t xml:space="preserve">Company</w:t>
            </w:r>
          </w:p>
        </w:tc>
        <w:tc>
          <w:tcPr>
            <w:gridSpan w:val="1"/>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0" w:before="0"/>
              <w:jc w:val="left"/>
            </w:pPr>
            <w:r>
              <w:rPr>
                <w:rFonts w:ascii="Arial" w:cs="Arial" w:eastAsia="Arial" w:hAnsi="Arial"/>
                <w:b/>
                <w:bCs/>
                <w:color w:val="FFFFFF"/>
                <w:sz w:val="18"/>
                <w:szCs w:val="18"/>
              </w:rPr>
              <w:t xml:space="preserve">Brand Name</w:t>
            </w:r>
          </w:p>
        </w:tc>
        <w:tc>
          <w:tcPr>
            <w:gridSpan w:val="1"/>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0" w:before="0"/>
              <w:jc w:val="left"/>
            </w:pPr>
            <w:r>
              <w:rPr>
                <w:rFonts w:ascii="Arial" w:cs="Arial" w:eastAsia="Arial" w:hAnsi="Arial"/>
                <w:b/>
                <w:bCs/>
                <w:color w:val="FFFFFF"/>
                <w:sz w:val="18"/>
                <w:szCs w:val="18"/>
              </w:rPr>
              <w:t xml:space="preserve">Generic Name</w:t>
            </w:r>
          </w:p>
        </w:tc>
        <w:tc>
          <w:tcPr>
            <w:gridSpan w:val="1"/>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0" w:before="0"/>
              <w:jc w:val="left"/>
            </w:pPr>
            <w:r>
              <w:rPr>
                <w:rFonts w:ascii="Arial" w:cs="Arial" w:eastAsia="Arial" w:hAnsi="Arial"/>
                <w:b/>
                <w:bCs/>
                <w:color w:val="FFFFFF"/>
                <w:sz w:val="18"/>
                <w:szCs w:val="18"/>
              </w:rPr>
              <w:t xml:space="preserve">Indication</w:t>
            </w:r>
          </w:p>
        </w:tc>
        <w:tc>
          <w:tcPr>
            <w:gridSpan w:val="1"/>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0" w:before="0"/>
              <w:jc w:val="left"/>
            </w:pPr>
            <w:r>
              <w:rPr>
                <w:rFonts w:ascii="Arial" w:cs="Arial" w:eastAsia="Arial" w:hAnsi="Arial"/>
                <w:b/>
                <w:bCs/>
                <w:color w:val="FFFFFF"/>
                <w:sz w:val="18"/>
                <w:szCs w:val="18"/>
              </w:rPr>
              <w:t xml:space="preserve">Mechanism of Action</w:t>
            </w:r>
          </w:p>
        </w:tc>
        <w:tc>
          <w:tcPr>
            <w:gridSpan w:val="1"/>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0" w:before="0"/>
              <w:jc w:val="left"/>
            </w:pPr>
            <w:r>
              <w:rPr>
                <w:rFonts w:ascii="Arial" w:cs="Arial" w:eastAsia="Arial" w:hAnsi="Arial"/>
                <w:b/>
                <w:bCs/>
                <w:color w:val="FFFFFF"/>
                <w:sz w:val="18"/>
                <w:szCs w:val="18"/>
              </w:rPr>
              <w:t xml:space="preserve">Status</w:t>
            </w:r>
          </w:p>
        </w:tc>
        <w:tc>
          <w:tcPr>
            <w:gridSpan w:val="1"/>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0" w:before="0"/>
              <w:jc w:val="left"/>
            </w:pPr>
            <w:r>
              <w:rPr>
                <w:rFonts w:ascii="Arial" w:cs="Arial" w:eastAsia="Arial" w:hAnsi="Arial"/>
                <w:b/>
                <w:bCs/>
                <w:color w:val="FFFFFF"/>
                <w:sz w:val="18"/>
                <w:szCs w:val="18"/>
              </w:rPr>
              <w:t xml:space="preserve">Year</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AbbVie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Humira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adalimumab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TNF-α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2002</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AbbVie</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Humira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adalimumab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Plaque Psoriasis</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TNF-α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2008</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AbbVie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Humira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adalimumab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PsA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TNF-α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2005</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AbbVie</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Humira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adalimumab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UC</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TNF-α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2012</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AbbVie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Humira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adalimumab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Crohn's Disease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TNF-α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2007</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AbbVie</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Skyrizi</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risankizumab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Plaque Psoriasis</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IL-23 inhibitor (anti-p19)</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2019</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AbbVie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Skyrizi</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risankizumab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PsA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IL-23 inhibitor (anti-p19)</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2022</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AbbVie</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Skyrizi</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risankizumab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Crohn's Disease</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IL-23 inhibitor (anti-p19)</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2022</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AbbVie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Skyrizi</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risankizumab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UC</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IL-23 inhibitor (anti-p19)</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2024</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AbbVie</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Rinvoq</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upadacitinib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JAK1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2019</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AbbVie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Rinvoq</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upadacitinib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PsA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JAK1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2021</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AbbVie</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Rinvoq</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upadacitinib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Plaque Psoriasis</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JAK1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2022</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AbbVie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Rinvoq</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upadacitinib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UC</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JAK1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2022</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AbbVie</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Rinvoq</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upadacitinib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Crohn's Disease</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JAK1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2023</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AbbVie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Rinvoq</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upadacitinib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SLE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JAK1 inhibitor</w:t>
            </w:r>
          </w:p>
        </w:tc>
        <w:tc>
          <w:tcPr>
            <w:gridSpan w:val="1"/>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0" w:before="0"/>
              <w:jc w:val="center"/>
            </w:pPr>
            <w:r>
              <w:rPr>
                <w:rFonts w:ascii="Arial" w:cs="Arial" w:eastAsia="Arial" w:hAnsi="Arial"/>
                <w:b/>
                <w:bCs/>
                <w:color w:val="7F6000"/>
                <w:sz w:val="16"/>
                <w:szCs w:val="16"/>
              </w:rPr>
              <w:t xml:space="preserve">Phase 3</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J&amp;J (Janssen)</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Stelara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ustekinumab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Plaque Psoriasis</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IL-12/23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2009</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J&amp;J (Janssen)</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Stelara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ustekinumab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PsA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IL-12/23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2013</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J&amp;J (Janssen)</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Stelara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ustekinumab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Crohn's Disease</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IL-12/23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2016</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J&amp;J (Janssen)</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Stelara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ustekinumab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UC</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IL-12/23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2019</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J&amp;J (Janssen)</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Tremfya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guselkumab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Plaque Psoriasis</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IL-23 inhibitor (anti-p19)</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2017</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J&amp;J (Janssen)</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Tremfya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guselkumab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PsA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IL-23 inhibitor (anti-p19)</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2020</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J&amp;J (Janssen)</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Simponi</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golimumab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TNF-α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2009</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J&amp;J (Janssen)</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Simponi</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golimumab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PsA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TNF-α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2009</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J&amp;J (Janssen)</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Simponi</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golimumab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UC</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TNF-α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2013</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J&amp;J (Janssen)</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Nipocalimab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nipocalimab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SLE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FcRn inhibitor</w:t>
            </w:r>
          </w:p>
        </w:tc>
        <w:tc>
          <w:tcPr>
            <w:gridSpan w:val="1"/>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0" w:before="0"/>
              <w:jc w:val="center"/>
            </w:pPr>
            <w:r>
              <w:rPr>
                <w:rFonts w:ascii="Arial" w:cs="Arial" w:eastAsia="Arial" w:hAnsi="Arial"/>
                <w:b/>
                <w:bCs/>
                <w:color w:val="7F6000"/>
                <w:sz w:val="16"/>
                <w:szCs w:val="16"/>
              </w:rPr>
              <w:t xml:space="preserve">Phase 3</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Merck</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Tulisokibart (MK-7240)</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tulisokibart</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UC</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Anti-TL1A antibody</w:t>
            </w:r>
          </w:p>
        </w:tc>
        <w:tc>
          <w:tcPr>
            <w:gridSpan w:val="1"/>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0" w:before="0"/>
              <w:jc w:val="center"/>
            </w:pPr>
            <w:r>
              <w:rPr>
                <w:rFonts w:ascii="Arial" w:cs="Arial" w:eastAsia="Arial" w:hAnsi="Arial"/>
                <w:b/>
                <w:bCs/>
                <w:color w:val="7F6000"/>
                <w:sz w:val="16"/>
                <w:szCs w:val="16"/>
              </w:rPr>
              <w:t xml:space="preserve">Phase 3</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Merck</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Tulisokibart (MK-7240)</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tulisokibart</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Crohn's Disease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Anti-TL1A antibody</w:t>
            </w:r>
          </w:p>
        </w:tc>
        <w:tc>
          <w:tcPr>
            <w:gridSpan w:val="1"/>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0" w:before="0"/>
              <w:jc w:val="center"/>
            </w:pPr>
            <w:r>
              <w:rPr>
                <w:rFonts w:ascii="Arial" w:cs="Arial" w:eastAsia="Arial" w:hAnsi="Arial"/>
                <w:b/>
                <w:bCs/>
                <w:color w:val="7F6000"/>
                <w:sz w:val="16"/>
                <w:szCs w:val="16"/>
              </w:rPr>
              <w:t xml:space="preserve">Phase 3</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Merck</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Tulisokibart (MK-7240)</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tulisokibart</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Anti-TL1A antibody</w:t>
            </w:r>
          </w:p>
        </w:tc>
        <w:tc>
          <w:tcPr>
            <w:gridSpan w:val="1"/>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0" w:before="0"/>
              <w:jc w:val="center"/>
            </w:pPr>
            <w:r>
              <w:rPr>
                <w:rFonts w:ascii="Arial" w:cs="Arial" w:eastAsia="Arial" w:hAnsi="Arial"/>
                <w:b/>
                <w:bCs/>
                <w:color w:val="843C0C"/>
                <w:sz w:val="16"/>
                <w:szCs w:val="16"/>
              </w:rPr>
              <w:t xml:space="preserve">Phase 2</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AstraZeneca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Saphnelo</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anifrolumab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SLE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IFNAR1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2021</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AstraZeneca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Saphnelo SC</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anifrolumab SC</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SLE</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IFNAR1 inhibitor</w:t>
            </w:r>
          </w:p>
        </w:tc>
        <w:tc>
          <w:tcPr>
            <w:gridSpan w:val="1"/>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0" w:before="0"/>
              <w:jc w:val="center"/>
            </w:pPr>
            <w:r>
              <w:rPr>
                <w:rFonts w:ascii="Arial" w:cs="Arial" w:eastAsia="Arial" w:hAnsi="Arial"/>
                <w:b/>
                <w:bCs/>
                <w:color w:val="7F6000"/>
                <w:sz w:val="16"/>
                <w:szCs w:val="16"/>
              </w:rPr>
              <w:t xml:space="preserve">Phase 3</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Roche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Actemra / RoActemra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tocilizumab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IL-6 receptor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2010</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Roche</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Rituxan / MabThera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rituximab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Anti-CD20 (B-cell depleter)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2006</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Novartis</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Cosentyx</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secukinumab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Plaque Psoriasis</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IL-17A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2015</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Novartis</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Cosentyx</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secukinumab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PsA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IL-17A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2016</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Novartis</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Ianalumab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ianalumab (VAY736)</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SLE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BAFF-R inhibitor</w:t>
            </w:r>
          </w:p>
        </w:tc>
        <w:tc>
          <w:tcPr>
            <w:gridSpan w:val="1"/>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0" w:before="0"/>
              <w:jc w:val="center"/>
            </w:pPr>
            <w:r>
              <w:rPr>
                <w:rFonts w:ascii="Arial" w:cs="Arial" w:eastAsia="Arial" w:hAnsi="Arial"/>
                <w:b/>
                <w:bCs/>
                <w:color w:val="7F6000"/>
                <w:sz w:val="16"/>
                <w:szCs w:val="16"/>
              </w:rPr>
              <w:t xml:space="preserve">Phase 3</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BMS</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Orencia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abatacept</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CTLA4-Ig (CD80/86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2005</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BMS</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Orencia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abatacept</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PsA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CTLA4-Ig (CD80/86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2017</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BMS</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Sotyktu</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deucravacitinib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Plaque Psoriasis</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TYK2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2022</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BMS</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Sotyktu</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deucravacitinib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PsA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TYK2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2026</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BMS</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Zeposia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ozanimod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UC</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S1P1/5 receptor modulator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2021</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BMS</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Zeposia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ozanimod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Crohn's Disease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S1P1/5 receptor modulator</w:t>
            </w:r>
          </w:p>
        </w:tc>
        <w:tc>
          <w:tcPr>
            <w:gridSpan w:val="1"/>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0" w:before="0"/>
              <w:jc w:val="center"/>
            </w:pPr>
            <w:r>
              <w:rPr>
                <w:rFonts w:ascii="Arial" w:cs="Arial" w:eastAsia="Arial" w:hAnsi="Arial"/>
                <w:b/>
                <w:bCs/>
                <w:color w:val="7F6000"/>
                <w:sz w:val="16"/>
                <w:szCs w:val="16"/>
              </w:rPr>
              <w:t xml:space="preserve">Phase 3</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BMS</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Sotyktu</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deucravacitinib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SLE</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TYK2 inhibitor</w:t>
            </w:r>
          </w:p>
        </w:tc>
        <w:tc>
          <w:tcPr>
            <w:gridSpan w:val="1"/>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0" w:before="0"/>
              <w:jc w:val="center"/>
            </w:pPr>
            <w:r>
              <w:rPr>
                <w:rFonts w:ascii="Arial" w:cs="Arial" w:eastAsia="Arial" w:hAnsi="Arial"/>
                <w:b/>
                <w:bCs/>
                <w:color w:val="7F6000"/>
                <w:sz w:val="16"/>
                <w:szCs w:val="16"/>
              </w:rPr>
              <w:t xml:space="preserve">Phase 3</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Eli Lilly</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Taltz</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ixekizumab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Plaque Psoriasis</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IL-17A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2016</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Eli Lilly</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Taltz</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ixekizumab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PsA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IL-17A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2017</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Eli Lilly</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Olumiant</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baricitinib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JAK1/2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2018</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Eli Lilly</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Olumiant</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baricitinib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SLE</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JAK1/2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2022</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Eli Lilly</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Omvoh</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mirikizumab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UC</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IL-23 inhibitor (anti-p19)</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2023</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Eli Lilly</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Omvoh</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mirikizumab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Crohn's Disease</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IL-23 inhibitor (anti-p19)</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2025</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Sanofi</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Kevzara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sarilumab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IL-6 receptor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2017</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Sanofi</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Duvakitug</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duvakitug</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UC</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Anti-TL1A antibody</w:t>
            </w:r>
          </w:p>
        </w:tc>
        <w:tc>
          <w:tcPr>
            <w:gridSpan w:val="1"/>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0" w:before="0"/>
              <w:jc w:val="center"/>
            </w:pPr>
            <w:r>
              <w:rPr>
                <w:rFonts w:ascii="Arial" w:cs="Arial" w:eastAsia="Arial" w:hAnsi="Arial"/>
                <w:b/>
                <w:bCs/>
                <w:color w:val="7F6000"/>
                <w:sz w:val="16"/>
                <w:szCs w:val="16"/>
              </w:rPr>
              <w:t xml:space="preserve">Phase 3</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Sanofi</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Duvakitug</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duvakitug</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Crohn's Disease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Anti-TL1A antibody</w:t>
            </w:r>
          </w:p>
        </w:tc>
        <w:tc>
          <w:tcPr>
            <w:gridSpan w:val="1"/>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0" w:before="0"/>
              <w:jc w:val="center"/>
            </w:pPr>
            <w:r>
              <w:rPr>
                <w:rFonts w:ascii="Arial" w:cs="Arial" w:eastAsia="Arial" w:hAnsi="Arial"/>
                <w:b/>
                <w:bCs/>
                <w:color w:val="7F6000"/>
                <w:sz w:val="16"/>
                <w:szCs w:val="16"/>
              </w:rPr>
              <w:t xml:space="preserve">Phase 3</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GSK</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Benlysta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belimumab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SLE</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BAFF/BLyS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2011</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GSK</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Benlysta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belimumab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SLE — Lupus Nephritis</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BAFF/BLyS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2020</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Amgen</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Enbrel</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etanercept</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TNF-α inhibitor (fusion protein)</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1998</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Amgen</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Enbrel</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etanercept</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PsA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TNF-α inhibitor (fusion protein)</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2002</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Amgen</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Enbrel</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etanercept</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Plaque Psoriasis</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TNF-α inhibitor (fusion protein)</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2004</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Amgen</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Otezla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apremilast</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Plaque Psoriasis</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PDE4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2014</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Amgen</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Otezla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apremilast</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PsA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PDE4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2014</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Amgen</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Amgevita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adalimumab-atto</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RA / PsA / Psoriasis / UC / CD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TNF-α inhibitor (biosimilar)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2023</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Gilead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Jyseleca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filgotinib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JAK1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 (EU/JP)</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2020</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Gilead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Jyseleca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filgotinib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UC</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JAK1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 (EU)</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2021</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Takeda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Entyvio (IV)</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vedolizumab IV</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UC</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α4β7 integrin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2014</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Takeda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Entyvio (IV)</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vedolizumab IV</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Crohn's Disease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α4β7 integrin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2014</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Takeda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Entyvio (SC)</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vedolizumab SC</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UC</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α4β7 integrin inhibitor (SC)</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2023</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Takeda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Entyvio (SC)</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vedolizumab SC</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Crohn's Disease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α4β7 integrin inhibitor (SC)</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2024</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Boehringer Ingelheim</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Spevigo</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spesolimab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Plaque Psoriasis (GPP)</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IL-36 receptor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2022</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Boehringer Ingelheim</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Spesolimab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spesolimab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UC</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IL-36 receptor inhibitor</w:t>
            </w:r>
          </w:p>
        </w:tc>
        <w:tc>
          <w:tcPr>
            <w:gridSpan w:val="1"/>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0" w:before="0"/>
              <w:jc w:val="center"/>
            </w:pPr>
            <w:r>
              <w:rPr>
                <w:rFonts w:ascii="Arial" w:cs="Arial" w:eastAsia="Arial" w:hAnsi="Arial"/>
                <w:b/>
                <w:bCs/>
                <w:color w:val="843C0C"/>
                <w:sz w:val="16"/>
                <w:szCs w:val="16"/>
              </w:rPr>
              <w:t xml:space="preserve">Phase 2</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Teva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Duvakitug</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duvakitug</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UC</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Anti-TL1A (co-dev. Sanofi)</w:t>
            </w:r>
          </w:p>
        </w:tc>
        <w:tc>
          <w:tcPr>
            <w:gridSpan w:val="1"/>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0" w:before="0"/>
              <w:jc w:val="center"/>
            </w:pPr>
            <w:r>
              <w:rPr>
                <w:rFonts w:ascii="Arial" w:cs="Arial" w:eastAsia="Arial" w:hAnsi="Arial"/>
                <w:b/>
                <w:bCs/>
                <w:color w:val="7F6000"/>
                <w:sz w:val="16"/>
                <w:szCs w:val="16"/>
              </w:rPr>
              <w:t xml:space="preserve">Phase 3</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Teva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Duvakitug</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duvakitug</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Crohn's Disease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Anti-TL1A (co-dev. Sanofi)</w:t>
            </w:r>
          </w:p>
        </w:tc>
        <w:tc>
          <w:tcPr>
            <w:gridSpan w:val="1"/>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0" w:before="0"/>
              <w:jc w:val="center"/>
            </w:pPr>
            <w:r>
              <w:rPr>
                <w:rFonts w:ascii="Arial" w:cs="Arial" w:eastAsia="Arial" w:hAnsi="Arial"/>
                <w:b/>
                <w:bCs/>
                <w:color w:val="7F6000"/>
                <w:sz w:val="16"/>
                <w:szCs w:val="16"/>
              </w:rPr>
              <w:t xml:space="preserve">Phase 3</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Viatris</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Hulio</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adalimumab-fkjp</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RA / PsA / Psoriasis / UC / CD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TNF-α inhibitor (biosimilar)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2023</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Viatris</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Cenerimod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cenerimod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SLE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S1P1 receptor modulator</w:t>
            </w:r>
          </w:p>
        </w:tc>
        <w:tc>
          <w:tcPr>
            <w:gridSpan w:val="1"/>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0" w:before="0"/>
              <w:jc w:val="center"/>
            </w:pPr>
            <w:r>
              <w:rPr>
                <w:rFonts w:ascii="Arial" w:cs="Arial" w:eastAsia="Arial" w:hAnsi="Arial"/>
                <w:b/>
                <w:bCs/>
                <w:color w:val="7F6000"/>
                <w:sz w:val="16"/>
                <w:szCs w:val="16"/>
              </w:rPr>
              <w:t xml:space="preserve">Phase 3</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Regeneron</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Kevzara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sarilumab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IL-6 receptor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2017</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Astellas</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Smyraf</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peficitinib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Pan-JAK inhibitor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 (Japan/Asia)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2019</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Sandoz</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Hyrimoz</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adalimumab-adaz</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RA / PsA / Psoriasis / UC / CD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TNF-α inhibitor (biosimilar)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2023</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Sandoz</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Erelzi</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etanercept-szzs</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RA / PsA / Plaque Psoriasis</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TNF-α inhibitor (biosimilar)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2016</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Sandoz</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Zessly</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infliximab biosimilar</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RA / PsA / UC / CD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TNF-α inhibitor (biosimilar)</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 (EU)</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2018</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6"/>
                <w:szCs w:val="16"/>
              </w:rPr>
              <w:t xml:space="preserve">Sun Pharma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Ilumya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tildrakizumab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Plaque Psoriasis</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IL-23 inhibitor (anti-p19)</w:t>
            </w:r>
          </w:p>
        </w:tc>
        <w:tc>
          <w:tcPr>
            <w:gridSpan w:val="1"/>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jc w:val="center"/>
            </w:pPr>
            <w:r>
              <w:rPr>
                <w:rFonts w:ascii="Arial" w:cs="Arial" w:eastAsia="Arial" w:hAnsi="Arial"/>
                <w:b/>
                <w:bCs/>
                <w:color w:val="375623"/>
                <w:sz w:val="16"/>
                <w:szCs w:val="16"/>
              </w:rPr>
              <w:t xml:space="preserve">Approved</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center"/>
            </w:pPr>
            <w:r>
              <w:rPr>
                <w:rFonts w:ascii="Arial" w:cs="Arial" w:eastAsia="Arial" w:hAnsi="Arial"/>
                <w:b w:val="false"/>
                <w:bCs w:val="false"/>
                <w:color w:val="1F1F1F"/>
                <w:sz w:val="16"/>
                <w:szCs w:val="16"/>
              </w:rPr>
              <w:t xml:space="preserve">2018</w:t>
            </w:r>
          </w:p>
        </w:tc>
      </w:tr>
    </w:tbl>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5. SWOT Analysis &amp; Competitive Intelligence</w:t>
      </w:r>
    </w:p>
    <w:p>
      <w:pPr>
        <w:spacing w:after="60" w:before="60"/>
      </w:pPr>
      <w:r>
        <w:rPr>
          <w:rFonts w:ascii="Arial" w:cs="Arial" w:eastAsia="Arial" w:hAnsi="Arial"/>
          <w:color w:val="1F1F1F"/>
          <w:sz w:val="20"/>
          <w:szCs w:val="20"/>
        </w:rPr>
        <w:t xml:space="preserve">Each company card below presents a structured SWOT analysis (Strengths, Weaknesses, Opportunities, Threats) together with a key quote from the most recent earnings call or major strategic communication. Companies are organized by competitive tier.</w:t>
      </w:r>
    </w:p>
    <w:p>
      <w:pPr>
        <w:spacing w:after="0" w:before="0"/>
      </w:pPr>
      <w:r>
        <w:t xml:space="preserve"/>
      </w:r>
    </w:p>
    <w:p>
      <w:pPr>
        <w:pStyle w:val="Heading2"/>
        <w:spacing w:after="120" w:before="280"/>
      </w:pPr>
      <w:r>
        <w:rPr>
          <w:rFonts w:ascii="Arial" w:cs="Arial" w:eastAsia="Arial" w:hAnsi="Arial"/>
          <w:b/>
          <w:bCs/>
          <w:color w:val="2E75B6"/>
          <w:sz w:val="26"/>
          <w:szCs w:val="26"/>
        </w:rPr>
        <w:t xml:space="preserve">5.1  Tier 1 — Dominant / Broad Leaders</w:t>
      </w:r>
    </w:p>
    <w:p>
      <w:pPr>
        <w:spacing w:after="60" w:before="60"/>
      </w:pPr>
      <w:r>
        <w:rPr>
          <w:rFonts w:ascii="Arial" w:cs="Arial" w:eastAsia="Arial" w:hAnsi="Arial"/>
          <w:color w:val="1F1F1F"/>
          <w:sz w:val="20"/>
          <w:szCs w:val="20"/>
        </w:rPr>
        <w:t xml:space="preserve">Companies with multi-indication approved portfolios and significant revenue in these 6 spaces.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AbbVie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Tier 1 — Dominant</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18"/>
                <w:szCs w:val="18"/>
              </w:rPr>
              <w:t xml:space="preserve">STRENGTHS</w:t>
            </w:r>
          </w:p>
          <w:p>
            <w:pPr>
              <w:spacing w:after="0" w:before="0"/>
            </w:pPr>
            <w:r>
              <w:rPr>
                <w:rFonts w:ascii="Arial" w:cs="Arial" w:eastAsia="Arial" w:hAnsi="Arial"/>
                <w:color w:val="1F1F1F"/>
                <w:sz w:val="17"/>
                <w:szCs w:val="17"/>
              </w:rPr>
              <w:t xml:space="preserve">Most comprehensive immunology franchise across all 6 indications. Skyrizi ($11.7B) and Rinvoq ($6.0B) growing rapidly, replacing Humira erosion. Proven global commercial scale. Leads both IL-23 and JAK classes simultaneously.</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60"/>
            </w:pPr>
            <w:r>
              <w:rPr>
                <w:rFonts w:ascii="Arial" w:cs="Arial" w:eastAsia="Arial" w:hAnsi="Arial"/>
                <w:b/>
                <w:bCs/>
                <w:color w:val="843C0C"/>
                <w:sz w:val="18"/>
                <w:szCs w:val="18"/>
              </w:rPr>
              <w:t xml:space="preserve">WEAKNESSES</w:t>
            </w:r>
          </w:p>
          <w:p>
            <w:pPr>
              <w:spacing w:after="0" w:before="0"/>
            </w:pPr>
            <w:r>
              <w:rPr>
                <w:rFonts w:ascii="Arial" w:cs="Arial" w:eastAsia="Arial" w:hAnsi="Arial"/>
                <w:color w:val="1F1F1F"/>
                <w:sz w:val="17"/>
                <w:szCs w:val="17"/>
              </w:rPr>
              <w:t xml:space="preserve">Rinvoq carries FDA black-box warning (JAK class), limiting physician comfort. Heavy revenue concentration in immunology. Humira biosimilar erosion still weighing on reported totals.</w:t>
            </w:r>
          </w:p>
        </w:tc>
      </w:tr>
      <w:tr>
        <w:tc>
          <w:tcPr>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pPr>
              <w:spacing w:after="60"/>
            </w:pPr>
            <w:r>
              <w:rPr>
                <w:rFonts w:ascii="Arial" w:cs="Arial" w:eastAsia="Arial" w:hAnsi="Arial"/>
                <w:b/>
                <w:bCs/>
                <w:color w:val="154360"/>
                <w:sz w:val="18"/>
                <w:szCs w:val="18"/>
              </w:rPr>
              <w:t xml:space="preserve">OPPORTUNITIES</w:t>
            </w:r>
          </w:p>
          <w:p>
            <w:pPr>
              <w:spacing w:after="0" w:before="0"/>
            </w:pPr>
            <w:r>
              <w:rPr>
                <w:rFonts w:ascii="Arial" w:cs="Arial" w:eastAsia="Arial" w:hAnsi="Arial"/>
                <w:color w:val="1F1F1F"/>
                <w:sz w:val="17"/>
                <w:szCs w:val="17"/>
              </w:rPr>
              <w:t xml:space="preserve">Rinvoq SLE Phase 3 could open a 6th indication. Skyrizi UC (2024 approval) still in early launch uptake. Combined Skyrizi + Rinvoq guided &gt;$31B by 2027 — consensus upside remains.</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7F6000"/>
                <w:sz w:val="18"/>
                <w:szCs w:val="18"/>
              </w:rPr>
              <w:t xml:space="preserve">THREATS</w:t>
            </w:r>
          </w:p>
          <w:p>
            <w:pPr>
              <w:spacing w:after="0" w:before="0"/>
            </w:pPr>
            <w:r>
              <w:rPr>
                <w:rFonts w:ascii="Arial" w:cs="Arial" w:eastAsia="Arial" w:hAnsi="Arial"/>
                <w:color w:val="1F1F1F"/>
                <w:sz w:val="17"/>
                <w:szCs w:val="17"/>
              </w:rPr>
              <w:t xml:space="preserve">Anti-TL1A entrants (Merck, Sanofi/Teva) challenging IBD position. IL-23 competition intensifying. JAK safety label scrutiny may limit further expansion.</w:t>
            </w:r>
          </w:p>
        </w:tc>
      </w:tr>
      <w:tr>
        <w:tc>
          <w:tcPr>
            <w:gridSpan w:val="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595959"/>
                <w:sz w:val="17"/>
                <w:szCs w:val="17"/>
              </w:rPr>
              <w:t xml:space="preserve">KEY EARNINGS / STRATEGIC QUOTE</w:t>
            </w:r>
          </w:p>
          <w:p>
            <w:pPr>
              <w:spacing w:after="0" w:before="0"/>
            </w:pPr>
            <w:r>
              <w:rPr>
                <w:rFonts w:ascii="Arial" w:cs="Arial" w:eastAsia="Arial" w:hAnsi="Arial"/>
                <w:color w:val="1F1F1F"/>
                <w:sz w:val="17"/>
                <w:szCs w:val="17"/>
              </w:rPr>
              <w:t xml:space="preserve">"2024 was a year of significant progress for AbbVie. Our growth platform delivered outstanding results, we advanced our pipeline with key regulatory approvals and promising data." — Robert A. Michael, CEO, Q4 FY2025 Earnings (Feb 2026)</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J&amp;J (Janssen)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Tier 1 — Breadth Leader</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18"/>
                <w:szCs w:val="18"/>
              </w:rPr>
              <w:t xml:space="preserve">STRENGTHS</w:t>
            </w:r>
          </w:p>
          <w:p>
            <w:pPr>
              <w:spacing w:after="0" w:before="0"/>
            </w:pPr>
            <w:r>
              <w:rPr>
                <w:rFonts w:ascii="Arial" w:cs="Arial" w:eastAsia="Arial" w:hAnsi="Arial"/>
                <w:color w:val="1F1F1F"/>
                <w:sz w:val="17"/>
                <w:szCs w:val="17"/>
              </w:rPr>
              <w:t xml:space="preserve">Broadest approved portfolio — coverage across all 6 indications. Tremfya growing strongly in derm and IBD. Stelara still generating substantial cash. Nipocalimab (FcRn) pipeline is class-differentiating for SLE.</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60"/>
            </w:pPr>
            <w:r>
              <w:rPr>
                <w:rFonts w:ascii="Arial" w:cs="Arial" w:eastAsia="Arial" w:hAnsi="Arial"/>
                <w:b/>
                <w:bCs/>
                <w:color w:val="843C0C"/>
                <w:sz w:val="18"/>
                <w:szCs w:val="18"/>
              </w:rPr>
              <w:t xml:space="preserve">WEAKNESSES</w:t>
            </w:r>
          </w:p>
          <w:p>
            <w:pPr>
              <w:spacing w:after="0" w:before="0"/>
            </w:pPr>
            <w:r>
              <w:rPr>
                <w:rFonts w:ascii="Arial" w:cs="Arial" w:eastAsia="Arial" w:hAnsi="Arial"/>
                <w:color w:val="1F1F1F"/>
                <w:sz w:val="17"/>
                <w:szCs w:val="17"/>
              </w:rPr>
              <w:t xml:space="preserve">Stelara biosimilar entry (Jan 2025 in US) creates a multi-billion revenue headwind. Portfolio aging faster than pipeline can fill. No JAK or TYK2 inhibitor in the immunology lineup.</w:t>
            </w:r>
          </w:p>
        </w:tc>
      </w:tr>
      <w:tr>
        <w:tc>
          <w:tcPr>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pPr>
              <w:spacing w:after="60"/>
            </w:pPr>
            <w:r>
              <w:rPr>
                <w:rFonts w:ascii="Arial" w:cs="Arial" w:eastAsia="Arial" w:hAnsi="Arial"/>
                <w:b/>
                <w:bCs/>
                <w:color w:val="154360"/>
                <w:sz w:val="18"/>
                <w:szCs w:val="18"/>
              </w:rPr>
              <w:t xml:space="preserve">OPPORTUNITIES</w:t>
            </w:r>
          </w:p>
          <w:p>
            <w:pPr>
              <w:spacing w:after="0" w:before="0"/>
            </w:pPr>
            <w:r>
              <w:rPr>
                <w:rFonts w:ascii="Arial" w:cs="Arial" w:eastAsia="Arial" w:hAnsi="Arial"/>
                <w:color w:val="1F1F1F"/>
                <w:sz w:val="17"/>
                <w:szCs w:val="17"/>
              </w:rPr>
              <w:t xml:space="preserve">Tremfya UC launched; PsA and IBD uptake accelerating. Nipocalimab Phase 3 SLE readout is a potential transformative catalyst. Tremfya Phase 3 in CD ongoing.</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7F6000"/>
                <w:sz w:val="18"/>
                <w:szCs w:val="18"/>
              </w:rPr>
              <w:t xml:space="preserve">THREATS</w:t>
            </w:r>
          </w:p>
          <w:p>
            <w:pPr>
              <w:spacing w:after="0" w:before="0"/>
            </w:pPr>
            <w:r>
              <w:rPr>
                <w:rFonts w:ascii="Arial" w:cs="Arial" w:eastAsia="Arial" w:hAnsi="Arial"/>
                <w:color w:val="1F1F1F"/>
                <w:sz w:val="17"/>
                <w:szCs w:val="17"/>
              </w:rPr>
              <w:t xml:space="preserve">Stelara cliff — the drug generated ~$11B globally and is now subject to biosimilar erosion. Competing IL-23s (Skyrizi, Tremfya) cannibalizing class share.</w:t>
            </w:r>
          </w:p>
        </w:tc>
      </w:tr>
      <w:tr>
        <w:tc>
          <w:tcPr>
            <w:gridSpan w:val="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595959"/>
                <w:sz w:val="17"/>
                <w:szCs w:val="17"/>
              </w:rPr>
              <w:t xml:space="preserve">KEY EARNINGS / STRATEGIC QUOTE</w:t>
            </w:r>
          </w:p>
          <w:p>
            <w:pPr>
              <w:spacing w:after="0" w:before="0"/>
            </w:pPr>
            <w:r>
              <w:rPr>
                <w:rFonts w:ascii="Arial" w:cs="Arial" w:eastAsia="Arial" w:hAnsi="Arial"/>
                <w:color w:val="1F1F1F"/>
                <w:sz w:val="17"/>
                <w:szCs w:val="17"/>
              </w:rPr>
              <w:t xml:space="preserve">"J&amp;J accelerates past Stelara's fall with better-than-expected portfolio growth... Tremfya growing nearly 17% to $3.7B." — FiercePharma, citing J&amp;J Q4 2024 Results (Jan 2025)</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Eli Lilly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Tier 1 — IBD &amp; SLE Leader</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18"/>
                <w:szCs w:val="18"/>
              </w:rPr>
              <w:t xml:space="preserve">STRENGTHS</w:t>
            </w:r>
          </w:p>
          <w:p>
            <w:pPr>
              <w:spacing w:after="0" w:before="0"/>
            </w:pPr>
            <w:r>
              <w:rPr>
                <w:rFonts w:ascii="Arial" w:cs="Arial" w:eastAsia="Arial" w:hAnsi="Arial"/>
                <w:color w:val="1F1F1F"/>
                <w:sz w:val="17"/>
                <w:szCs w:val="17"/>
              </w:rPr>
              <w:t xml:space="preserve">Omvoh is the first IL-23 approved in both UC (2023) and CD (2025). Olumiant approved for SLE — one of very few drugs in this class. Taltz growing 21% YoY. Broad immunology platform across 5 of 6 indications.</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60"/>
            </w:pPr>
            <w:r>
              <w:rPr>
                <w:rFonts w:ascii="Arial" w:cs="Arial" w:eastAsia="Arial" w:hAnsi="Arial"/>
                <w:b/>
                <w:bCs/>
                <w:color w:val="843C0C"/>
                <w:sz w:val="18"/>
                <w:szCs w:val="18"/>
              </w:rPr>
              <w:t xml:space="preserve">WEAKNESSES</w:t>
            </w:r>
          </w:p>
          <w:p>
            <w:pPr>
              <w:spacing w:after="0" w:before="0"/>
            </w:pPr>
            <w:r>
              <w:rPr>
                <w:rFonts w:ascii="Arial" w:cs="Arial" w:eastAsia="Arial" w:hAnsi="Arial"/>
                <w:color w:val="1F1F1F"/>
                <w:sz w:val="17"/>
                <w:szCs w:val="17"/>
              </w:rPr>
              <w:t xml:space="preserve">Immunology overshadowed by incretin blockbusters (Mounjaro/Zepbound). Taltz approaching biosimilar window. Heavy R&amp;D spending creates earnings volatility.</w:t>
            </w:r>
          </w:p>
        </w:tc>
      </w:tr>
      <w:tr>
        <w:tc>
          <w:tcPr>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pPr>
              <w:spacing w:after="60"/>
            </w:pPr>
            <w:r>
              <w:rPr>
                <w:rFonts w:ascii="Arial" w:cs="Arial" w:eastAsia="Arial" w:hAnsi="Arial"/>
                <w:b/>
                <w:bCs/>
                <w:color w:val="154360"/>
                <w:sz w:val="18"/>
                <w:szCs w:val="18"/>
              </w:rPr>
              <w:t xml:space="preserve">OPPORTUNITIES</w:t>
            </w:r>
          </w:p>
          <w:p>
            <w:pPr>
              <w:spacing w:after="0" w:before="0"/>
            </w:pPr>
            <w:r>
              <w:rPr>
                <w:rFonts w:ascii="Arial" w:cs="Arial" w:eastAsia="Arial" w:hAnsi="Arial"/>
                <w:color w:val="1F1F1F"/>
                <w:sz w:val="17"/>
                <w:szCs w:val="17"/>
              </w:rPr>
              <w:t xml:space="preserve">Omvoh SC single-injection maintenance simplifies treatment. IL-23p19 class still in early IBD uptake. Combination studies (mirikizumab + eltrekibart in UC) could extend label further.</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7F6000"/>
                <w:sz w:val="18"/>
                <w:szCs w:val="18"/>
              </w:rPr>
              <w:t xml:space="preserve">THREATS</w:t>
            </w:r>
          </w:p>
          <w:p>
            <w:pPr>
              <w:spacing w:after="0" w:before="0"/>
            </w:pPr>
            <w:r>
              <w:rPr>
                <w:rFonts w:ascii="Arial" w:cs="Arial" w:eastAsia="Arial" w:hAnsi="Arial"/>
                <w:color w:val="1F1F1F"/>
                <w:sz w:val="17"/>
                <w:szCs w:val="17"/>
              </w:rPr>
              <w:t xml:space="preserve">IL-23 competition from Skyrizi and Tremfya is entrenched ahead of Omvoh in IBD. Taltz IL-17A biosimilars looming. Capital and management attention diverted to incretin franchise.</w:t>
            </w:r>
          </w:p>
        </w:tc>
      </w:tr>
      <w:tr>
        <w:tc>
          <w:tcPr>
            <w:gridSpan w:val="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595959"/>
                <w:sz w:val="17"/>
                <w:szCs w:val="17"/>
              </w:rPr>
              <w:t xml:space="preserve">KEY EARNINGS / STRATEGIC QUOTE</w:t>
            </w:r>
          </w:p>
          <w:p>
            <w:pPr>
              <w:spacing w:after="0" w:before="0"/>
            </w:pPr>
            <w:r>
              <w:rPr>
                <w:rFonts w:ascii="Arial" w:cs="Arial" w:eastAsia="Arial" w:hAnsi="Arial"/>
                <w:color w:val="1F1F1F"/>
                <w:sz w:val="17"/>
                <w:szCs w:val="17"/>
              </w:rPr>
              <w:t xml:space="preserve">"Oncology, neuroscience, and immunology expected to grow revenue in 2025 as Omvoh launch uptick continues." — Eli Lilly Q4 2024 Results (Feb 6, 2025)</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Novartis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Tier 1 — IL-17 Leader</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18"/>
                <w:szCs w:val="18"/>
              </w:rPr>
              <w:t xml:space="preserve">STRENGTHS</w:t>
            </w:r>
          </w:p>
          <w:p>
            <w:pPr>
              <w:spacing w:after="0" w:before="0"/>
            </w:pPr>
            <w:r>
              <w:rPr>
                <w:rFonts w:ascii="Arial" w:cs="Arial" w:eastAsia="Arial" w:hAnsi="Arial"/>
                <w:color w:val="1F1F1F"/>
                <w:sz w:val="17"/>
                <w:szCs w:val="17"/>
              </w:rPr>
              <w:t xml:space="preserve">Cosentyx topped $6B in 2024 — largest IL-17A franchise globally. New indications (HS, GCA, PMR) extending lifecycle. Ianalumab (BAFF-R) in Phase 3 SLE with 6 ongoing Phase III studies.</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60"/>
            </w:pPr>
            <w:r>
              <w:rPr>
                <w:rFonts w:ascii="Arial" w:cs="Arial" w:eastAsia="Arial" w:hAnsi="Arial"/>
                <w:b/>
                <w:bCs/>
                <w:color w:val="843C0C"/>
                <w:sz w:val="18"/>
                <w:szCs w:val="18"/>
              </w:rPr>
              <w:t xml:space="preserve">WEAKNESSES</w:t>
            </w:r>
          </w:p>
          <w:p>
            <w:pPr>
              <w:spacing w:after="0" w:before="0"/>
            </w:pPr>
            <w:r>
              <w:rPr>
                <w:rFonts w:ascii="Arial" w:cs="Arial" w:eastAsia="Arial" w:hAnsi="Arial"/>
                <w:color w:val="1F1F1F"/>
                <w:sz w:val="17"/>
                <w:szCs w:val="17"/>
              </w:rPr>
              <w:t xml:space="preserve">Cosentyx lacks IBD indications — a major commercial gap vs AbbVie/Takeda. No RA approval. SLE pipeline (ianalumab) still Phase 3 with no near-term approval date.</w:t>
            </w:r>
          </w:p>
        </w:tc>
      </w:tr>
      <w:tr>
        <w:tc>
          <w:tcPr>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pPr>
              <w:spacing w:after="60"/>
            </w:pPr>
            <w:r>
              <w:rPr>
                <w:rFonts w:ascii="Arial" w:cs="Arial" w:eastAsia="Arial" w:hAnsi="Arial"/>
                <w:b/>
                <w:bCs/>
                <w:color w:val="154360"/>
                <w:sz w:val="18"/>
                <w:szCs w:val="18"/>
              </w:rPr>
              <w:t xml:space="preserve">OPPORTUNITIES</w:t>
            </w:r>
          </w:p>
          <w:p>
            <w:pPr>
              <w:spacing w:after="0" w:before="0"/>
            </w:pPr>
            <w:r>
              <w:rPr>
                <w:rFonts w:ascii="Arial" w:cs="Arial" w:eastAsia="Arial" w:hAnsi="Arial"/>
                <w:color w:val="1F1F1F"/>
                <w:sz w:val="17"/>
                <w:szCs w:val="17"/>
              </w:rPr>
              <w:t xml:space="preserve">Ianalumab's BAFF-R mechanism differentiates from belimumab (BAFF-L) and could capture a new SLE segment. Cosentyx biosimilars still distant. HS and PMR launches driving incremental revenue.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7F6000"/>
                <w:sz w:val="18"/>
                <w:szCs w:val="18"/>
              </w:rPr>
              <w:t xml:space="preserve">THREATS</w:t>
            </w:r>
          </w:p>
          <w:p>
            <w:pPr>
              <w:spacing w:after="0" w:before="0"/>
            </w:pPr>
            <w:r>
              <w:rPr>
                <w:rFonts w:ascii="Arial" w:cs="Arial" w:eastAsia="Arial" w:hAnsi="Arial"/>
                <w:color w:val="1F1F1F"/>
                <w:sz w:val="17"/>
                <w:szCs w:val="17"/>
              </w:rPr>
              <w:t xml:space="preserve">IL-17A biosimilars beginning to enter market. IL-23 class taking psoriasis share from IL-17A. No IBD presence remains a competitive gap. Ianalumab Phase 3 failure risk.</w:t>
            </w:r>
          </w:p>
        </w:tc>
      </w:tr>
      <w:tr>
        <w:tc>
          <w:tcPr>
            <w:gridSpan w:val="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595959"/>
                <w:sz w:val="17"/>
                <w:szCs w:val="17"/>
              </w:rPr>
              <w:t xml:space="preserve">KEY EARNINGS / STRATEGIC QUOTE</w:t>
            </w:r>
          </w:p>
          <w:p>
            <w:pPr>
              <w:spacing w:after="0" w:before="0"/>
            </w:pPr>
            <w:r>
              <w:rPr>
                <w:rFonts w:ascii="Arial" w:cs="Arial" w:eastAsia="Arial" w:hAnsi="Arial"/>
                <w:color w:val="1F1F1F"/>
                <w:sz w:val="17"/>
                <w:szCs w:val="17"/>
              </w:rPr>
              <w:t xml:space="preserve">"Six Phase III studies across the board already running for ianalumab... this could be a very significant medicine, probably underappreciated overall." — Novartis management, Q4 2024 Earnings (Jan 31, 2025)</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Amgen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Tier 1 — Franchises Maturing</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18"/>
                <w:szCs w:val="18"/>
              </w:rPr>
              <w:t xml:space="preserve">STRENGTHS</w:t>
            </w:r>
          </w:p>
          <w:p>
            <w:pPr>
              <w:spacing w:after="0" w:before="0"/>
            </w:pPr>
            <w:r>
              <w:rPr>
                <w:rFonts w:ascii="Arial" w:cs="Arial" w:eastAsia="Arial" w:hAnsi="Arial"/>
                <w:color w:val="1F1F1F"/>
                <w:sz w:val="17"/>
                <w:szCs w:val="17"/>
              </w:rPr>
              <w:t xml:space="preserve">Enbrel is among the most prescribed biologics in RA/PsA/psoriasis history. Otezla oral PDE4 differentiates from injectables. Amgevita (adalimumab biosimilar) covers all TNF-relevant indications. World-class manufacturing scale.</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60"/>
            </w:pPr>
            <w:r>
              <w:rPr>
                <w:rFonts w:ascii="Arial" w:cs="Arial" w:eastAsia="Arial" w:hAnsi="Arial"/>
                <w:b/>
                <w:bCs/>
                <w:color w:val="843C0C"/>
                <w:sz w:val="18"/>
                <w:szCs w:val="18"/>
              </w:rPr>
              <w:t xml:space="preserve">WEAKNESSES</w:t>
            </w:r>
          </w:p>
          <w:p>
            <w:pPr>
              <w:spacing w:after="0" w:before="0"/>
            </w:pPr>
            <w:r>
              <w:rPr>
                <w:rFonts w:ascii="Arial" w:cs="Arial" w:eastAsia="Arial" w:hAnsi="Arial"/>
                <w:color w:val="1F1F1F"/>
                <w:sz w:val="17"/>
                <w:szCs w:val="17"/>
              </w:rPr>
              <w:t xml:space="preserve">Both Enbrel and Otezla are in revenue decline (Enbrel -10% FY2024). No innovative late-stage pipeline in these 6 indications to replace maturing assets. Amgevita competes on price, not science.</w:t>
            </w:r>
          </w:p>
        </w:tc>
      </w:tr>
      <w:tr>
        <w:tc>
          <w:tcPr>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pPr>
              <w:spacing w:after="60"/>
            </w:pPr>
            <w:r>
              <w:rPr>
                <w:rFonts w:ascii="Arial" w:cs="Arial" w:eastAsia="Arial" w:hAnsi="Arial"/>
                <w:b/>
                <w:bCs/>
                <w:color w:val="154360"/>
                <w:sz w:val="18"/>
                <w:szCs w:val="18"/>
              </w:rPr>
              <w:t xml:space="preserve">OPPORTUNITIES</w:t>
            </w:r>
          </w:p>
          <w:p>
            <w:pPr>
              <w:spacing w:after="0" w:before="0"/>
            </w:pPr>
            <w:r>
              <w:rPr>
                <w:rFonts w:ascii="Arial" w:cs="Arial" w:eastAsia="Arial" w:hAnsi="Arial"/>
                <w:color w:val="1F1F1F"/>
                <w:sz w:val="17"/>
                <w:szCs w:val="17"/>
              </w:rPr>
              <w:t xml:space="preserve">Otezla pediatric psoriasis approval (Aug 2024) opens a new patient segment. Amgevita biosimilar growth partially offsets branded declines. Potential acquisition of novel MOA assets to rejuvenate pipeline.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7F6000"/>
                <w:sz w:val="18"/>
                <w:szCs w:val="18"/>
              </w:rPr>
              <w:t xml:space="preserve">THREATS</w:t>
            </w:r>
          </w:p>
          <w:p>
            <w:pPr>
              <w:spacing w:after="0" w:before="0"/>
            </w:pPr>
            <w:r>
              <w:rPr>
                <w:rFonts w:ascii="Arial" w:cs="Arial" w:eastAsia="Arial" w:hAnsi="Arial"/>
                <w:color w:val="1F1F1F"/>
                <w:sz w:val="17"/>
                <w:szCs w:val="17"/>
              </w:rPr>
              <w:t xml:space="preserve">Enbrel US exclusivity challenges ongoing. Otezla facing generic entry pressure long-term. Class shift in psoriasis and PsA toward JAKs and IL-23s displacing TNFs.</w:t>
            </w:r>
          </w:p>
        </w:tc>
      </w:tr>
      <w:tr>
        <w:tc>
          <w:tcPr>
            <w:gridSpan w:val="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595959"/>
                <w:sz w:val="17"/>
                <w:szCs w:val="17"/>
              </w:rPr>
              <w:t xml:space="preserve">KEY EARNINGS / STRATEGIC QUOTE</w:t>
            </w:r>
          </w:p>
          <w:p>
            <w:pPr>
              <w:spacing w:after="0" w:before="0"/>
            </w:pPr>
            <w:r>
              <w:rPr>
                <w:rFonts w:ascii="Arial" w:cs="Arial" w:eastAsia="Arial" w:hAnsi="Arial"/>
                <w:color w:val="1F1F1F"/>
                <w:sz w:val="17"/>
                <w:szCs w:val="17"/>
              </w:rPr>
              <w:t xml:space="preserve">"Enbrel sales decreased 10% for the full year, driven by lower net selling price. Otezla decreased 3%, primarily driven by 8% lower net selling price." — Amgen Q4 2024 Results (Feb 4, 2025)</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Takeda</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Tier 1 — IBD Leader</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18"/>
                <w:szCs w:val="18"/>
              </w:rPr>
              <w:t xml:space="preserve">STRENGTHS</w:t>
            </w:r>
          </w:p>
          <w:p>
            <w:pPr>
              <w:spacing w:after="0" w:before="0"/>
            </w:pPr>
            <w:r>
              <w:rPr>
                <w:rFonts w:ascii="Arial" w:cs="Arial" w:eastAsia="Arial" w:hAnsi="Arial"/>
                <w:color w:val="1F1F1F"/>
                <w:sz w:val="17"/>
                <w:szCs w:val="17"/>
              </w:rPr>
              <w:t xml:space="preserve">Entyvio is the IBD market leader in bio-naive new patient starts. Gut-selective alpha-4-beta-7 mechanism avoids systemic immunosuppression — strong safety profile. SC formulation launched successfully. US patent exclusivity through ~2032.</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60"/>
            </w:pPr>
            <w:r>
              <w:rPr>
                <w:rFonts w:ascii="Arial" w:cs="Arial" w:eastAsia="Arial" w:hAnsi="Arial"/>
                <w:b/>
                <w:bCs/>
                <w:color w:val="843C0C"/>
                <w:sz w:val="18"/>
                <w:szCs w:val="18"/>
              </w:rPr>
              <w:t xml:space="preserve">WEAKNESSES</w:t>
            </w:r>
          </w:p>
          <w:p>
            <w:pPr>
              <w:spacing w:after="0" w:before="0"/>
            </w:pPr>
            <w:r>
              <w:rPr>
                <w:rFonts w:ascii="Arial" w:cs="Arial" w:eastAsia="Arial" w:hAnsi="Arial"/>
                <w:color w:val="1F1F1F"/>
                <w:sz w:val="17"/>
                <w:szCs w:val="17"/>
              </w:rPr>
              <w:t xml:space="preserve">No presence outside IBD (no RA, psoriasis, or SLE). Heavy single-product franchise dependency. Pipeline post-Entyvio in IBD is unclear.</w:t>
            </w:r>
          </w:p>
        </w:tc>
      </w:tr>
      <w:tr>
        <w:tc>
          <w:tcPr>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pPr>
              <w:spacing w:after="60"/>
            </w:pPr>
            <w:r>
              <w:rPr>
                <w:rFonts w:ascii="Arial" w:cs="Arial" w:eastAsia="Arial" w:hAnsi="Arial"/>
                <w:b/>
                <w:bCs/>
                <w:color w:val="154360"/>
                <w:sz w:val="18"/>
                <w:szCs w:val="18"/>
              </w:rPr>
              <w:t xml:space="preserve">OPPORTUNITIES</w:t>
            </w:r>
          </w:p>
          <w:p>
            <w:pPr>
              <w:spacing w:after="0" w:before="0"/>
            </w:pPr>
            <w:r>
              <w:rPr>
                <w:rFonts w:ascii="Arial" w:cs="Arial" w:eastAsia="Arial" w:hAnsi="Arial"/>
                <w:color w:val="1F1F1F"/>
                <w:sz w:val="17"/>
                <w:szCs w:val="17"/>
              </w:rPr>
              <w:t xml:space="preserve">SC Entyvio penetration still early — significant share to capture vs IV. 2032 US patent runway provides a long competitive moat. Entyvio's safety profile positions it well for first-line use.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7F6000"/>
                <w:sz w:val="18"/>
                <w:szCs w:val="18"/>
              </w:rPr>
              <w:t xml:space="preserve">THREATS</w:t>
            </w:r>
          </w:p>
          <w:p>
            <w:pPr>
              <w:spacing w:after="0" w:before="0"/>
            </w:pPr>
            <w:r>
              <w:rPr>
                <w:rFonts w:ascii="Arial" w:cs="Arial" w:eastAsia="Arial" w:hAnsi="Arial"/>
                <w:color w:val="1F1F1F"/>
                <w:sz w:val="17"/>
                <w:szCs w:val="17"/>
              </w:rPr>
              <w:t xml:space="preserve">AbbVie Skyrizi aggressively entering UC/CD. Anti-TL1A entrants (Merck, Sanofi/Teva) in Phase 3. Zeposia oral option expanding physician choice in IBD.</w:t>
            </w:r>
          </w:p>
        </w:tc>
      </w:tr>
      <w:tr>
        <w:tc>
          <w:tcPr>
            <w:gridSpan w:val="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595959"/>
                <w:sz w:val="17"/>
                <w:szCs w:val="17"/>
              </w:rPr>
              <w:t xml:space="preserve">KEY EARNINGS / STRATEGIC QUOTE</w:t>
            </w:r>
          </w:p>
          <w:p>
            <w:pPr>
              <w:spacing w:after="0" w:before="0"/>
            </w:pPr>
            <w:r>
              <w:rPr>
                <w:rFonts w:ascii="Arial" w:cs="Arial" w:eastAsia="Arial" w:hAnsi="Arial"/>
                <w:color w:val="1F1F1F"/>
                <w:sz w:val="17"/>
                <w:szCs w:val="17"/>
              </w:rPr>
              <w:t xml:space="preserve">"Entyvio continues to perform well with growth of 7%... we remain the market leader in terms of IBD bio-naive new patient starts." — Takeda H1 FY2024 Results (Nov 2024)</w:t>
            </w:r>
          </w:p>
        </w:tc>
      </w:tr>
    </w:tbl>
    <w:p>
      <w:pPr>
        <w:spacing w:after="0" w:before="0"/>
      </w:pPr>
      <w:r>
        <w:t xml:space="preserve"/>
      </w:r>
    </w:p>
    <w:p>
      <w:r>
        <w:br w:type="page"/>
      </w:r>
    </w:p>
    <w:p>
      <w:pPr>
        <w:pStyle w:val="Heading2"/>
        <w:spacing w:after="120" w:before="280"/>
      </w:pPr>
      <w:r>
        <w:rPr>
          <w:rFonts w:ascii="Arial" w:cs="Arial" w:eastAsia="Arial" w:hAnsi="Arial"/>
          <w:b/>
          <w:bCs/>
          <w:color w:val="2E75B6"/>
          <w:sz w:val="26"/>
          <w:szCs w:val="26"/>
        </w:rPr>
        <w:t xml:space="preserve">5.2  Tier 2 — Focused Players</w:t>
      </w:r>
    </w:p>
    <w:p>
      <w:pPr>
        <w:spacing w:after="60" w:before="60"/>
      </w:pPr>
      <w:r>
        <w:rPr>
          <w:rFonts w:ascii="Arial" w:cs="Arial" w:eastAsia="Arial" w:hAnsi="Arial"/>
          <w:color w:val="1F1F1F"/>
          <w:sz w:val="20"/>
          <w:szCs w:val="20"/>
        </w:rPr>
        <w:t xml:space="preserve">Companies with 1-2 strong approved drugs and a clear strategic pipeline commitment.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BMS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Tier 2 — TYK2 Pioneer</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18"/>
                <w:szCs w:val="18"/>
              </w:rPr>
              <w:t xml:space="preserve">STRENGTHS</w:t>
            </w:r>
          </w:p>
          <w:p>
            <w:pPr>
              <w:spacing w:after="0" w:before="0"/>
            </w:pPr>
            <w:r>
              <w:rPr>
                <w:rFonts w:ascii="Arial" w:cs="Arial" w:eastAsia="Arial" w:hAnsi="Arial"/>
                <w:color w:val="1F1F1F"/>
                <w:sz w:val="17"/>
                <w:szCs w:val="17"/>
              </w:rPr>
              <w:t xml:space="preserve">Sotyktu (deucravacitinib) is the only approved TYK2 inhibitor — novel allosteric mechanism with no FDA black-box warning (unlike JAKs). 80% US payer coverage as of Jan 2025. PsA approval in 2026. SLE Phase 3 ongoing.</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60"/>
            </w:pPr>
            <w:r>
              <w:rPr>
                <w:rFonts w:ascii="Arial" w:cs="Arial" w:eastAsia="Arial" w:hAnsi="Arial"/>
                <w:b/>
                <w:bCs/>
                <w:color w:val="843C0C"/>
                <w:sz w:val="18"/>
                <w:szCs w:val="18"/>
              </w:rPr>
              <w:t xml:space="preserve">WEAKNESSES</w:t>
            </w:r>
          </w:p>
          <w:p>
            <w:pPr>
              <w:spacing w:after="0" w:before="0"/>
            </w:pPr>
            <w:r>
              <w:rPr>
                <w:rFonts w:ascii="Arial" w:cs="Arial" w:eastAsia="Arial" w:hAnsi="Arial"/>
                <w:color w:val="1F1F1F"/>
                <w:sz w:val="17"/>
                <w:szCs w:val="17"/>
              </w:rPr>
              <w:t xml:space="preserve">Sotyktu revenue still modest ($246M FY2024 vs Rinvoq's $5.9B). Major LOE risk from Revlimid and Eliquis is occupying investor attention. Market penetration slower than hoped.</w:t>
            </w:r>
          </w:p>
        </w:tc>
      </w:tr>
      <w:tr>
        <w:tc>
          <w:tcPr>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pPr>
              <w:spacing w:after="60"/>
            </w:pPr>
            <w:r>
              <w:rPr>
                <w:rFonts w:ascii="Arial" w:cs="Arial" w:eastAsia="Arial" w:hAnsi="Arial"/>
                <w:b/>
                <w:bCs/>
                <w:color w:val="154360"/>
                <w:sz w:val="18"/>
                <w:szCs w:val="18"/>
              </w:rPr>
              <w:t xml:space="preserve">OPPORTUNITIES</w:t>
            </w:r>
          </w:p>
          <w:p>
            <w:pPr>
              <w:spacing w:after="0" w:before="0"/>
            </w:pPr>
            <w:r>
              <w:rPr>
                <w:rFonts w:ascii="Arial" w:cs="Arial" w:eastAsia="Arial" w:hAnsi="Arial"/>
                <w:color w:val="1F1F1F"/>
                <w:sz w:val="17"/>
                <w:szCs w:val="17"/>
              </w:rPr>
              <w:t xml:space="preserve">Sotyktu expanding into PsA (2026), SLE (Phase 3), and CD (Phase 2/3). TYK2 mechanism avoids JAK safety class labeling — significant formulary differentiation opportunity.</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7F6000"/>
                <w:sz w:val="18"/>
                <w:szCs w:val="18"/>
              </w:rPr>
              <w:t xml:space="preserve">THREATS</w:t>
            </w:r>
          </w:p>
          <w:p>
            <w:pPr>
              <w:spacing w:after="0" w:before="0"/>
            </w:pPr>
            <w:r>
              <w:rPr>
                <w:rFonts w:ascii="Arial" w:cs="Arial" w:eastAsia="Arial" w:hAnsi="Arial"/>
                <w:color w:val="1F1F1F"/>
                <w:sz w:val="17"/>
                <w:szCs w:val="17"/>
              </w:rPr>
              <w:t xml:space="preserve">AbbVie Rinvoq is deeply entrenched across most overlapping indications. Slower penetration than expected may prompt investor concern. Need to prove TYK2 clinical differentiation vs JAKs.</w:t>
            </w:r>
          </w:p>
        </w:tc>
      </w:tr>
      <w:tr>
        <w:tc>
          <w:tcPr>
            <w:gridSpan w:val="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595959"/>
                <w:sz w:val="17"/>
                <w:szCs w:val="17"/>
              </w:rPr>
              <w:t xml:space="preserve">KEY EARNINGS / STRATEGIC QUOTE</w:t>
            </w:r>
          </w:p>
          <w:p>
            <w:pPr>
              <w:spacing w:after="0" w:before="0"/>
            </w:pPr>
            <w:r>
              <w:rPr>
                <w:rFonts w:ascii="Arial" w:cs="Arial" w:eastAsia="Arial" w:hAnsi="Arial"/>
                <w:color w:val="1F1F1F"/>
                <w:sz w:val="17"/>
                <w:szCs w:val="17"/>
              </w:rPr>
              <w:t xml:space="preserve">"Sotyktu generated $83M in Q4 (+32% YoY), with U.S. payer coverage expansion to 80% effective January 2025 and positive Phase 3 results in psoriatic arthritis." — BMS Q4 2024 Results (Feb 2025)</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AstraZeneca</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Tier 2 — SLE Specialist</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18"/>
                <w:szCs w:val="18"/>
              </w:rPr>
              <w:t xml:space="preserve">STRENGTHS</w:t>
            </w:r>
          </w:p>
          <w:p>
            <w:pPr>
              <w:spacing w:after="0" w:before="0"/>
            </w:pPr>
            <w:r>
              <w:rPr>
                <w:rFonts w:ascii="Arial" w:cs="Arial" w:eastAsia="Arial" w:hAnsi="Arial"/>
                <w:color w:val="1F1F1F"/>
                <w:sz w:val="17"/>
                <w:szCs w:val="17"/>
              </w:rPr>
              <w:t xml:space="preserve">Saphnelo is the only IFNAR1 inhibitor approved for SLE — truly differentiated MOA vs BAFF inhibitors. 69% revenue growth in 2024 ($474M). SC formulation in Phase 3 will improve convenience.</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60"/>
            </w:pPr>
            <w:r>
              <w:rPr>
                <w:rFonts w:ascii="Arial" w:cs="Arial" w:eastAsia="Arial" w:hAnsi="Arial"/>
                <w:b/>
                <w:bCs/>
                <w:color w:val="843C0C"/>
                <w:sz w:val="18"/>
                <w:szCs w:val="18"/>
              </w:rPr>
              <w:t xml:space="preserve">WEAKNESSES</w:t>
            </w:r>
          </w:p>
          <w:p>
            <w:pPr>
              <w:spacing w:after="0" w:before="0"/>
            </w:pPr>
            <w:r>
              <w:rPr>
                <w:rFonts w:ascii="Arial" w:cs="Arial" w:eastAsia="Arial" w:hAnsi="Arial"/>
                <w:color w:val="1F1F1F"/>
                <w:sz w:val="17"/>
                <w:szCs w:val="17"/>
              </w:rPr>
              <w:t xml:space="preserve">Single indication (SLE only) across the 6. Modest absolute revenue vs immunology leaders. No presence in RA, psoriasis, or IBD.</w:t>
            </w:r>
          </w:p>
        </w:tc>
      </w:tr>
      <w:tr>
        <w:tc>
          <w:tcPr>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pPr>
              <w:spacing w:after="60"/>
            </w:pPr>
            <w:r>
              <w:rPr>
                <w:rFonts w:ascii="Arial" w:cs="Arial" w:eastAsia="Arial" w:hAnsi="Arial"/>
                <w:b/>
                <w:bCs/>
                <w:color w:val="154360"/>
                <w:sz w:val="18"/>
                <w:szCs w:val="18"/>
              </w:rPr>
              <w:t xml:space="preserve">OPPORTUNITIES</w:t>
            </w:r>
          </w:p>
          <w:p>
            <w:pPr>
              <w:spacing w:after="0" w:before="0"/>
            </w:pPr>
            <w:r>
              <w:rPr>
                <w:rFonts w:ascii="Arial" w:cs="Arial" w:eastAsia="Arial" w:hAnsi="Arial"/>
                <w:color w:val="1F1F1F"/>
                <w:sz w:val="17"/>
                <w:szCs w:val="17"/>
              </w:rPr>
              <w:t xml:space="preserve">Saphnelo SC FDA decision expected H1 2026. Expansion into lupus nephritis (IRIS), cutaneous LE (LAVENDER), systemic sclerosis (DAISY), and pediatric SLE could 4x addressable patient population.</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7F6000"/>
                <w:sz w:val="18"/>
                <w:szCs w:val="18"/>
              </w:rPr>
              <w:t xml:space="preserve">THREATS</w:t>
            </w:r>
          </w:p>
          <w:p>
            <w:pPr>
              <w:spacing w:after="0" w:before="0"/>
            </w:pPr>
            <w:r>
              <w:rPr>
                <w:rFonts w:ascii="Arial" w:cs="Arial" w:eastAsia="Arial" w:hAnsi="Arial"/>
                <w:color w:val="1F1F1F"/>
                <w:sz w:val="17"/>
                <w:szCs w:val="17"/>
              </w:rPr>
              <w:t xml:space="preserve">Emerging CAR-T therapies showing dramatic responses in SLE may disrupt biologic standard of care. Benlysta entrenched as first-mover. Saphnelo SC FDA review extended — delay risk.</w:t>
            </w:r>
          </w:p>
        </w:tc>
      </w:tr>
      <w:tr>
        <w:tc>
          <w:tcPr>
            <w:gridSpan w:val="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595959"/>
                <w:sz w:val="17"/>
                <w:szCs w:val="17"/>
              </w:rPr>
              <w:t xml:space="preserve">KEY EARNINGS / STRATEGIC QUOTE</w:t>
            </w:r>
          </w:p>
          <w:p>
            <w:pPr>
              <w:spacing w:after="0" w:before="0"/>
            </w:pPr>
            <w:r>
              <w:rPr>
                <w:rFonts w:ascii="Arial" w:cs="Arial" w:eastAsia="Arial" w:hAnsi="Arial"/>
                <w:color w:val="1F1F1F"/>
                <w:sz w:val="17"/>
                <w:szCs w:val="17"/>
              </w:rPr>
              <w:t xml:space="preserve">"Saphnelo generated $474M in FY2024 revenue with 69% growth, driven by demand acceleration in the US." — AstraZeneca Full Year &amp; Q4 2024 Results (Feb 5, 2025)</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Roche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Tier 2 — Legacy RA</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18"/>
                <w:szCs w:val="18"/>
              </w:rPr>
              <w:t xml:space="preserve">STRENGTHS</w:t>
            </w:r>
          </w:p>
          <w:p>
            <w:pPr>
              <w:spacing w:after="0" w:before="0"/>
            </w:pPr>
            <w:r>
              <w:rPr>
                <w:rFonts w:ascii="Arial" w:cs="Arial" w:eastAsia="Arial" w:hAnsi="Arial"/>
                <w:color w:val="1F1F1F"/>
                <w:sz w:val="17"/>
                <w:szCs w:val="17"/>
              </w:rPr>
              <w:t xml:space="preserve">Actemra established RA standard of care for 15+ years. SC formulation extends lifecycle vs IV biosimilars. Strong hospital relationships. Rituxan anchors seropositive RA.</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60"/>
            </w:pPr>
            <w:r>
              <w:rPr>
                <w:rFonts w:ascii="Arial" w:cs="Arial" w:eastAsia="Arial" w:hAnsi="Arial"/>
                <w:b/>
                <w:bCs/>
                <w:color w:val="843C0C"/>
                <w:sz w:val="18"/>
                <w:szCs w:val="18"/>
              </w:rPr>
              <w:t xml:space="preserve">WEAKNESSES</w:t>
            </w:r>
          </w:p>
          <w:p>
            <w:pPr>
              <w:spacing w:after="0" w:before="0"/>
            </w:pPr>
            <w:r>
              <w:rPr>
                <w:rFonts w:ascii="Arial" w:cs="Arial" w:eastAsia="Arial" w:hAnsi="Arial"/>
                <w:color w:val="1F1F1F"/>
                <w:sz w:val="17"/>
                <w:szCs w:val="17"/>
              </w:rPr>
              <w:t xml:space="preserve">Both Actemra and Rituxan facing biosimilar erosion. Actemra biosimilar US entry Q2 2024 — price pressure accelerating. No new approved drugs in these 6 indications; limited Phase 3 pipeline.</w:t>
            </w:r>
          </w:p>
        </w:tc>
      </w:tr>
      <w:tr>
        <w:tc>
          <w:tcPr>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pPr>
              <w:spacing w:after="60"/>
            </w:pPr>
            <w:r>
              <w:rPr>
                <w:rFonts w:ascii="Arial" w:cs="Arial" w:eastAsia="Arial" w:hAnsi="Arial"/>
                <w:b/>
                <w:bCs/>
                <w:color w:val="154360"/>
                <w:sz w:val="18"/>
                <w:szCs w:val="18"/>
              </w:rPr>
              <w:t xml:space="preserve">OPPORTUNITIES</w:t>
            </w:r>
          </w:p>
          <w:p>
            <w:pPr>
              <w:spacing w:after="0" w:before="0"/>
            </w:pPr>
            <w:r>
              <w:rPr>
                <w:rFonts w:ascii="Arial" w:cs="Arial" w:eastAsia="Arial" w:hAnsi="Arial"/>
                <w:color w:val="1F1F1F"/>
                <w:sz w:val="17"/>
                <w:szCs w:val="17"/>
              </w:rPr>
              <w:t xml:space="preserve">Subcutaneous Actemra retaining share vs IV biosimilars. SC form is harder to biosimilar. Chugai pipeline may yield new RA assets. Niche positioning in sJIA and macrophage activation syndromes.</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7F6000"/>
                <w:sz w:val="18"/>
                <w:szCs w:val="18"/>
              </w:rPr>
              <w:t xml:space="preserve">THREATS</w:t>
            </w:r>
          </w:p>
          <w:p>
            <w:pPr>
              <w:spacing w:after="0" w:before="0"/>
            </w:pPr>
            <w:r>
              <w:rPr>
                <w:rFonts w:ascii="Arial" w:cs="Arial" w:eastAsia="Arial" w:hAnsi="Arial"/>
                <w:color w:val="1F1F1F"/>
                <w:sz w:val="17"/>
                <w:szCs w:val="17"/>
              </w:rPr>
              <w:t xml:space="preserve">Tocilizumab biosimilars (US entry 2024) eroding &gt;CHF 1B franchise. Rituximab biosimilars long entrenched. No late-stage pipeline in these 6 indications to offset losses.</w:t>
            </w:r>
          </w:p>
        </w:tc>
      </w:tr>
      <w:tr>
        <w:tc>
          <w:tcPr>
            <w:gridSpan w:val="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595959"/>
                <w:sz w:val="17"/>
                <w:szCs w:val="17"/>
              </w:rPr>
              <w:t xml:space="preserve">KEY EARNINGS / STRATEGIC QUOTE</w:t>
            </w:r>
          </w:p>
          <w:p>
            <w:pPr>
              <w:spacing w:after="0" w:before="0"/>
            </w:pPr>
            <w:r>
              <w:rPr>
                <w:rFonts w:ascii="Arial" w:cs="Arial" w:eastAsia="Arial" w:hAnsi="Arial"/>
                <w:color w:val="1F1F1F"/>
                <w:sz w:val="17"/>
                <w:szCs w:val="17"/>
              </w:rPr>
              <w:t xml:space="preserve">"The impact of biosimilar competition on Actemra/RoActemra was more than compensated for by continued rollout of other products." — Roche FY2024 Results (Jan 30, 2025)</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Sanofi</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Tier 2 — IBD Pipeline</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18"/>
                <w:szCs w:val="18"/>
              </w:rPr>
              <w:t xml:space="preserve">STRENGTHS</w:t>
            </w:r>
          </w:p>
          <w:p>
            <w:pPr>
              <w:spacing w:after="0" w:before="0"/>
            </w:pPr>
            <w:r>
              <w:rPr>
                <w:rFonts w:ascii="Arial" w:cs="Arial" w:eastAsia="Arial" w:hAnsi="Arial"/>
                <w:color w:val="1F1F1F"/>
                <w:sz w:val="17"/>
                <w:szCs w:val="17"/>
              </w:rPr>
              <w:t xml:space="preserve">Duvakitug (anti-TL1A, co-developed with Teva) in Phase 3 for both UC and CD. Kevzara growing steadily in RA. Strategic commitment to build a 'premier immunology powerhouse' with increasing R&amp;D investment.</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60"/>
            </w:pPr>
            <w:r>
              <w:rPr>
                <w:rFonts w:ascii="Arial" w:cs="Arial" w:eastAsia="Arial" w:hAnsi="Arial"/>
                <w:b/>
                <w:bCs/>
                <w:color w:val="843C0C"/>
                <w:sz w:val="18"/>
                <w:szCs w:val="18"/>
              </w:rPr>
              <w:t xml:space="preserve">WEAKNESSES</w:t>
            </w:r>
          </w:p>
          <w:p>
            <w:pPr>
              <w:spacing w:after="0" w:before="0"/>
            </w:pPr>
            <w:r>
              <w:rPr>
                <w:rFonts w:ascii="Arial" w:cs="Arial" w:eastAsia="Arial" w:hAnsi="Arial"/>
                <w:color w:val="1F1F1F"/>
                <w:sz w:val="17"/>
                <w:szCs w:val="17"/>
              </w:rPr>
              <w:t xml:space="preserve">Dupixent (the revenue engine) does not serve any of the 6 target indications. Kevzara trails tocilizumab in RA penetration. No approved drugs in psoriasis or IBD yet.</w:t>
            </w:r>
          </w:p>
        </w:tc>
      </w:tr>
      <w:tr>
        <w:tc>
          <w:tcPr>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pPr>
              <w:spacing w:after="60"/>
            </w:pPr>
            <w:r>
              <w:rPr>
                <w:rFonts w:ascii="Arial" w:cs="Arial" w:eastAsia="Arial" w:hAnsi="Arial"/>
                <w:b/>
                <w:bCs/>
                <w:color w:val="154360"/>
                <w:sz w:val="18"/>
                <w:szCs w:val="18"/>
              </w:rPr>
              <w:t xml:space="preserve">OPPORTUNITIES</w:t>
            </w:r>
          </w:p>
          <w:p>
            <w:pPr>
              <w:spacing w:after="0" w:before="0"/>
            </w:pPr>
            <w:r>
              <w:rPr>
                <w:rFonts w:ascii="Arial" w:cs="Arial" w:eastAsia="Arial" w:hAnsi="Arial"/>
                <w:color w:val="1F1F1F"/>
                <w:sz w:val="17"/>
                <w:szCs w:val="17"/>
              </w:rPr>
              <w:t xml:space="preserve">Duvakitug could be the most commercially impactful anti-TL1A if Phase 3 succeeds. Sanofi/Dupixent payer relationships could accelerate duvakitug launch. Kevzara PMR EU approval (2025) broadens RA label.</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7F6000"/>
                <w:sz w:val="18"/>
                <w:szCs w:val="18"/>
              </w:rPr>
              <w:t xml:space="preserve">THREATS</w:t>
            </w:r>
          </w:p>
          <w:p>
            <w:pPr>
              <w:spacing w:after="0" w:before="0"/>
            </w:pPr>
            <w:r>
              <w:rPr>
                <w:rFonts w:ascii="Arial" w:cs="Arial" w:eastAsia="Arial" w:hAnsi="Arial"/>
                <w:color w:val="1F1F1F"/>
                <w:sz w:val="17"/>
                <w:szCs w:val="17"/>
              </w:rPr>
              <w:t xml:space="preserve">Merck tulisokibart is a direct Phase 3 competitor in anti-TL1A. Teva partnership adds execution risk. RA market shrinking relative to JAKs and newer biologics.</w:t>
            </w:r>
          </w:p>
        </w:tc>
      </w:tr>
      <w:tr>
        <w:tc>
          <w:tcPr>
            <w:gridSpan w:val="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595959"/>
                <w:sz w:val="17"/>
                <w:szCs w:val="17"/>
              </w:rPr>
              <w:t xml:space="preserve">KEY EARNINGS / STRATEGIC QUOTE</w:t>
            </w:r>
          </w:p>
          <w:p>
            <w:pPr>
              <w:spacing w:after="0" w:before="0"/>
            </w:pPr>
            <w:r>
              <w:rPr>
                <w:rFonts w:ascii="Arial" w:cs="Arial" w:eastAsia="Arial" w:hAnsi="Arial"/>
                <w:color w:val="1F1F1F"/>
                <w:sz w:val="17"/>
                <w:szCs w:val="17"/>
              </w:rPr>
              <w:t xml:space="preserve">"We are becoming a premier immunology powerhouse." — Paul Hudson, CEO, Sanofi Q4 2024 Earnings Call (Jan 30, 2025)</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GSK</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Tier 2 — SLE Incumbent</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18"/>
                <w:szCs w:val="18"/>
              </w:rPr>
              <w:t xml:space="preserve">STRENGTHS</w:t>
            </w:r>
          </w:p>
          <w:p>
            <w:pPr>
              <w:spacing w:after="0" w:before="0"/>
            </w:pPr>
            <w:r>
              <w:rPr>
                <w:rFonts w:ascii="Arial" w:cs="Arial" w:eastAsia="Arial" w:hAnsi="Arial"/>
                <w:color w:val="1F1F1F"/>
                <w:sz w:val="17"/>
                <w:szCs w:val="17"/>
              </w:rPr>
              <w:t xml:space="preserve">Benlysta is the established SLE standard — first biologic approved for SLE. Lupus nephritis approval (2020) broadened the label. Pediatric autoinjector approval (2024/2025) extends access. Sustained double-digit revenue growth.</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60"/>
            </w:pPr>
            <w:r>
              <w:rPr>
                <w:rFonts w:ascii="Arial" w:cs="Arial" w:eastAsia="Arial" w:hAnsi="Arial"/>
                <w:b/>
                <w:bCs/>
                <w:color w:val="843C0C"/>
                <w:sz w:val="18"/>
                <w:szCs w:val="18"/>
              </w:rPr>
              <w:t xml:space="preserve">WEAKNESSES</w:t>
            </w:r>
          </w:p>
          <w:p>
            <w:pPr>
              <w:spacing w:after="0" w:before="0"/>
            </w:pPr>
            <w:r>
              <w:rPr>
                <w:rFonts w:ascii="Arial" w:cs="Arial" w:eastAsia="Arial" w:hAnsi="Arial"/>
                <w:color w:val="1F1F1F"/>
                <w:sz w:val="17"/>
                <w:szCs w:val="17"/>
              </w:rPr>
              <w:t xml:space="preserve">Otilimab RA program discontinued (Phase 3 failed). Single indication (SLE only) across the 6. No IBD, psoriasis, or RA pipeline of significance.</w:t>
            </w:r>
          </w:p>
        </w:tc>
      </w:tr>
      <w:tr>
        <w:tc>
          <w:tcPr>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pPr>
              <w:spacing w:after="60"/>
            </w:pPr>
            <w:r>
              <w:rPr>
                <w:rFonts w:ascii="Arial" w:cs="Arial" w:eastAsia="Arial" w:hAnsi="Arial"/>
                <w:b/>
                <w:bCs/>
                <w:color w:val="154360"/>
                <w:sz w:val="18"/>
                <w:szCs w:val="18"/>
              </w:rPr>
              <w:t xml:space="preserve">OPPORTUNITIES</w:t>
            </w:r>
          </w:p>
          <w:p>
            <w:pPr>
              <w:spacing w:after="0" w:before="0"/>
            </w:pPr>
            <w:r>
              <w:rPr>
                <w:rFonts w:ascii="Arial" w:cs="Arial" w:eastAsia="Arial" w:hAnsi="Arial"/>
                <w:color w:val="1F1F1F"/>
                <w:sz w:val="17"/>
                <w:szCs w:val="17"/>
              </w:rPr>
              <w:t xml:space="preserve">Benlysta + rituximab combination Phase 3 ongoing — could raise the bar in SLE treatment. Benlysta has penetrated &lt;20% of eligible SLE patients globally — substantial headroom remaining.</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7F6000"/>
                <w:sz w:val="18"/>
                <w:szCs w:val="18"/>
              </w:rPr>
              <w:t xml:space="preserve">THREATS</w:t>
            </w:r>
          </w:p>
          <w:p>
            <w:pPr>
              <w:spacing w:after="0" w:before="0"/>
            </w:pPr>
            <w:r>
              <w:rPr>
                <w:rFonts w:ascii="Arial" w:cs="Arial" w:eastAsia="Arial" w:hAnsi="Arial"/>
                <w:color w:val="1F1F1F"/>
                <w:sz w:val="17"/>
                <w:szCs w:val="17"/>
              </w:rPr>
              <w:t xml:space="preserve">Anifrolumab (Saphnelo) capturing SLE patient share. Emerging CAR-T therapies for SLE showing durable complete remission — longer-term disruption risk.</w:t>
            </w:r>
          </w:p>
        </w:tc>
      </w:tr>
      <w:tr>
        <w:tc>
          <w:tcPr>
            <w:gridSpan w:val="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595959"/>
                <w:sz w:val="17"/>
                <w:szCs w:val="17"/>
              </w:rPr>
              <w:t xml:space="preserve">KEY EARNINGS / STRATEGIC QUOTE</w:t>
            </w:r>
          </w:p>
          <w:p>
            <w:pPr>
              <w:spacing w:after="0" w:before="0"/>
            </w:pPr>
            <w:r>
              <w:rPr>
                <w:rFonts w:ascii="Arial" w:cs="Arial" w:eastAsia="Arial" w:hAnsi="Arial"/>
                <w:color w:val="1F1F1F"/>
                <w:sz w:val="17"/>
                <w:szCs w:val="17"/>
              </w:rPr>
              <w:t xml:space="preserve">"Benlysta continued to grow by double-digit percentages in the full year, with bio-penetration rates increased across many markets." — GSK FY2024 Results (Jan 2025)</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Regeneron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Tier 2 — RA Specialist</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18"/>
                <w:szCs w:val="18"/>
              </w:rPr>
              <w:t xml:space="preserve">STRENGTHS</w:t>
            </w:r>
          </w:p>
          <w:p>
            <w:pPr>
              <w:spacing w:after="0" w:before="0"/>
            </w:pPr>
            <w:r>
              <w:rPr>
                <w:rFonts w:ascii="Arial" w:cs="Arial" w:eastAsia="Arial" w:hAnsi="Arial"/>
                <w:color w:val="1F1F1F"/>
                <w:sz w:val="17"/>
                <w:szCs w:val="17"/>
              </w:rPr>
              <w:t xml:space="preserve">Kevzara (sarilumab) approved IL-6R inhibitor in RA. VelocImmune platform is industry-leading for antibody discovery. Co-commercialization with Sanofi provides broader reach.</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60"/>
            </w:pPr>
            <w:r>
              <w:rPr>
                <w:rFonts w:ascii="Arial" w:cs="Arial" w:eastAsia="Arial" w:hAnsi="Arial"/>
                <w:b/>
                <w:bCs/>
                <w:color w:val="843C0C"/>
                <w:sz w:val="18"/>
                <w:szCs w:val="18"/>
              </w:rPr>
              <w:t xml:space="preserve">WEAKNESSES</w:t>
            </w:r>
          </w:p>
          <w:p>
            <w:pPr>
              <w:spacing w:after="0" w:before="0"/>
            </w:pPr>
            <w:r>
              <w:rPr>
                <w:rFonts w:ascii="Arial" w:cs="Arial" w:eastAsia="Arial" w:hAnsi="Arial"/>
                <w:color w:val="1F1F1F"/>
                <w:sz w:val="17"/>
                <w:szCs w:val="17"/>
              </w:rPr>
              <w:t xml:space="preserve">Only one drug in these 6 indications. Kevzara trails tocilizumab in global RA penetration. Limited immunology pipeline in these specific indications.</w:t>
            </w:r>
          </w:p>
        </w:tc>
      </w:tr>
      <w:tr>
        <w:tc>
          <w:tcPr>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pPr>
              <w:spacing w:after="60"/>
            </w:pPr>
            <w:r>
              <w:rPr>
                <w:rFonts w:ascii="Arial" w:cs="Arial" w:eastAsia="Arial" w:hAnsi="Arial"/>
                <w:b/>
                <w:bCs/>
                <w:color w:val="154360"/>
                <w:sz w:val="18"/>
                <w:szCs w:val="18"/>
              </w:rPr>
              <w:t xml:space="preserve">OPPORTUNITIES</w:t>
            </w:r>
          </w:p>
          <w:p>
            <w:pPr>
              <w:spacing w:after="0" w:before="0"/>
            </w:pPr>
            <w:r>
              <w:rPr>
                <w:rFonts w:ascii="Arial" w:cs="Arial" w:eastAsia="Arial" w:hAnsi="Arial"/>
                <w:color w:val="1F1F1F"/>
                <w:sz w:val="17"/>
                <w:szCs w:val="17"/>
              </w:rPr>
              <w:t xml:space="preserve">Sarilumab SC once-weekly differentiates vs tocilizumab (Q2W). Tocilizumab biosimilar entry may lift IL-6R class value vs biosimilar pricing. Dupixent platform learnings applicable.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7F6000"/>
                <w:sz w:val="18"/>
                <w:szCs w:val="18"/>
              </w:rPr>
              <w:t xml:space="preserve">THREATS</w:t>
            </w:r>
          </w:p>
          <w:p>
            <w:pPr>
              <w:spacing w:after="0" w:before="0"/>
            </w:pPr>
            <w:r>
              <w:rPr>
                <w:rFonts w:ascii="Arial" w:cs="Arial" w:eastAsia="Arial" w:hAnsi="Arial"/>
                <w:color w:val="1F1F1F"/>
                <w:sz w:val="17"/>
                <w:szCs w:val="17"/>
              </w:rPr>
              <w:t xml:space="preserve">Tocilizumab biosimilars entering US (2024) compressing IL-6R class pricing. JAKs and IL-23s displacing biologics in RA. Regeneron strategic focus is ophthalmology and oncology.</w:t>
            </w:r>
          </w:p>
        </w:tc>
      </w:tr>
      <w:tr>
        <w:tc>
          <w:tcPr>
            <w:gridSpan w:val="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595959"/>
                <w:sz w:val="17"/>
                <w:szCs w:val="17"/>
              </w:rPr>
              <w:t xml:space="preserve">KEY EARNINGS / STRATEGIC QUOTE</w:t>
            </w:r>
          </w:p>
          <w:p>
            <w:pPr>
              <w:spacing w:after="0" w:before="0"/>
            </w:pPr>
            <w:r>
              <w:rPr>
                <w:rFonts w:ascii="Arial" w:cs="Arial" w:eastAsia="Arial" w:hAnsi="Arial"/>
                <w:color w:val="1F1F1F"/>
                <w:sz w:val="17"/>
                <w:szCs w:val="17"/>
              </w:rPr>
              <w:t xml:space="preserve">"Kevzara continues to grow as we expand SC usage... we see the IL-6R class maintaining relevance in RA despite JAK competition." — Regeneron Q4 2024 / Sanofi Joint Commentary (Jan-Feb 2025)</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Sandoz</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Tier 2 — Biosimilar Specialist</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18"/>
                <w:szCs w:val="18"/>
              </w:rPr>
              <w:t xml:space="preserve">STRENGTHS</w:t>
            </w:r>
          </w:p>
          <w:p>
            <w:pPr>
              <w:spacing w:after="0" w:before="0"/>
            </w:pPr>
            <w:r>
              <w:rPr>
                <w:rFonts w:ascii="Arial" w:cs="Arial" w:eastAsia="Arial" w:hAnsi="Arial"/>
                <w:color w:val="1F1F1F"/>
                <w:sz w:val="17"/>
                <w:szCs w:val="17"/>
              </w:rPr>
              <w:t xml:space="preserve">Pure-play biosimilar leader (spun off from Novartis 2023). Hyrimoz (adalimumab), Erelzi (etanercept), and Zessly (infliximab) cover all TNF-dependent indications. Deep biologics manufacturing expertise.</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60"/>
            </w:pPr>
            <w:r>
              <w:rPr>
                <w:rFonts w:ascii="Arial" w:cs="Arial" w:eastAsia="Arial" w:hAnsi="Arial"/>
                <w:b/>
                <w:bCs/>
                <w:color w:val="843C0C"/>
                <w:sz w:val="18"/>
                <w:szCs w:val="18"/>
              </w:rPr>
              <w:t xml:space="preserve">WEAKNESSES</w:t>
            </w:r>
          </w:p>
          <w:p>
            <w:pPr>
              <w:spacing w:after="0" w:before="0"/>
            </w:pPr>
            <w:r>
              <w:rPr>
                <w:rFonts w:ascii="Arial" w:cs="Arial" w:eastAsia="Arial" w:hAnsi="Arial"/>
                <w:color w:val="1F1F1F"/>
                <w:sz w:val="17"/>
                <w:szCs w:val="17"/>
              </w:rPr>
              <w:t xml:space="preserve">No innovative pipeline — entirely biosimilar/generic dependent. Price erosion in the crowded adalimumab biosimilar market. Erelzi US launch delayed by patent litigation.</w:t>
            </w:r>
          </w:p>
        </w:tc>
      </w:tr>
      <w:tr>
        <w:tc>
          <w:tcPr>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pPr>
              <w:spacing w:after="60"/>
            </w:pPr>
            <w:r>
              <w:rPr>
                <w:rFonts w:ascii="Arial" w:cs="Arial" w:eastAsia="Arial" w:hAnsi="Arial"/>
                <w:b/>
                <w:bCs/>
                <w:color w:val="154360"/>
                <w:sz w:val="18"/>
                <w:szCs w:val="18"/>
              </w:rPr>
              <w:t xml:space="preserve">OPPORTUNITIES</w:t>
            </w:r>
          </w:p>
          <w:p>
            <w:pPr>
              <w:spacing w:after="0" w:before="0"/>
            </w:pPr>
            <w:r>
              <w:rPr>
                <w:rFonts w:ascii="Arial" w:cs="Arial" w:eastAsia="Arial" w:hAnsi="Arial"/>
                <w:color w:val="1F1F1F"/>
                <w:sz w:val="17"/>
                <w:szCs w:val="17"/>
              </w:rPr>
              <w:t xml:space="preserve">Vedolizumab (Entyvio) biosimilar in development — ~2028 US opportunity worth billions. Secukinumab biosimilar opportunity post-patent expiry. Strong emerging market access advantage.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7F6000"/>
                <w:sz w:val="18"/>
                <w:szCs w:val="18"/>
              </w:rPr>
              <w:t xml:space="preserve">THREATS</w:t>
            </w:r>
          </w:p>
          <w:p>
            <w:pPr>
              <w:spacing w:after="0" w:before="0"/>
            </w:pPr>
            <w:r>
              <w:rPr>
                <w:rFonts w:ascii="Arial" w:cs="Arial" w:eastAsia="Arial" w:hAnsi="Arial"/>
                <w:color w:val="1F1F1F"/>
                <w:sz w:val="17"/>
                <w:szCs w:val="17"/>
              </w:rPr>
              <w:t xml:space="preserve">Intense price competition from Amgen, Pfizer, and Samsung in adalimumab biosimilar market. Etanercept biosimilar US market constrained by Amgen Enbrel patents.</w:t>
            </w:r>
          </w:p>
        </w:tc>
      </w:tr>
      <w:tr>
        <w:tc>
          <w:tcPr>
            <w:gridSpan w:val="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595959"/>
                <w:sz w:val="17"/>
                <w:szCs w:val="17"/>
              </w:rPr>
              <w:t xml:space="preserve">KEY EARNINGS / STRATEGIC QUOTE</w:t>
            </w:r>
          </w:p>
          <w:p>
            <w:pPr>
              <w:spacing w:after="0" w:before="0"/>
            </w:pPr>
            <w:r>
              <w:rPr>
                <w:rFonts w:ascii="Arial" w:cs="Arial" w:eastAsia="Arial" w:hAnsi="Arial"/>
                <w:color w:val="1F1F1F"/>
                <w:sz w:val="17"/>
                <w:szCs w:val="17"/>
              </w:rPr>
              <w:t xml:space="preserve">"Sandoz is uniquely positioned as the global biosimilars leader, with a pipeline including molecules that will launch in the next 3-5 years." — Sandoz CEO Richard Saynor, Investor Day 2024</w:t>
            </w:r>
          </w:p>
        </w:tc>
      </w:tr>
    </w:tbl>
    <w:p>
      <w:pPr>
        <w:spacing w:after="0" w:before="0"/>
      </w:pPr>
      <w:r>
        <w:t xml:space="preserve"/>
      </w:r>
    </w:p>
    <w:p>
      <w:r>
        <w:br w:type="page"/>
      </w:r>
    </w:p>
    <w:p>
      <w:pPr>
        <w:pStyle w:val="Heading2"/>
        <w:spacing w:after="120" w:before="280"/>
      </w:pPr>
      <w:r>
        <w:rPr>
          <w:rFonts w:ascii="Arial" w:cs="Arial" w:eastAsia="Arial" w:hAnsi="Arial"/>
          <w:b/>
          <w:bCs/>
          <w:color w:val="2E75B6"/>
          <w:sz w:val="26"/>
          <w:szCs w:val="26"/>
        </w:rPr>
        <w:t xml:space="preserve">5.3  Tier 3 — Pipeline / Niche / Regional</w:t>
      </w:r>
    </w:p>
    <w:p>
      <w:pPr>
        <w:spacing w:after="60" w:before="60"/>
      </w:pPr>
      <w:r>
        <w:rPr>
          <w:rFonts w:ascii="Arial" w:cs="Arial" w:eastAsia="Arial" w:hAnsi="Arial"/>
          <w:color w:val="1F1F1F"/>
          <w:sz w:val="20"/>
          <w:szCs w:val="20"/>
        </w:rPr>
        <w:t xml:space="preserve">Companies with limited or no approved drugs in these indications, but with active pipeline or niche market positions.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Merck</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Tier 3 — Pipeline Only</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18"/>
                <w:szCs w:val="18"/>
              </w:rPr>
              <w:t xml:space="preserve">STRENGTHS</w:t>
            </w:r>
          </w:p>
          <w:p>
            <w:pPr>
              <w:spacing w:after="0" w:before="0"/>
            </w:pPr>
            <w:r>
              <w:rPr>
                <w:rFonts w:ascii="Arial" w:cs="Arial" w:eastAsia="Arial" w:hAnsi="Arial"/>
                <w:color w:val="1F1F1F"/>
                <w:sz w:val="17"/>
                <w:szCs w:val="17"/>
              </w:rPr>
              <w:t xml:space="preserve">Acquired Prometheus Biosciences (2023) to gain tulisokibart — an anti-TL1A with differentiated biomarker-based patient selection. Strong financial resources to fund broad Phase 3. No legacy product complexity.</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60"/>
            </w:pPr>
            <w:r>
              <w:rPr>
                <w:rFonts w:ascii="Arial" w:cs="Arial" w:eastAsia="Arial" w:hAnsi="Arial"/>
                <w:b/>
                <w:bCs/>
                <w:color w:val="843C0C"/>
                <w:sz w:val="18"/>
                <w:szCs w:val="18"/>
              </w:rPr>
              <w:t xml:space="preserve">WEAKNESSES</w:t>
            </w:r>
          </w:p>
          <w:p>
            <w:pPr>
              <w:spacing w:after="0" w:before="0"/>
            </w:pPr>
            <w:r>
              <w:rPr>
                <w:rFonts w:ascii="Arial" w:cs="Arial" w:eastAsia="Arial" w:hAnsi="Arial"/>
                <w:color w:val="1F1F1F"/>
                <w:sz w:val="17"/>
                <w:szCs w:val="17"/>
              </w:rPr>
              <w:t xml:space="preserve">Zero approved drugs in any of the 6 indications — purely a pipeline play. Late entrant. Unproven commercial infrastructure in immunology/gastroenterology.</w:t>
            </w:r>
          </w:p>
        </w:tc>
      </w:tr>
      <w:tr>
        <w:tc>
          <w:tcPr>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pPr>
              <w:spacing w:after="60"/>
            </w:pPr>
            <w:r>
              <w:rPr>
                <w:rFonts w:ascii="Arial" w:cs="Arial" w:eastAsia="Arial" w:hAnsi="Arial"/>
                <w:b/>
                <w:bCs/>
                <w:color w:val="154360"/>
                <w:sz w:val="18"/>
                <w:szCs w:val="18"/>
              </w:rPr>
              <w:t xml:space="preserve">OPPORTUNITIES</w:t>
            </w:r>
          </w:p>
          <w:p>
            <w:pPr>
              <w:spacing w:after="0" w:before="0"/>
            </w:pPr>
            <w:r>
              <w:rPr>
                <w:rFonts w:ascii="Arial" w:cs="Arial" w:eastAsia="Arial" w:hAnsi="Arial"/>
                <w:color w:val="1F1F1F"/>
                <w:sz w:val="17"/>
                <w:szCs w:val="17"/>
              </w:rPr>
              <w:t xml:space="preserve">Anti-TL1A is a new MOA class in IBD — potential best-in-class if biomarker strategy works. RA Phase 2b could open a third indication. Companion diagnostic approach supports premium pricing.</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7F6000"/>
                <w:sz w:val="18"/>
                <w:szCs w:val="18"/>
              </w:rPr>
              <w:t xml:space="preserve">THREATS</w:t>
            </w:r>
          </w:p>
          <w:p>
            <w:pPr>
              <w:spacing w:after="0" w:before="0"/>
            </w:pPr>
            <w:r>
              <w:rPr>
                <w:rFonts w:ascii="Arial" w:cs="Arial" w:eastAsia="Arial" w:hAnsi="Arial"/>
                <w:color w:val="1F1F1F"/>
                <w:sz w:val="17"/>
                <w:szCs w:val="17"/>
              </w:rPr>
              <w:t xml:space="preserve">Sanofi/Teva duvakitug competing directly in anti-TL1A Phase 3. If mechanism underperforms broadly, first-mover advantage is lost. IBD market already crowded.</w:t>
            </w:r>
          </w:p>
        </w:tc>
      </w:tr>
      <w:tr>
        <w:tc>
          <w:tcPr>
            <w:gridSpan w:val="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595959"/>
                <w:sz w:val="17"/>
                <w:szCs w:val="17"/>
              </w:rPr>
              <w:t xml:space="preserve">KEY EARNINGS / STRATEGIC QUOTE</w:t>
            </w:r>
          </w:p>
          <w:p>
            <w:pPr>
              <w:spacing w:after="0" w:before="0"/>
            </w:pPr>
            <w:r>
              <w:rPr>
                <w:rFonts w:ascii="Arial" w:cs="Arial" w:eastAsia="Arial" w:hAnsi="Arial"/>
                <w:color w:val="1F1F1F"/>
                <w:sz w:val="17"/>
                <w:szCs w:val="17"/>
              </w:rPr>
              <w:t xml:space="preserve">"We acquired Prometheus to bring precision medicine to immunology... tulisokibart's TL1A mechanism has shown strong proof-of-concept." — Merck management, Prometheus acquisition communications (2023)</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Gilead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Tier 3 — Limited Presence</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18"/>
                <w:szCs w:val="18"/>
              </w:rPr>
              <w:t xml:space="preserve">STRENGTHS</w:t>
            </w:r>
          </w:p>
          <w:p>
            <w:pPr>
              <w:spacing w:after="0" w:before="0"/>
            </w:pPr>
            <w:r>
              <w:rPr>
                <w:rFonts w:ascii="Arial" w:cs="Arial" w:eastAsia="Arial" w:hAnsi="Arial"/>
                <w:color w:val="1F1F1F"/>
                <w:sz w:val="17"/>
                <w:szCs w:val="17"/>
              </w:rPr>
              <w:t xml:space="preserve">Filgotinib JAK1-selective profile reduces theoretical off-target effects. Approved in EU/Japan for RA and UC. Strong overall company financials to invest in the space.</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60"/>
            </w:pPr>
            <w:r>
              <w:rPr>
                <w:rFonts w:ascii="Arial" w:cs="Arial" w:eastAsia="Arial" w:hAnsi="Arial"/>
                <w:b/>
                <w:bCs/>
                <w:color w:val="843C0C"/>
                <w:sz w:val="18"/>
                <w:szCs w:val="18"/>
              </w:rPr>
              <w:t xml:space="preserve">WEAKNESSES</w:t>
            </w:r>
          </w:p>
          <w:p>
            <w:pPr>
              <w:spacing w:after="0" w:before="0"/>
            </w:pPr>
            <w:r>
              <w:rPr>
                <w:rFonts w:ascii="Arial" w:cs="Arial" w:eastAsia="Arial" w:hAnsi="Arial"/>
                <w:color w:val="1F1F1F"/>
                <w:sz w:val="17"/>
                <w:szCs w:val="17"/>
              </w:rPr>
              <w:t xml:space="preserve">FDA rejected filgotinib for US RA — the largest single market is excluded. Galapagos partnership restructured/dissolved, limiting pipeline support. Limited immunology pipeline in these specific indications.</w:t>
            </w:r>
          </w:p>
        </w:tc>
      </w:tr>
      <w:tr>
        <w:tc>
          <w:tcPr>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pPr>
              <w:spacing w:after="60"/>
            </w:pPr>
            <w:r>
              <w:rPr>
                <w:rFonts w:ascii="Arial" w:cs="Arial" w:eastAsia="Arial" w:hAnsi="Arial"/>
                <w:b/>
                <w:bCs/>
                <w:color w:val="154360"/>
                <w:sz w:val="18"/>
                <w:szCs w:val="18"/>
              </w:rPr>
              <w:t xml:space="preserve">OPPORTUNITIES</w:t>
            </w:r>
          </w:p>
          <w:p>
            <w:pPr>
              <w:spacing w:after="0" w:before="0"/>
            </w:pPr>
            <w:r>
              <w:rPr>
                <w:rFonts w:ascii="Arial" w:cs="Arial" w:eastAsia="Arial" w:hAnsi="Arial"/>
                <w:color w:val="1F1F1F"/>
                <w:sz w:val="17"/>
                <w:szCs w:val="17"/>
              </w:rPr>
              <w:t xml:space="preserve">Potential US resubmission for filgotinib with new data. JAK1-selectivity narrative could find a niche if safety data differentiates. Strong cash flow from HIV/oncology can fund immunology investment.</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7F6000"/>
                <w:sz w:val="18"/>
                <w:szCs w:val="18"/>
              </w:rPr>
              <w:t xml:space="preserve">THREATS</w:t>
            </w:r>
          </w:p>
          <w:p>
            <w:pPr>
              <w:spacing w:after="0" w:before="0"/>
            </w:pPr>
            <w:r>
              <w:rPr>
                <w:rFonts w:ascii="Arial" w:cs="Arial" w:eastAsia="Arial" w:hAnsi="Arial"/>
                <w:color w:val="1F1F1F"/>
                <w:sz w:val="17"/>
                <w:szCs w:val="17"/>
              </w:rPr>
              <w:t xml:space="preserve">JAK inhibitor black-box class label concerns persist. AbbVie Rinvoq dominant with deeper label and data package across multiple indications.</w:t>
            </w:r>
          </w:p>
        </w:tc>
      </w:tr>
      <w:tr>
        <w:tc>
          <w:tcPr>
            <w:gridSpan w:val="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595959"/>
                <w:sz w:val="17"/>
                <w:szCs w:val="17"/>
              </w:rPr>
              <w:t xml:space="preserve">KEY EARNINGS / STRATEGIC QUOTE</w:t>
            </w:r>
          </w:p>
          <w:p>
            <w:pPr>
              <w:spacing w:after="0" w:before="0"/>
            </w:pPr>
            <w:r>
              <w:rPr>
                <w:rFonts w:ascii="Arial" w:cs="Arial" w:eastAsia="Arial" w:hAnsi="Arial"/>
                <w:color w:val="1F1F1F"/>
                <w:sz w:val="17"/>
                <w:szCs w:val="17"/>
              </w:rPr>
              <w:t xml:space="preserve">"We remain committed to our EU immunology franchise while evaluating options for US market expansion." — Gilead commentary on filgotinib (investor events, 2024)</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Boehringer Ingelheim</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Tier 3 — Niche Derm</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18"/>
                <w:szCs w:val="18"/>
              </w:rPr>
              <w:t xml:space="preserve">STRENGTHS</w:t>
            </w:r>
          </w:p>
          <w:p>
            <w:pPr>
              <w:spacing w:after="0" w:before="0"/>
            </w:pPr>
            <w:r>
              <w:rPr>
                <w:rFonts w:ascii="Arial" w:cs="Arial" w:eastAsia="Arial" w:hAnsi="Arial"/>
                <w:color w:val="1F1F1F"/>
                <w:sz w:val="17"/>
                <w:szCs w:val="17"/>
              </w:rPr>
              <w:t xml:space="preserve">Spevigo (spesolimab) is the first and only IL-36R inhibitor — entirely novel MOA. Approved for GPP (a severe, life-threatening psoriasis variant). Private company allows long-term investment without quarterly pressure.</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60"/>
            </w:pPr>
            <w:r>
              <w:rPr>
                <w:rFonts w:ascii="Arial" w:cs="Arial" w:eastAsia="Arial" w:hAnsi="Arial"/>
                <w:b/>
                <w:bCs/>
                <w:color w:val="843C0C"/>
                <w:sz w:val="18"/>
                <w:szCs w:val="18"/>
              </w:rPr>
              <w:t xml:space="preserve">WEAKNESSES</w:t>
            </w:r>
          </w:p>
          <w:p>
            <w:pPr>
              <w:spacing w:after="0" w:before="0"/>
            </w:pPr>
            <w:r>
              <w:rPr>
                <w:rFonts w:ascii="Arial" w:cs="Arial" w:eastAsia="Arial" w:hAnsi="Arial"/>
                <w:color w:val="1F1F1F"/>
                <w:sz w:val="17"/>
                <w:szCs w:val="17"/>
              </w:rPr>
              <w:t xml:space="preserve">GPP is a rare/orphan-adjacent indication with limited commercial scale. Not yet approved in standard plaque psoriasis. Phase 2 only in broader derm and IBD. No presence in RA/SLE/PsA.</w:t>
            </w:r>
          </w:p>
        </w:tc>
      </w:tr>
      <w:tr>
        <w:tc>
          <w:tcPr>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pPr>
              <w:spacing w:after="60"/>
            </w:pPr>
            <w:r>
              <w:rPr>
                <w:rFonts w:ascii="Arial" w:cs="Arial" w:eastAsia="Arial" w:hAnsi="Arial"/>
                <w:b/>
                <w:bCs/>
                <w:color w:val="154360"/>
                <w:sz w:val="18"/>
                <w:szCs w:val="18"/>
              </w:rPr>
              <w:t xml:space="preserve">OPPORTUNITIES</w:t>
            </w:r>
          </w:p>
          <w:p>
            <w:pPr>
              <w:spacing w:after="0" w:before="0"/>
            </w:pPr>
            <w:r>
              <w:rPr>
                <w:rFonts w:ascii="Arial" w:cs="Arial" w:eastAsia="Arial" w:hAnsi="Arial"/>
                <w:color w:val="1F1F1F"/>
                <w:sz w:val="17"/>
                <w:szCs w:val="17"/>
              </w:rPr>
              <w:t xml:space="preserve">Spesolimab Phase 2 in plaque psoriasis and UC — if successful, expands into mainstream markets. IL-36 pathway is underexplored in IBD — differentiation potential.</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7F6000"/>
                <w:sz w:val="18"/>
                <w:szCs w:val="18"/>
              </w:rPr>
              <w:t xml:space="preserve">THREATS</w:t>
            </w:r>
          </w:p>
          <w:p>
            <w:pPr>
              <w:spacing w:after="0" w:before="0"/>
            </w:pPr>
            <w:r>
              <w:rPr>
                <w:rFonts w:ascii="Arial" w:cs="Arial" w:eastAsia="Arial" w:hAnsi="Arial"/>
                <w:color w:val="1F1F1F"/>
                <w:sz w:val="17"/>
                <w:szCs w:val="17"/>
              </w:rPr>
              <w:t xml:space="preserve">Very small GPP addressable market. Competing against entrenched biologics if expanding into plaque psoriasis. BI lacks immunology commercial scale vs J&amp;J/AbbVie.</w:t>
            </w:r>
          </w:p>
        </w:tc>
      </w:tr>
      <w:tr>
        <w:tc>
          <w:tcPr>
            <w:gridSpan w:val="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595959"/>
                <w:sz w:val="17"/>
                <w:szCs w:val="17"/>
              </w:rPr>
              <w:t xml:space="preserve">KEY EARNINGS / STRATEGIC QUOTE</w:t>
            </w:r>
          </w:p>
          <w:p>
            <w:pPr>
              <w:spacing w:after="0" w:before="0"/>
            </w:pPr>
            <w:r>
              <w:rPr>
                <w:rFonts w:ascii="Arial" w:cs="Arial" w:eastAsia="Arial" w:hAnsi="Arial"/>
                <w:color w:val="1F1F1F"/>
                <w:sz w:val="17"/>
                <w:szCs w:val="17"/>
              </w:rPr>
              <w:t xml:space="preserve">N/A — Boehringer Ingelheim is a private company. Phase 2 data in broader psoriasis expected 2025-2026. (Medical congress communications)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Teva</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Tier 3 — Pipeline Only</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18"/>
                <w:szCs w:val="18"/>
              </w:rPr>
              <w:t xml:space="preserve">STRENGTHS</w:t>
            </w:r>
          </w:p>
          <w:p>
            <w:pPr>
              <w:spacing w:after="0" w:before="0"/>
            </w:pPr>
            <w:r>
              <w:rPr>
                <w:rFonts w:ascii="Arial" w:cs="Arial" w:eastAsia="Arial" w:hAnsi="Arial"/>
                <w:color w:val="1F1F1F"/>
                <w:sz w:val="17"/>
                <w:szCs w:val="17"/>
              </w:rPr>
              <w:t xml:space="preserve">Duvakitug partnership with Sanofi — Sanofi's commercial scale and payer relationships de-risk launch. Global generics infrastructure enables cost-efficient manufacturing. Anti-TL1A is a genuine new class in IBD.</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60"/>
            </w:pPr>
            <w:r>
              <w:rPr>
                <w:rFonts w:ascii="Arial" w:cs="Arial" w:eastAsia="Arial" w:hAnsi="Arial"/>
                <w:b/>
                <w:bCs/>
                <w:color w:val="843C0C"/>
                <w:sz w:val="18"/>
                <w:szCs w:val="18"/>
              </w:rPr>
              <w:t xml:space="preserve">WEAKNESSES</w:t>
            </w:r>
          </w:p>
          <w:p>
            <w:pPr>
              <w:spacing w:after="0" w:before="0"/>
            </w:pPr>
            <w:r>
              <w:rPr>
                <w:rFonts w:ascii="Arial" w:cs="Arial" w:eastAsia="Arial" w:hAnsi="Arial"/>
                <w:color w:val="1F1F1F"/>
                <w:sz w:val="17"/>
                <w:szCs w:val="17"/>
              </w:rPr>
              <w:t xml:space="preserve">No approved biologics in these 6 indications. Not known as an immunology innovator. Sanofi leads the partnership — Teva's commercial role is limited.</w:t>
            </w:r>
          </w:p>
        </w:tc>
      </w:tr>
      <w:tr>
        <w:tc>
          <w:tcPr>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pPr>
              <w:spacing w:after="60"/>
            </w:pPr>
            <w:r>
              <w:rPr>
                <w:rFonts w:ascii="Arial" w:cs="Arial" w:eastAsia="Arial" w:hAnsi="Arial"/>
                <w:b/>
                <w:bCs/>
                <w:color w:val="154360"/>
                <w:sz w:val="18"/>
                <w:szCs w:val="18"/>
              </w:rPr>
              <w:t xml:space="preserve">OPPORTUNITIES</w:t>
            </w:r>
          </w:p>
          <w:p>
            <w:pPr>
              <w:spacing w:after="0" w:before="0"/>
            </w:pPr>
            <w:r>
              <w:rPr>
                <w:rFonts w:ascii="Arial" w:cs="Arial" w:eastAsia="Arial" w:hAnsi="Arial"/>
                <w:color w:val="1F1F1F"/>
                <w:sz w:val="17"/>
                <w:szCs w:val="17"/>
              </w:rPr>
              <w:t xml:space="preserve">If duvakitug succeeds in Phase 3 UC and CD, it could be Teva's first major immunology biologic. Partnership structure means Teva shares upside without bearing full development cost.</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7F6000"/>
                <w:sz w:val="18"/>
                <w:szCs w:val="18"/>
              </w:rPr>
              <w:t xml:space="preserve">THREATS</w:t>
            </w:r>
          </w:p>
          <w:p>
            <w:pPr>
              <w:spacing w:after="0" w:before="0"/>
            </w:pPr>
            <w:r>
              <w:rPr>
                <w:rFonts w:ascii="Arial" w:cs="Arial" w:eastAsia="Arial" w:hAnsi="Arial"/>
                <w:color w:val="1F1F1F"/>
                <w:sz w:val="17"/>
                <w:szCs w:val="17"/>
              </w:rPr>
              <w:t xml:space="preserve">Merck tulisokibart is a direct Phase 3 competitor. Anti-TL1A mechanism unproven in large Phase 3 trials. Partnership execution risk.</w:t>
            </w:r>
          </w:p>
        </w:tc>
      </w:tr>
      <w:tr>
        <w:tc>
          <w:tcPr>
            <w:gridSpan w:val="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595959"/>
                <w:sz w:val="17"/>
                <w:szCs w:val="17"/>
              </w:rPr>
              <w:t xml:space="preserve">KEY EARNINGS / STRATEGIC QUOTE</w:t>
            </w:r>
          </w:p>
          <w:p>
            <w:pPr>
              <w:spacing w:after="0" w:before="0"/>
            </w:pPr>
            <w:r>
              <w:rPr>
                <w:rFonts w:ascii="Arial" w:cs="Arial" w:eastAsia="Arial" w:hAnsi="Arial"/>
                <w:color w:val="1F1F1F"/>
                <w:sz w:val="17"/>
                <w:szCs w:val="17"/>
              </w:rPr>
              <w:t xml:space="preserve">"Duvakitug is a potentially transformative anti-TL1A for inflammatory bowel disease... Phase 3 program initiated." — Sanofi/Teva Joint Press Release (Dec 2024)</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Viatris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Tier 3 — Biosimilar Play</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18"/>
                <w:szCs w:val="18"/>
              </w:rPr>
              <w:t xml:space="preserve">STRENGTHS</w:t>
            </w:r>
          </w:p>
          <w:p>
            <w:pPr>
              <w:spacing w:after="0" w:before="0"/>
            </w:pPr>
            <w:r>
              <w:rPr>
                <w:rFonts w:ascii="Arial" w:cs="Arial" w:eastAsia="Arial" w:hAnsi="Arial"/>
                <w:color w:val="1F1F1F"/>
                <w:sz w:val="17"/>
                <w:szCs w:val="17"/>
              </w:rPr>
              <w:t xml:space="preserve">Hulio (adalimumab biosimilar) covers 5 of 6 indications. Cenerimod (S1P1) Phase 3 SLE via Idorsia partnership provides innovative upside. Global biosimilar commercial network across emerging markets.</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60"/>
            </w:pPr>
            <w:r>
              <w:rPr>
                <w:rFonts w:ascii="Arial" w:cs="Arial" w:eastAsia="Arial" w:hAnsi="Arial"/>
                <w:b/>
                <w:bCs/>
                <w:color w:val="843C0C"/>
                <w:sz w:val="18"/>
                <w:szCs w:val="18"/>
              </w:rPr>
              <w:t xml:space="preserve">WEAKNESSES</w:t>
            </w:r>
          </w:p>
          <w:p>
            <w:pPr>
              <w:spacing w:after="0" w:before="0"/>
            </w:pPr>
            <w:r>
              <w:rPr>
                <w:rFonts w:ascii="Arial" w:cs="Arial" w:eastAsia="Arial" w:hAnsi="Arial"/>
                <w:color w:val="1F1F1F"/>
                <w:sz w:val="17"/>
                <w:szCs w:val="17"/>
              </w:rPr>
              <w:t xml:space="preserve">Biosimilar-first strategy means limited pricing power and eroding margins. Cenerimod is pure pipeline risk. No innovative branded immunology portfolio.</w:t>
            </w:r>
          </w:p>
        </w:tc>
      </w:tr>
      <w:tr>
        <w:tc>
          <w:tcPr>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pPr>
              <w:spacing w:after="60"/>
            </w:pPr>
            <w:r>
              <w:rPr>
                <w:rFonts w:ascii="Arial" w:cs="Arial" w:eastAsia="Arial" w:hAnsi="Arial"/>
                <w:b/>
                <w:bCs/>
                <w:color w:val="154360"/>
                <w:sz w:val="18"/>
                <w:szCs w:val="18"/>
              </w:rPr>
              <w:t xml:space="preserve">OPPORTUNITIES</w:t>
            </w:r>
          </w:p>
          <w:p>
            <w:pPr>
              <w:spacing w:after="0" w:before="0"/>
            </w:pPr>
            <w:r>
              <w:rPr>
                <w:rFonts w:ascii="Arial" w:cs="Arial" w:eastAsia="Arial" w:hAnsi="Arial"/>
                <w:color w:val="1F1F1F"/>
                <w:sz w:val="17"/>
                <w:szCs w:val="17"/>
              </w:rPr>
              <w:t xml:space="preserve">Biosimilar market for adalimumab continuing to grow as Humira loses share. Cenerimod S1P1 mechanism could carve a niche in SLE if approved.</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7F6000"/>
                <w:sz w:val="18"/>
                <w:szCs w:val="18"/>
              </w:rPr>
              <w:t xml:space="preserve">THREATS</w:t>
            </w:r>
          </w:p>
          <w:p>
            <w:pPr>
              <w:spacing w:after="0" w:before="0"/>
            </w:pPr>
            <w:r>
              <w:rPr>
                <w:rFonts w:ascii="Arial" w:cs="Arial" w:eastAsia="Arial" w:hAnsi="Arial"/>
                <w:color w:val="1F1F1F"/>
                <w:sz w:val="17"/>
                <w:szCs w:val="17"/>
              </w:rPr>
              <w:t xml:space="preserve">10+ competing adalimumab biosimilars commoditizing Hulio. Cenerimod Phase 3 failure risk. Viatris overall strategic direction still unclear post-merger.</w:t>
            </w:r>
          </w:p>
        </w:tc>
      </w:tr>
      <w:tr>
        <w:tc>
          <w:tcPr>
            <w:gridSpan w:val="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595959"/>
                <w:sz w:val="17"/>
                <w:szCs w:val="17"/>
              </w:rPr>
              <w:t xml:space="preserve">KEY EARNINGS / STRATEGIC QUOTE</w:t>
            </w:r>
          </w:p>
          <w:p>
            <w:pPr>
              <w:spacing w:after="0" w:before="0"/>
            </w:pPr>
            <w:r>
              <w:rPr>
                <w:rFonts w:ascii="Arial" w:cs="Arial" w:eastAsia="Arial" w:hAnsi="Arial"/>
                <w:color w:val="1F1F1F"/>
                <w:sz w:val="17"/>
                <w:szCs w:val="17"/>
              </w:rPr>
              <w:t xml:space="preserve">"Our biosimilar portfolio provides affordable access to critical treatments... cenerimod represents our innovative upside in autoimmune." — Viatris strategic communications, 2024</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Astellas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Tier 3 — Regional</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18"/>
                <w:szCs w:val="18"/>
              </w:rPr>
              <w:t xml:space="preserve">STRENGTHS</w:t>
            </w:r>
          </w:p>
          <w:p>
            <w:pPr>
              <w:spacing w:after="0" w:before="0"/>
            </w:pPr>
            <w:r>
              <w:rPr>
                <w:rFonts w:ascii="Arial" w:cs="Arial" w:eastAsia="Arial" w:hAnsi="Arial"/>
                <w:color w:val="1F1F1F"/>
                <w:sz w:val="17"/>
                <w:szCs w:val="17"/>
              </w:rPr>
              <w:t xml:space="preserve">Peficitinib approved in Japan/Asia for RA — establishes regional brand. Pan-JAK mechanism addresses broad cytokine profile. Growing Asia-Pacific specialty pharma footprint.</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60"/>
            </w:pPr>
            <w:r>
              <w:rPr>
                <w:rFonts w:ascii="Arial" w:cs="Arial" w:eastAsia="Arial" w:hAnsi="Arial"/>
                <w:b/>
                <w:bCs/>
                <w:color w:val="843C0C"/>
                <w:sz w:val="18"/>
                <w:szCs w:val="18"/>
              </w:rPr>
              <w:t xml:space="preserve">WEAKNESSES</w:t>
            </w:r>
          </w:p>
          <w:p>
            <w:pPr>
              <w:spacing w:after="0" w:before="0"/>
            </w:pPr>
            <w:r>
              <w:rPr>
                <w:rFonts w:ascii="Arial" w:cs="Arial" w:eastAsia="Arial" w:hAnsi="Arial"/>
                <w:color w:val="1F1F1F"/>
                <w:sz w:val="17"/>
                <w:szCs w:val="17"/>
              </w:rPr>
              <w:t xml:space="preserve">No US or EU approval. Single indication in a single region. Pan-JAK selectivity profile may carry higher safety concern vs selective JAK1.</w:t>
            </w:r>
          </w:p>
        </w:tc>
      </w:tr>
      <w:tr>
        <w:tc>
          <w:tcPr>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pPr>
              <w:spacing w:after="60"/>
            </w:pPr>
            <w:r>
              <w:rPr>
                <w:rFonts w:ascii="Arial" w:cs="Arial" w:eastAsia="Arial" w:hAnsi="Arial"/>
                <w:b/>
                <w:bCs/>
                <w:color w:val="154360"/>
                <w:sz w:val="18"/>
                <w:szCs w:val="18"/>
              </w:rPr>
              <w:t xml:space="preserve">OPPORTUNITIES</w:t>
            </w:r>
          </w:p>
          <w:p>
            <w:pPr>
              <w:spacing w:after="0" w:before="0"/>
            </w:pPr>
            <w:r>
              <w:rPr>
                <w:rFonts w:ascii="Arial" w:cs="Arial" w:eastAsia="Arial" w:hAnsi="Arial"/>
                <w:color w:val="1F1F1F"/>
                <w:sz w:val="17"/>
                <w:szCs w:val="17"/>
              </w:rPr>
              <w:t xml:space="preserve">Pan-JAK efficacy in Asian RA patients demonstrated. Potential for global regulatory submissions. Astellas-Vir bispecific collaboration expands immunology competency.</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7F6000"/>
                <w:sz w:val="18"/>
                <w:szCs w:val="18"/>
              </w:rPr>
              <w:t xml:space="preserve">THREATS</w:t>
            </w:r>
          </w:p>
          <w:p>
            <w:pPr>
              <w:spacing w:after="0" w:before="0"/>
            </w:pPr>
            <w:r>
              <w:rPr>
                <w:rFonts w:ascii="Arial" w:cs="Arial" w:eastAsia="Arial" w:hAnsi="Arial"/>
                <w:color w:val="1F1F1F"/>
                <w:sz w:val="17"/>
                <w:szCs w:val="17"/>
              </w:rPr>
              <w:t xml:space="preserve">Multiple competitive JAK inhibitors with deeper global data packages (Rinvoq, Olumiant). US/EU regulatory hurdles for pan-JAK class. Astellas priority is urology and oncology.</w:t>
            </w:r>
          </w:p>
        </w:tc>
      </w:tr>
      <w:tr>
        <w:tc>
          <w:tcPr>
            <w:gridSpan w:val="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595959"/>
                <w:sz w:val="17"/>
                <w:szCs w:val="17"/>
              </w:rPr>
              <w:t xml:space="preserve">KEY EARNINGS / STRATEGIC QUOTE</w:t>
            </w:r>
          </w:p>
          <w:p>
            <w:pPr>
              <w:spacing w:after="0" w:before="0"/>
            </w:pPr>
            <w:r>
              <w:rPr>
                <w:rFonts w:ascii="Arial" w:cs="Arial" w:eastAsia="Arial" w:hAnsi="Arial"/>
                <w:color w:val="1F1F1F"/>
                <w:sz w:val="17"/>
                <w:szCs w:val="17"/>
              </w:rPr>
              <w:t xml:space="preserve">N/A — Astellas does not hold public earnings calls. Japanese FY2024 materials reference peficitinib as a stable Japan revenue contributor.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Sun Pharma</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Tier 3 — Niche Derm</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18"/>
                <w:szCs w:val="18"/>
              </w:rPr>
              <w:t xml:space="preserve">STRENGTHS</w:t>
            </w:r>
          </w:p>
          <w:p>
            <w:pPr>
              <w:spacing w:after="0" w:before="0"/>
            </w:pPr>
            <w:r>
              <w:rPr>
                <w:rFonts w:ascii="Arial" w:cs="Arial" w:eastAsia="Arial" w:hAnsi="Arial"/>
                <w:color w:val="1F1F1F"/>
                <w:sz w:val="17"/>
                <w:szCs w:val="17"/>
              </w:rPr>
              <w:t xml:space="preserve">Ilumya (tildrakizumab) approved IL-23 for plaque psoriasis (US, EU, AU). Growing specialty pharma focus. Dermatology commercial footprint. Competitive pricing vs higher-cost IL-23s.</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60"/>
            </w:pPr>
            <w:r>
              <w:rPr>
                <w:rFonts w:ascii="Arial" w:cs="Arial" w:eastAsia="Arial" w:hAnsi="Arial"/>
                <w:b/>
                <w:bCs/>
                <w:color w:val="843C0C"/>
                <w:sz w:val="18"/>
                <w:szCs w:val="18"/>
              </w:rPr>
              <w:t xml:space="preserve">WEAKNESSES</w:t>
            </w:r>
          </w:p>
          <w:p>
            <w:pPr>
              <w:spacing w:after="0" w:before="0"/>
            </w:pPr>
            <w:r>
              <w:rPr>
                <w:rFonts w:ascii="Arial" w:cs="Arial" w:eastAsia="Arial" w:hAnsi="Arial"/>
                <w:color w:val="1F1F1F"/>
                <w:sz w:val="17"/>
                <w:szCs w:val="17"/>
              </w:rPr>
              <w:t xml:space="preserve">Single approved drug in one indication. Moderate efficacy profile vs newer IL-23s (Skyrizi, Tremfya). Limited pipeline. Modest global commercial scale vs Big Pharma.</w:t>
            </w:r>
          </w:p>
        </w:tc>
      </w:tr>
      <w:tr>
        <w:tc>
          <w:tcPr>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pPr>
              <w:spacing w:after="60"/>
            </w:pPr>
            <w:r>
              <w:rPr>
                <w:rFonts w:ascii="Arial" w:cs="Arial" w:eastAsia="Arial" w:hAnsi="Arial"/>
                <w:b/>
                <w:bCs/>
                <w:color w:val="154360"/>
                <w:sz w:val="18"/>
                <w:szCs w:val="18"/>
              </w:rPr>
              <w:t xml:space="preserve">OPPORTUNITIES</w:t>
            </w:r>
          </w:p>
          <w:p>
            <w:pPr>
              <w:spacing w:after="0" w:before="0"/>
            </w:pPr>
            <w:r>
              <w:rPr>
                <w:rFonts w:ascii="Arial" w:cs="Arial" w:eastAsia="Arial" w:hAnsi="Arial"/>
                <w:color w:val="1F1F1F"/>
                <w:sz w:val="17"/>
                <w:szCs w:val="17"/>
              </w:rPr>
              <w:t xml:space="preserve">Ilumya expansion into PsA (Phase 3 data published). Emerging market dermatology growth is substantial. Partnering/licensing other MOAs to build out the pipeline.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7F6000"/>
                <w:sz w:val="18"/>
                <w:szCs w:val="18"/>
              </w:rPr>
              <w:t xml:space="preserve">THREATS</w:t>
            </w:r>
          </w:p>
          <w:p>
            <w:pPr>
              <w:spacing w:after="0" w:before="0"/>
            </w:pPr>
            <w:r>
              <w:rPr>
                <w:rFonts w:ascii="Arial" w:cs="Arial" w:eastAsia="Arial" w:hAnsi="Arial"/>
                <w:color w:val="1F1F1F"/>
                <w:sz w:val="17"/>
                <w:szCs w:val="17"/>
              </w:rPr>
              <w:t xml:space="preserve">Entrenched competition from Skyrizi and Tremfya with deeper clinical data. Market consolidating around top 3-4 IL-23s. TNF biosimilars often the first switch reducing biologic-naive pool.</w:t>
            </w:r>
          </w:p>
        </w:tc>
      </w:tr>
      <w:tr>
        <w:tc>
          <w:tcPr>
            <w:gridSpan w:val="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595959"/>
                <w:sz w:val="17"/>
                <w:szCs w:val="17"/>
              </w:rPr>
              <w:t xml:space="preserve">KEY EARNINGS / STRATEGIC QUOTE</w:t>
            </w:r>
          </w:p>
          <w:p>
            <w:pPr>
              <w:spacing w:after="0" w:before="0"/>
            </w:pPr>
            <w:r>
              <w:rPr>
                <w:rFonts w:ascii="Arial" w:cs="Arial" w:eastAsia="Arial" w:hAnsi="Arial"/>
                <w:color w:val="1F1F1F"/>
                <w:sz w:val="17"/>
                <w:szCs w:val="17"/>
              </w:rPr>
              <w:t xml:space="preserve">"Ilumya continues to show strong real-world outcomes in plaque psoriasis... we are exploring expansion into psoriatic arthritis." — Sun Pharma Specialty Pharma Commentary, FY2024</w:t>
            </w:r>
          </w:p>
        </w:tc>
      </w:tr>
    </w:tbl>
    <w:p>
      <w:pPr>
        <w:spacing w:after="0" w:before="0"/>
      </w:pPr>
      <w:r>
        <w:t xml:space="preserve"/>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6. Strategic Watch List — Key Catalysts 2025-2027</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800"/>
        <w:gridCol w:w="3560"/>
      </w:tblGrid>
      <w:tr>
        <w:trPr>
          <w:tblHeader/>
        </w:trPr>
        <w:tc>
          <w:tcPr>
            <w:gridSpan w:val="1"/>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0" w:before="0"/>
              <w:jc w:val="left"/>
            </w:pPr>
            <w:r>
              <w:rPr>
                <w:rFonts w:ascii="Arial" w:cs="Arial" w:eastAsia="Arial" w:hAnsi="Arial"/>
                <w:b/>
                <w:bCs/>
                <w:color w:val="FFFFFF"/>
                <w:sz w:val="18"/>
                <w:szCs w:val="18"/>
              </w:rPr>
              <w:t xml:space="preserve">Drug / Program</w:t>
            </w:r>
          </w:p>
        </w:tc>
        <w:tc>
          <w:tcPr>
            <w:gridSpan w:val="1"/>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0" w:before="0"/>
              <w:jc w:val="left"/>
            </w:pPr>
            <w:r>
              <w:rPr>
                <w:rFonts w:ascii="Arial" w:cs="Arial" w:eastAsia="Arial" w:hAnsi="Arial"/>
                <w:b/>
                <w:bCs/>
                <w:color w:val="FFFFFF"/>
                <w:sz w:val="18"/>
                <w:szCs w:val="18"/>
              </w:rPr>
              <w:t xml:space="preserve">Company</w:t>
            </w:r>
          </w:p>
        </w:tc>
        <w:tc>
          <w:tcPr>
            <w:gridSpan w:val="1"/>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0" w:before="0"/>
              <w:jc w:val="left"/>
            </w:pPr>
            <w:r>
              <w:rPr>
                <w:rFonts w:ascii="Arial" w:cs="Arial" w:eastAsia="Arial" w:hAnsi="Arial"/>
                <w:b/>
                <w:bCs/>
                <w:color w:val="FFFFFF"/>
                <w:sz w:val="18"/>
                <w:szCs w:val="18"/>
              </w:rPr>
              <w:t xml:space="preserve">Catalyst / Timeline</w:t>
            </w:r>
          </w:p>
        </w:tc>
        <w:tc>
          <w:tcPr>
            <w:gridSpan w:val="1"/>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spacing w:after="0" w:before="0"/>
              <w:jc w:val="left"/>
            </w:pPr>
            <w:r>
              <w:rPr>
                <w:rFonts w:ascii="Arial" w:cs="Arial" w:eastAsia="Arial" w:hAnsi="Arial"/>
                <w:b/>
                <w:bCs/>
                <w:color w:val="FFFFFF"/>
                <w:sz w:val="18"/>
                <w:szCs w:val="18"/>
              </w:rPr>
              <w:t xml:space="preserve">Strategic Significance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7"/>
                <w:szCs w:val="17"/>
              </w:rPr>
              <w:t xml:space="preserve">Tulisokibart (MK-7240)</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7"/>
                <w:szCs w:val="17"/>
              </w:rPr>
              <w:t xml:space="preserve">Merck</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Phase 3 readout UC/CD ~2026-27</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First anti-TL1A approval would validate entire class. Biomarker strategy could command premium pricing.</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7"/>
                <w:szCs w:val="17"/>
              </w:rPr>
              <w:t xml:space="preserve">Duvakitug</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7"/>
                <w:szCs w:val="17"/>
              </w:rPr>
              <w:t xml:space="preserve">Sanofi / Teva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Phase 3 readout UC/CD ~2026-27</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Head-to-head race with Merck in anti-TL1A. Sanofi's commercial scale gives launch advantage if approved.</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7"/>
                <w:szCs w:val="17"/>
              </w:rPr>
              <w:t xml:space="preserve">Rinvoq (upadacitinib)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7"/>
                <w:szCs w:val="17"/>
              </w:rPr>
              <w:t xml:space="preserve">AbbVie</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SLE Phase 3 readout ~2025-26</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Would give AbbVie the only JAK1 inhibitor approved across all 6 indications. Massive label expansion.</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7"/>
                <w:szCs w:val="17"/>
              </w:rPr>
              <w:t xml:space="preserve">Sotyktu (deucravacitinib)</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7"/>
                <w:szCs w:val="17"/>
              </w:rPr>
              <w:t xml:space="preserve">BMS</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SLE + CD Phase 3 readouts ~2026</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TYK2 without black-box warning across SLE and CD would be a significant differentiation vs JAKs.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7"/>
                <w:szCs w:val="17"/>
              </w:rPr>
              <w:t xml:space="preserve">Nipocalimab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7"/>
                <w:szCs w:val="17"/>
              </w:rPr>
              <w:t xml:space="preserve">J&amp;J</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SLE Phase 3 readout ~2025-26</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FcRn mechanism is class-differentiating. First FcRn inhibitor in lupus would open a new treatment paradigm.</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7"/>
                <w:szCs w:val="17"/>
              </w:rPr>
              <w:t xml:space="preserve">Ianalumab (VAY736)</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7"/>
                <w:szCs w:val="17"/>
              </w:rPr>
              <w:t xml:space="preserve">Novartis</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SLE Phase 3 readout ~2026</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BAFF-R vs BAFF-L differentiation from Benlysta. 6 Phase 3 studies running — high conviction bet from Novartis.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7"/>
                <w:szCs w:val="17"/>
              </w:rPr>
              <w:t xml:space="preserve">Saphnelo SC (anifrolumab)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7"/>
                <w:szCs w:val="17"/>
              </w:rPr>
              <w:t xml:space="preserve">AstraZeneca</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FDA decision H1 2026</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SC formulation removes IV infusion barrier; could accelerate Saphnelo penetration in SLE significantly.</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7"/>
                <w:szCs w:val="17"/>
              </w:rPr>
              <w:t xml:space="preserve">Cenerimod</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7"/>
                <w:szCs w:val="17"/>
              </w:rPr>
              <w:t xml:space="preserve">Viatris / Idorsia</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SLE Phase 3 CARE trial ~2026</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Only S1P1 modulator in SLE pipeline. If approved, novel oral SLE option alongside biologics.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7"/>
                <w:szCs w:val="17"/>
              </w:rPr>
              <w:t xml:space="preserve">Omvoh (mirikizumab)</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7"/>
                <w:szCs w:val="17"/>
              </w:rPr>
              <w:t xml:space="preserve">Eli Lilly</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Early IBD launch 2025+</w:t>
            </w:r>
          </w:p>
        </w:tc>
        <w:tc>
          <w:tcPr>
            <w:gridSpan w:val="1"/>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First IL-23 anti-p19 approved in both UC and CD. Early share capture in IBD is the near-term focus.</w:t>
            </w:r>
          </w:p>
        </w:tc>
      </w:tr>
      <w:tr>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bCs/>
                <w:color w:val="1F1F1F"/>
                <w:sz w:val="17"/>
                <w:szCs w:val="17"/>
              </w:rPr>
              <w:t xml:space="preserve">Vedolizumab biosimilars</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7"/>
                <w:szCs w:val="17"/>
              </w:rPr>
              <w:t xml:space="preserve">Multiple</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EU ~2027, US ~2028-2032</w:t>
            </w:r>
          </w:p>
        </w:tc>
        <w:tc>
          <w:tcPr>
            <w:gridSpan w:val="1"/>
            <w:tcBorders>
              <w:top w:val="single" w:color="CCCCCC" w:sz="1"/>
              <w:left w:val="single" w:color="CCCCCC" w:sz="1"/>
              <w:bottom w:val="single" w:color="CCCCCC" w:sz="1"/>
              <w:right w:val="single" w:color="CCCCCC" w:sz="1"/>
            </w:tcBorders>
            <w:shd w:fill="F4F7FB" w:val="clear"/>
            <w:tcMar>
              <w:top w:type="dxa" w:w="80"/>
              <w:left w:type="dxa" w:w="100"/>
              <w:bottom w:type="dxa" w:w="80"/>
              <w:right w:type="dxa" w:w="100"/>
            </w:tcMar>
            <w:vAlign w:val="top"/>
          </w:tcPr>
          <w:p>
            <w:pPr>
              <w:spacing w:after="0" w:before="0"/>
              <w:jc w:val="left"/>
            </w:pPr>
            <w:r>
              <w:rPr>
                <w:rFonts w:ascii="Arial" w:cs="Arial" w:eastAsia="Arial" w:hAnsi="Arial"/>
                <w:b w:val="false"/>
                <w:bCs w:val="false"/>
                <w:color w:val="1F1F1F"/>
                <w:sz w:val="16"/>
                <w:szCs w:val="16"/>
              </w:rPr>
              <w:t xml:space="preserve">Entyvio (Takeda) patent cliff will reshape IBD market. Multiple manufacturers in development.</w:t>
            </w:r>
          </w:p>
        </w:tc>
      </w:tr>
    </w:tbl>
    <w:p>
      <w:pPr>
        <w:spacing w:after="0" w:before="0"/>
      </w:pPr>
      <w:r>
        <w:t xml:space="preserve"/>
      </w:r>
    </w:p>
    <w:p>
      <w:pPr>
        <w:spacing w:after="0" w:before="0"/>
      </w:pPr>
      <w:r>
        <w:t xml:space="preserve"/>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7. Notes &amp; Disclaimer</w:t>
      </w:r>
    </w:p>
    <w:p>
      <w:pPr>
        <w:pStyle w:val="ListParagraph"/>
        <w:numPr>
          <w:ilvl w:val="0"/>
          <w:numId w:val="2"/>
        </w:numPr>
        <w:spacing w:after="40" w:before="40"/>
      </w:pPr>
      <w:r>
        <w:rPr>
          <w:rFonts w:ascii="Arial" w:cs="Arial" w:eastAsia="Arial" w:hAnsi="Arial"/>
          <w:color w:val="1F1F1F"/>
          <w:sz w:val="20"/>
          <w:szCs w:val="20"/>
        </w:rPr>
        <w:t xml:space="preserve">All approval years refer to US FDA approval unless otherwise noted (EU, Japan, or Asia-only approvals are flagged in the Status column).</w:t>
      </w:r>
    </w:p>
    <w:p>
      <w:pPr>
        <w:pStyle w:val="ListParagraph"/>
        <w:numPr>
          <w:ilvl w:val="0"/>
          <w:numId w:val="2"/>
        </w:numPr>
        <w:spacing w:after="40" w:before="40"/>
      </w:pPr>
      <w:r>
        <w:rPr>
          <w:rFonts w:ascii="Arial" w:cs="Arial" w:eastAsia="Arial" w:hAnsi="Arial"/>
          <w:color w:val="1F1F1F"/>
          <w:sz w:val="20"/>
          <w:szCs w:val="20"/>
        </w:rPr>
        <w:t xml:space="preserve">Pipeline status (Phase 2 / Phase 3) reflects publicly available information as of March 2026. Trial outcomes, regulatory decisions, and pipeline priorities may change.</w:t>
      </w:r>
    </w:p>
    <w:p>
      <w:pPr>
        <w:pStyle w:val="ListParagraph"/>
        <w:numPr>
          <w:ilvl w:val="0"/>
          <w:numId w:val="2"/>
        </w:numPr>
        <w:spacing w:after="40" w:before="40"/>
      </w:pPr>
      <w:r>
        <w:rPr>
          <w:rFonts w:ascii="Arial" w:cs="Arial" w:eastAsia="Arial" w:hAnsi="Arial"/>
          <w:color w:val="1F1F1F"/>
          <w:sz w:val="20"/>
          <w:szCs w:val="20"/>
        </w:rPr>
        <w:t xml:space="preserve">SWOT analysis and competitive assessments reflect the author's strategic interpretation based on public earnings calls, regulatory filings, investor materials, and medical congress data. They do not constitute investment advice.</w:t>
      </w:r>
    </w:p>
    <w:p>
      <w:pPr>
        <w:pStyle w:val="ListParagraph"/>
        <w:numPr>
          <w:ilvl w:val="0"/>
          <w:numId w:val="2"/>
        </w:numPr>
        <w:spacing w:after="40" w:before="40"/>
      </w:pPr>
      <w:r>
        <w:rPr>
          <w:rFonts w:ascii="Arial" w:cs="Arial" w:eastAsia="Arial" w:hAnsi="Arial"/>
          <w:color w:val="1F1F1F"/>
          <w:sz w:val="20"/>
          <w:szCs w:val="20"/>
        </w:rPr>
        <w:t xml:space="preserve">Key earnings quotes are sourced from publicly available earnings call transcripts, press releases, and investor presentations. Paraphrased quotes are noted as such.</w:t>
      </w:r>
    </w:p>
    <w:p>
      <w:pPr>
        <w:pStyle w:val="ListParagraph"/>
        <w:numPr>
          <w:ilvl w:val="0"/>
          <w:numId w:val="2"/>
        </w:numPr>
        <w:spacing w:after="40" w:before="40"/>
      </w:pPr>
      <w:r>
        <w:rPr>
          <w:rFonts w:ascii="Arial" w:cs="Arial" w:eastAsia="Arial" w:hAnsi="Arial"/>
          <w:color w:val="1F1F1F"/>
          <w:sz w:val="20"/>
          <w:szCs w:val="20"/>
        </w:rPr>
        <w:t xml:space="preserve">Five companies in the original research scope (Novo Nordisk, Bayer, CSL, Vertex, Daiichi Sankyo) have no approved drugs or active late-stage pipeline in the 6 target indications and are not included in the drug profile tables.</w:t>
      </w:r>
    </w:p>
    <w:p>
      <w:pPr>
        <w:pStyle w:val="ListParagraph"/>
        <w:numPr>
          <w:ilvl w:val="0"/>
          <w:numId w:val="2"/>
        </w:numPr>
        <w:spacing w:after="40" w:before="40"/>
      </w:pPr>
      <w:r>
        <w:rPr>
          <w:rFonts w:ascii="Arial" w:cs="Arial" w:eastAsia="Arial" w:hAnsi="Arial"/>
          <w:color w:val="1F1F1F"/>
          <w:sz w:val="20"/>
          <w:szCs w:val="20"/>
        </w:rPr>
        <w:t xml:space="preserve">Biosimilar entries are included where they represent a strategic commercial presence (e.g., Sandoz Hyrimoz, Amgen Amgevita, Viatris Hulio). Exhaustive biosimilar listings across all manufacturers are outside the scope of this report.</w:t>
      </w:r>
    </w:p>
    <w:p>
      <w:pPr>
        <w:spacing w:after="0" w:before="0"/>
      </w:pPr>
      <w:r>
        <w:t xml:space="preserve"/>
      </w:r>
    </w:p>
    <w:p>
      <w:pPr>
        <w:spacing w:after="0" w:before="0"/>
      </w:pPr>
      <w:r>
        <w:t xml:space="preserve"/>
      </w:r>
    </w:p>
    <w:p>
      <w:pPr>
        <w:spacing w:before="240"/>
        <w:jc w:val="center"/>
      </w:pPr>
      <w:r>
        <w:rPr>
          <w:rFonts w:ascii="Arial" w:cs="Arial" w:eastAsia="Arial" w:hAnsi="Arial"/>
          <w:color w:val="595959"/>
          <w:sz w:val="17"/>
          <w:szCs w:val="17"/>
        </w:rPr>
        <w:t xml:space="preserve">Competitive Intelligence &amp; Strategy  |  March 2026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595959"/>
        <w:sz w:val="16"/>
        <w:szCs w:val="16"/>
      </w:rPr>
      <w:t xml:space="preserve">Competitive Intelligence</w:t>
    </w:r>
    <w:r>
      <w:rPr>
        <w:rFonts w:ascii="Arial" w:cs="Arial" w:eastAsia="Arial" w:hAnsi="Arial"/>
        <w:color w:val="595959"/>
        <w:sz w:val="16"/>
        <w:szCs w:val="16"/>
      </w:rPr>
      <w:t xml:space="preserve">          Page </w:t>
    </w:r>
    <w:r>
      <w:rPr>
        <w:rFonts w:ascii="Arial" w:cs="Arial" w:eastAsia="Arial" w:hAnsi="Arial"/>
        <w:color w:val="2E75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2E75B6"/>
        <w:sz w:val="16"/>
        <w:szCs w:val="16"/>
      </w:rPr>
      <w:t xml:space="preserve">PHARMA IMMUNOLOGY &amp; AUTOIMMUNE COMPETITIVE INTELLIGENCE REPORT</w:t>
    </w:r>
    <w:r>
      <w:rPr>
        <w:rFonts w:ascii="Arial" w:cs="Arial" w:eastAsia="Arial" w:hAnsi="Arial"/>
        <w:color w:val="595959"/>
        <w:sz w:val="16"/>
        <w:szCs w:val="16"/>
      </w:rPr>
      <w:t xml:space="preserve">   |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2026-03-24T08:25:33.633Z</dcterms:created>
  <dcterms:modified xsi:type="dcterms:W3CDTF">2026-03-24T08:25:33.634Z</dcterms:modified>
</cp:coreProperties>
</file>

<file path=docProps/custom.xml><?xml version="1.0" encoding="utf-8"?>
<Properties xmlns="http://schemas.openxmlformats.org/officeDocument/2006/custom-properties" xmlns:vt="http://schemas.openxmlformats.org/officeDocument/2006/docPropsVTypes"/>
</file>