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r>
        <w:t xml:space="preserve"/>
      </w:r>
    </w:p>
    <w:p>
      <w:pPr>
        <w:spacing w:after="80" w:before="0"/>
        <w:jc w:val="center"/>
      </w:pPr>
      <w:r>
        <w:rPr>
          <w:rFonts w:ascii="Arial" w:cs="Arial" w:eastAsia="Arial" w:hAnsi="Arial"/>
          <w:b/>
          <w:bCs/>
          <w:color w:val="1F3864"/>
          <w:sz w:val="56"/>
          <w:szCs w:val="56"/>
        </w:rPr>
        <w:t xml:space="preserve">AWS MIGRATION TOOLING</w:t>
      </w:r>
    </w:p>
    <w:p>
      <w:pPr>
        <w:spacing w:after="80" w:before="0"/>
        <w:jc w:val="center"/>
      </w:pPr>
      <w:r>
        <w:rPr>
          <w:rFonts w:ascii="Arial" w:cs="Arial" w:eastAsia="Arial" w:hAnsi="Arial"/>
          <w:b/>
          <w:bCs/>
          <w:color w:val="2E75B6"/>
          <w:sz w:val="42"/>
          <w:szCs w:val="42"/>
        </w:rPr>
        <w:t xml:space="preserve">Technical Implementation Guide</w:t>
      </w:r>
    </w:p>
    <w:p>
      <w:pPr>
        <w:spacing w:after="80" w:before="0"/>
        <w:jc w:val="center"/>
      </w:pPr>
      <w:r>
        <w:rPr>
          <w:rFonts w:ascii="Arial" w:cs="Arial" w:eastAsia="Arial" w:hAnsi="Arial"/>
          <w:color w:val="595959"/>
          <w:sz w:val="28"/>
          <w:szCs w:val="28"/>
        </w:rPr>
        <w:t xml:space="preserve">AWS MGN  |  AWS DMS  |  AWS DataSync</w:t>
      </w:r>
    </w:p>
    <w:p>
      <w:pPr>
        <w:spacing w:after="600" w:before="0"/>
        <w:jc w:val="center"/>
      </w:pPr>
      <w:r>
        <w:rPr>
          <w:rFonts w:ascii="Arial" w:cs="Arial" w:eastAsia="Arial" w:hAnsi="Arial"/>
          <w:i/>
          <w:iCs/>
          <w:color w:val="595959"/>
          <w:sz w:val="24"/>
          <w:szCs w:val="24"/>
        </w:rPr>
        <w:t xml:space="preserve">Setup, Configuration, Pilot Migration &amp; Runbook</w:t>
      </w:r>
    </w:p>
    <w:p>
      <w:pPr>
        <w:pBdr>
          <w:top w:val="single" w:color="2E75B6" w:sz="4" w:space="4"/>
        </w:pBdr>
        <w:spacing w:after="200" w:before="0"/>
        <w:jc w:val="center"/>
      </w:pPr>
      <w:r>
        <w:t xml:space="preserve"/>
      </w:r>
    </w:p>
    <w:p>
      <w:pPr>
        <w:spacing w:after="80" w:before="0"/>
        <w:jc w:val="center"/>
      </w:pPr>
      <w:r>
        <w:rPr>
          <w:rFonts w:ascii="Arial" w:cs="Arial" w:eastAsia="Arial" w:hAnsi="Arial"/>
          <w:color w:val="404040"/>
          <w:sz w:val="24"/>
          <w:szCs w:val="24"/>
        </w:rPr>
        <w:t xml:space="preserve">Author: Vikas Jain  |  Senior Cloud Architect  |  AWS ProServe Partner</w:t>
      </w:r>
    </w:p>
    <w:p>
      <w:pPr>
        <w:jc w:val="center"/>
      </w:pPr>
      <w:r>
        <w:rPr>
          <w:rFonts w:ascii="Arial" w:cs="Arial" w:eastAsia="Arial" w:hAnsi="Arial"/>
          <w:color w:val="595959"/>
          <w:sz w:val="22"/>
          <w:szCs w:val="22"/>
        </w:rPr>
        <w:t xml:space="preserve">Version 1.0  |  Engagement: AWS Professional Services  |  May 2026</w:t>
      </w:r>
    </w:p>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1. Document Overview &amp; Purpose</w:t>
      </w:r>
    </w:p>
    <w:p>
      <w:pPr>
        <w:pStyle w:val="Heading2"/>
        <w:spacing w:after="80" w:before="240"/>
      </w:pPr>
      <w:r>
        <w:rPr>
          <w:rFonts w:ascii="Arial" w:cs="Arial" w:eastAsia="Arial" w:hAnsi="Arial"/>
          <w:b/>
          <w:bCs/>
          <w:color w:val="2E75B6"/>
          <w:sz w:val="26"/>
          <w:szCs w:val="26"/>
        </w:rPr>
        <w:t xml:space="preserve">1.1 Purpose</w:t>
      </w:r>
    </w:p>
    <w:p>
      <w:pPr>
        <w:spacing w:after="60" w:before="60"/>
        <w:jc w:val="both"/>
      </w:pPr>
      <w:r>
        <w:rPr>
          <w:rFonts w:ascii="Arial" w:cs="Arial" w:eastAsia="Arial" w:hAnsi="Arial"/>
          <w:color w:val="404040"/>
          <w:sz w:val="22"/>
          <w:szCs w:val="22"/>
        </w:rPr>
        <w:t xml:space="preserve">This document is the definitive technical implementation reference for the AWS migration tooling setup and pilot migration delivered as part of the AWS Professional Services engagement. It covers the end-to-end setup, configuration, and operational use of three AWS migration services: AWS Application Migration Service (MGN) for server rehosting, AWS Database Migration Service (DMS) for database migration, and AWS DataSync for file share migration.</w:t>
      </w:r>
    </w:p>
    <w:p>
      <w:pPr>
        <w:spacing w:after="60" w:before="60"/>
        <w:jc w:val="both"/>
      </w:pPr>
      <w:r>
        <w:rPr>
          <w:rFonts w:ascii="Arial" w:cs="Arial" w:eastAsia="Arial" w:hAnsi="Arial"/>
          <w:color w:val="404040"/>
          <w:sz w:val="22"/>
          <w:szCs w:val="22"/>
        </w:rPr>
        <w:t xml:space="preserve">The document is designed to serve two audiences: (1) cloud architects and engineers implementing the same pattern for subsequent migration waves and (2) a reference guide for interview preparation and knowledge sharing, providing deep technical detail on how each service works and how it was configured in production.</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1.2 Services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3000"/>
        <w:gridCol w:w="1760"/>
      </w:tblGrid>
      <w:tr>
        <w:trPr>
          <w:tblHeader/>
        </w:trPr>
        <w:tc>
          <w:tcPr>
            <w:tcW w:type="dxa" w:w="1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Service</w:t>
            </w:r>
          </w:p>
        </w:tc>
        <w:tc>
          <w:tcPr>
            <w:tcW w:type="dxa" w:w="3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Full Name</w:t>
            </w:r>
          </w:p>
        </w:tc>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Migration Use Case</w:t>
            </w:r>
          </w:p>
        </w:tc>
        <w:tc>
          <w:tcPr>
            <w:tcW w:type="dxa" w:w="17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Migration Type</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MGN</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AWS Application Migration Service</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Physical/virtual server rehost to EC2</w:t>
            </w:r>
          </w:p>
        </w:tc>
        <w:tc>
          <w:tcPr>
            <w:tcW w:type="dxa" w:w="1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Block-level replication (rehost)</w:t>
            </w:r>
          </w:p>
        </w:tc>
      </w:tr>
      <w:tr>
        <w:tc>
          <w:tcPr>
            <w:tcW w:type="dxa" w:w="12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DMS</w:t>
            </w:r>
          </w:p>
        </w:tc>
        <w:tc>
          <w:tcPr>
            <w:tcW w:type="dxa" w:w="3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AWS Database Migration Service</w:t>
            </w:r>
          </w:p>
        </w:tc>
        <w:tc>
          <w:tcPr>
            <w:tcW w:type="dxa" w:w="30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Database migration to RDS/Aurora</w:t>
            </w:r>
          </w:p>
        </w:tc>
        <w:tc>
          <w:tcPr>
            <w:tcW w:type="dxa" w:w="17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Full load + CDC (homogeneous &amp; heterogeneous)</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DataSync</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AWS DataSync</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File share migration to EFS/FSx/S3</w:t>
            </w:r>
          </w:p>
        </w:tc>
        <w:tc>
          <w:tcPr>
            <w:tcW w:type="dxa" w:w="1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Online file transfer with integrity validation</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1.3 Architecture Context</w:t>
      </w:r>
    </w:p>
    <w:p>
      <w:pPr>
        <w:spacing w:after="60" w:before="60"/>
        <w:jc w:val="both"/>
      </w:pPr>
      <w:r>
        <w:rPr>
          <w:rFonts w:ascii="Arial" w:cs="Arial" w:eastAsia="Arial" w:hAnsi="Arial"/>
          <w:color w:val="404040"/>
          <w:sz w:val="22"/>
          <w:szCs w:val="22"/>
        </w:rPr>
        <w:t xml:space="preserve">All three services were deployed in the ap-south-1 (Mumbai) AWS region into a dedicated Migration VPC. A 1 Gbps AWS Direct Connect circuit provided private, high-bandwidth connectivity between the on-premise data centre and AWS. VPC Endpoints ensured traffic for all migration services remained on the AWS private network and did not traverse the public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8F5EC" w:val="clear"/>
            <w:tcMar>
              <w:top w:type="dxa" w:w="80"/>
              <w:left w:type="dxa" w:w="160"/>
              <w:bottom w:type="dxa" w:w="80"/>
              <w:right w:type="dxa" w:w="160"/>
            </w:tcMar>
          </w:tcPr>
          <w:p>
            <w:r>
              <w:rPr>
                <w:rFonts w:ascii="Arial" w:cs="Arial" w:eastAsia="Arial" w:hAnsi="Arial"/>
                <w:i w:val="false"/>
                <w:iCs w:val="false"/>
                <w:color w:val="1D5C2E"/>
                <w:sz w:val="20"/>
                <w:szCs w:val="20"/>
              </w:rPr>
              <w:t xml:space="preserve">Key principle: All three migration tools operate concurrently. MGN handles servers, DMS handles databases, and DataSync handles file shares. These are independent services — they do not depend on each other but should be orchestrated so that related components (e.g., an application server and its database) reach AWS at the same planned cutover date.</w:t>
            </w:r>
          </w:p>
        </w:tc>
      </w:tr>
    </w:tbl>
    <w:p>
      <w:pPr>
        <w:spacing w:after="80" w:before="80"/>
      </w:pPr>
      <w:r>
        <w:t xml:space="preserve"/>
      </w:r>
    </w:p>
    <w:p>
      <w:r>
        <w:br w:type="page"/>
      </w:r>
    </w:p>
    <w:p>
      <w:pPr>
        <w:pStyle w:val="Heading1"/>
        <w:pBdr>
          <w:bottom w:val="single" w:color="1A4D7C" w:sz="8" w:space="4"/>
        </w:pBdr>
        <w:spacing w:after="120" w:before="360"/>
      </w:pPr>
      <w:r>
        <w:rPr>
          <w:rFonts w:ascii="Arial" w:cs="Arial" w:eastAsia="Arial" w:hAnsi="Arial"/>
          <w:b/>
          <w:bCs/>
          <w:color w:val="1A4D7C"/>
          <w:sz w:val="32"/>
          <w:szCs w:val="32"/>
        </w:rPr>
        <w:t xml:space="preserve">PART A — AWS Application Migration Service (MGN)</w:t>
      </w:r>
    </w:p>
    <w:p>
      <w:pPr>
        <w:pStyle w:val="Heading2"/>
        <w:spacing w:after="80" w:before="240"/>
      </w:pPr>
      <w:r>
        <w:rPr>
          <w:rFonts w:ascii="Arial" w:cs="Arial" w:eastAsia="Arial" w:hAnsi="Arial"/>
          <w:b/>
          <w:bCs/>
          <w:color w:val="2E75B6"/>
          <w:sz w:val="26"/>
          <w:szCs w:val="26"/>
        </w:rPr>
        <w:t xml:space="preserve">A.1 How MGN Works — Key Concepts</w:t>
      </w:r>
    </w:p>
    <w:p>
      <w:pPr>
        <w:spacing w:after="60" w:before="60"/>
        <w:jc w:val="both"/>
      </w:pPr>
      <w:r>
        <w:rPr>
          <w:rFonts w:ascii="Arial" w:cs="Arial" w:eastAsia="Arial" w:hAnsi="Arial"/>
          <w:color w:val="404040"/>
          <w:sz w:val="22"/>
          <w:szCs w:val="22"/>
        </w:rPr>
        <w:t xml:space="preserve">AWS MGN (Application Migration Service) performs automated lift-and-shift migrations by continuously replicating source server disks to AWS at the block level. Unlike snapshot-based approaches, MGN maintains a continuously updated replica of each source server in a staging area in your target AWS account — enabling near-zero RPO cutovers with minimal downtime.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Concept</w:t>
            </w:r>
          </w:p>
        </w:tc>
        <w:tc>
          <w:tcPr>
            <w:tcW w:type="dxa" w:w="6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Description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AWS Replication Agent</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 lightweight agent installed on source servers (Linux or Windows). Captures block-level changes and streams them encrypted over TCP 1500 to the replication servers in the staging area.</w:t>
            </w:r>
          </w:p>
        </w:tc>
      </w:tr>
      <w:tr>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Replication Server</w:t>
            </w:r>
          </w:p>
        </w:tc>
        <w:tc>
          <w:tcPr>
            <w:tcW w:type="dxa" w:w="69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Automatically provisioned t3.small EC2 instances in the staging area. One per source server. Receive replication data from agents and maintain the staging EBS volumes. Not accessible to users.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Staging Area</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Private subnet in the migration VPC. Hosts replication servers and staging EBS volumes. AWS-managed — you do not interact with these instances directly.</w:t>
            </w:r>
          </w:p>
        </w:tc>
      </w:tr>
      <w:tr>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Launch Template</w:t>
            </w:r>
          </w:p>
        </w:tc>
        <w:tc>
          <w:tcPr>
            <w:tcW w:type="dxa" w:w="69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Per-server configuration defining: target EC2 instance type, subnet, security groups, IAM instance profile, disk encryption, and tags. Applied when launching test and cutover instances.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Test Instance</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 temporary EC2 instance launched from the latest replica to validate that the migrated server works correctly. Does not affect the source server or ongoing replication.</w:t>
            </w:r>
          </w:p>
        </w:tc>
      </w:tr>
      <w:tr>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Cutover Instance</w:t>
            </w:r>
          </w:p>
        </w:tc>
        <w:tc>
          <w:tcPr>
            <w:tcW w:type="dxa" w:w="69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The final production EC2 instance. Launched after stopping the source server, waiting for 0-second lag, and confirming readiness. Replaces the source in production.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Post-Launch Actions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Scripts or SSM documents that run automatically on test and cutover instances after launch — used to update configuration files, join domains, restart services.</w:t>
            </w:r>
          </w:p>
        </w:tc>
      </w:tr>
      <w:tr>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Replication Lag</w:t>
            </w:r>
          </w:p>
        </w:tc>
        <w:tc>
          <w:tcPr>
            <w:tcW w:type="dxa" w:w="69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The time difference between the last change on the source and the latest replicated state on the staging replica. Target: 0 seconds before cutover.</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A.2 MGN Migration Workflow — Step by Step</w:t>
      </w:r>
    </w:p>
    <w:p>
      <w:pPr>
        <w:spacing w:after="60" w:before="60"/>
        <w:jc w:val="both"/>
      </w:pPr>
      <w:r>
        <w:rPr>
          <w:rFonts w:ascii="Arial" w:cs="Arial" w:eastAsia="Arial" w:hAnsi="Arial"/>
          <w:color w:val="404040"/>
          <w:sz w:val="22"/>
          <w:szCs w:val="22"/>
        </w:rPr>
        <w:t xml:space="preserve">The MGN migration workflow follows 12 stages. Each stage must be completed and verified before proceeding to the next.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Step</w:t>
            </w:r>
          </w:p>
        </w:tc>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Stage</w:t>
            </w:r>
          </w:p>
        </w:tc>
        <w:tc>
          <w:tcPr>
            <w:tcW w:type="dxa" w:w="6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Detail &amp; Commands</w:t>
            </w:r>
          </w:p>
        </w:tc>
      </w:tr>
      <w:tr>
        <w:tc>
          <w:tcPr>
            <w:tcW w:type="dxa" w:w="600"/>
            <w:tcBorders>
              <w:top w:val="single" w:color="BFBFBF" w:sz="1"/>
              <w:left w:val="single" w:color="BFBFBF" w:sz="1"/>
              <w:bottom w:val="single" w:color="BFBFBF" w:sz="1"/>
              <w:right w:val="single" w:color="BFBFBF" w:sz="1"/>
            </w:tcBorders>
            <w:shd w:fill="EDF2FA"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1</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Initialise MGN</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Navigate to AWS MGN console in target region. MGN creates AWSServiceRoleForApplicationMigrationService and AWSServiceRoleForEC2 automatically on first access.</w:t>
            </w:r>
          </w:p>
          <w:p>
            <w:pPr>
              <w:spacing w:before="40"/>
            </w:pPr>
            <w:r>
              <w:rPr>
                <w:rFonts w:ascii="Courier New" w:cs="Courier New" w:eastAsia="Courier New" w:hAnsi="Courier New"/>
                <w:color w:val="1A3A5C"/>
                <w:sz w:val="19"/>
                <w:szCs w:val="19"/>
              </w:rPr>
              <w:t xml:space="preserve">Console: MGN → Get Started → Accept service-linked role creation.</w:t>
            </w:r>
          </w:p>
        </w:tc>
      </w:tr>
      <w:tr>
        <w:tc>
          <w:tcPr>
            <w:tcW w:type="dxa" w:w="600"/>
            <w:tcBorders>
              <w:top w:val="single" w:color="BFBFBF" w:sz="1"/>
              <w:left w:val="single" w:color="BFBFBF" w:sz="1"/>
              <w:bottom w:val="single" w:color="BFBFBF" w:sz="1"/>
              <w:right w:val="single" w:color="BFBFBF" w:sz="1"/>
            </w:tcBorders>
            <w:shd w:fill="D9E2F3"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2</w:t>
            </w:r>
          </w:p>
        </w:tc>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b/>
                <w:bCs/>
                <w:color w:val="404040"/>
                <w:sz w:val="20"/>
                <w:szCs w:val="20"/>
              </w:rPr>
              <w:t xml:space="preserve">Configure Replication Settings</w:t>
            </w:r>
          </w:p>
        </w:tc>
        <w:tc>
          <w:tcPr>
            <w:tcW w:type="dxa" w:w="63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Set default Replication Settings: staging subnet (private), replication server instance type (t3.small default), EBS volume type (gp3), encryption (CMK or aws/ebs), bandwidth throttling (optional).</w:t>
            </w:r>
          </w:p>
          <w:p>
            <w:pPr>
              <w:spacing w:before="40"/>
            </w:pPr>
            <w:r>
              <w:rPr>
                <w:rFonts w:ascii="Courier New" w:cs="Courier New" w:eastAsia="Courier New" w:hAnsi="Courier New"/>
                <w:color w:val="1A3A5C"/>
                <w:sz w:val="19"/>
                <w:szCs w:val="19"/>
              </w:rPr>
              <w:t xml:space="preserve">MGN → Settings → Replication Settings → Edit</w:t>
            </w:r>
          </w:p>
        </w:tc>
      </w:tr>
      <w:tr>
        <w:tc>
          <w:tcPr>
            <w:tcW w:type="dxa" w:w="600"/>
            <w:tcBorders>
              <w:top w:val="single" w:color="BFBFBF" w:sz="1"/>
              <w:left w:val="single" w:color="BFBFBF" w:sz="1"/>
              <w:bottom w:val="single" w:color="BFBFBF" w:sz="1"/>
              <w:right w:val="single" w:color="BFBFBF" w:sz="1"/>
            </w:tcBorders>
            <w:shd w:fill="EDF2FA"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3</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Configure Launch Settings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Set default Launch Settings: target subnet, instance type right-sizing option (use recommended or manual), security groups, IAM instance profile, placement group (optional).</w:t>
            </w:r>
          </w:p>
          <w:p>
            <w:pPr>
              <w:spacing w:before="40"/>
            </w:pPr>
            <w:r>
              <w:rPr>
                <w:rFonts w:ascii="Courier New" w:cs="Courier New" w:eastAsia="Courier New" w:hAnsi="Courier New"/>
                <w:color w:val="1A3A5C"/>
                <w:sz w:val="19"/>
                <w:szCs w:val="19"/>
              </w:rPr>
              <w:t xml:space="preserve">MGN → Settings → Launch Settings → Edit</w:t>
            </w:r>
          </w:p>
        </w:tc>
      </w:tr>
      <w:tr>
        <w:tc>
          <w:tcPr>
            <w:tcW w:type="dxa" w:w="600"/>
            <w:tcBorders>
              <w:top w:val="single" w:color="BFBFBF" w:sz="1"/>
              <w:left w:val="single" w:color="BFBFBF" w:sz="1"/>
              <w:bottom w:val="single" w:color="BFBFBF" w:sz="1"/>
              <w:right w:val="single" w:color="BFBFBF" w:sz="1"/>
            </w:tcBorders>
            <w:shd w:fill="D9E2F3"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4</w:t>
            </w:r>
          </w:p>
        </w:tc>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b/>
                <w:bCs/>
                <w:color w:val="404040"/>
                <w:sz w:val="20"/>
                <w:szCs w:val="20"/>
              </w:rPr>
              <w:t xml:space="preserve">Install Replication Agent — Linux</w:t>
            </w:r>
          </w:p>
        </w:tc>
        <w:tc>
          <w:tcPr>
            <w:tcW w:type="dxa" w:w="63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SSH to source server. Download agent installer using the IAM user credentials with MGN agent installation permissions. Run installer as root.</w:t>
            </w:r>
          </w:p>
          <w:p>
            <w:pPr>
              <w:spacing w:before="40"/>
            </w:pPr>
            <w:r>
              <w:rPr>
                <w:rFonts w:ascii="Courier New" w:cs="Courier New" w:eastAsia="Courier New" w:hAnsi="Courier New"/>
                <w:color w:val="1A3A5C"/>
                <w:sz w:val="19"/>
                <w:szCs w:val="19"/>
              </w:rPr>
              <w:t xml:space="preserve">wget -O ./aws-replication-installer-init https://aws-application-migration-service-{region}.s3.{region}.amazonaws.com/latest/linux/aws-replication-installer-init</w:t>
            </w:r>
          </w:p>
        </w:tc>
      </w:tr>
      <w:tr>
        <w:tc>
          <w:tcPr>
            <w:tcW w:type="dxa" w:w="600"/>
            <w:tcBorders>
              <w:top w:val="single" w:color="BFBFBF" w:sz="1"/>
              <w:left w:val="single" w:color="BFBFBF" w:sz="1"/>
              <w:bottom w:val="single" w:color="BFBFBF" w:sz="1"/>
              <w:right w:val="single" w:color="BFBFBF" w:sz="1"/>
            </w:tcBorders>
            <w:shd w:fill="EDF2FA"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5</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Install Replication Agent — Windows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RDP to source server. Download MSI installer. Run as Administrator. Provide AWS region and IAM credentials during setup.</w:t>
            </w:r>
          </w:p>
          <w:p>
            <w:pPr>
              <w:spacing w:before="40"/>
            </w:pPr>
            <w:r>
              <w:rPr>
                <w:rFonts w:ascii="Courier New" w:cs="Courier New" w:eastAsia="Courier New" w:hAnsi="Courier New"/>
                <w:color w:val="1A3A5C"/>
                <w:sz w:val="19"/>
                <w:szCs w:val="19"/>
              </w:rPr>
              <w:t xml:space="preserve">powershell: .\aws-replication-installer-init.exe --region ap-south-1 --aws-access-key-id AKIA... --aws-secret-access-key ...</w:t>
            </w:r>
          </w:p>
        </w:tc>
      </w:tr>
      <w:tr>
        <w:tc>
          <w:tcPr>
            <w:tcW w:type="dxa" w:w="600"/>
            <w:tcBorders>
              <w:top w:val="single" w:color="BFBFBF" w:sz="1"/>
              <w:left w:val="single" w:color="BFBFBF" w:sz="1"/>
              <w:bottom w:val="single" w:color="BFBFBF" w:sz="1"/>
              <w:right w:val="single" w:color="BFBFBF" w:sz="1"/>
            </w:tcBorders>
            <w:shd w:fill="D9E2F3"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6</w:t>
            </w:r>
          </w:p>
        </w:tc>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b/>
                <w:bCs/>
                <w:color w:val="404040"/>
                <w:sz w:val="20"/>
                <w:szCs w:val="20"/>
              </w:rPr>
              <w:t xml:space="preserve">Monitor Initial Sync</w:t>
            </w:r>
          </w:p>
        </w:tc>
        <w:tc>
          <w:tcPr>
            <w:tcW w:type="dxa" w:w="63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After agent installation, MGN begins initial sync — full disk copy from source to staging. Monitor in MGN console under Source Servers. Status progresses: Not ready → Initial sync → Ready for testing.</w:t>
            </w:r>
          </w:p>
          <w:p>
            <w:pPr>
              <w:spacing w:before="40"/>
            </w:pPr>
            <w:r>
              <w:rPr>
                <w:rFonts w:ascii="Courier New" w:cs="Courier New" w:eastAsia="Courier New" w:hAnsi="Courier New"/>
                <w:color w:val="1A3A5C"/>
                <w:sz w:val="19"/>
                <w:szCs w:val="19"/>
              </w:rPr>
              <w:t xml:space="preserve">MGN Console → Source Servers → Click server → Data Replication Info tab</w:t>
            </w:r>
          </w:p>
        </w:tc>
      </w:tr>
      <w:tr>
        <w:tc>
          <w:tcPr>
            <w:tcW w:type="dxa" w:w="600"/>
            <w:tcBorders>
              <w:top w:val="single" w:color="BFBFBF" w:sz="1"/>
              <w:left w:val="single" w:color="BFBFBF" w:sz="1"/>
              <w:bottom w:val="single" w:color="BFBFBF" w:sz="1"/>
              <w:right w:val="single" w:color="BFBFBF" w:sz="1"/>
            </w:tcBorders>
            <w:shd w:fill="EDF2FA"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7</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Configure Launch Template</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For each server, configure the server-specific Launch Template: target instance type, subnet, security groups, add tags, configure EBS volumes, add post-launch actions (SSM documents).</w:t>
            </w:r>
          </w:p>
          <w:p>
            <w:pPr>
              <w:spacing w:before="40"/>
            </w:pPr>
            <w:r>
              <w:rPr>
                <w:rFonts w:ascii="Courier New" w:cs="Courier New" w:eastAsia="Courier New" w:hAnsi="Courier New"/>
                <w:color w:val="1A3A5C"/>
                <w:sz w:val="19"/>
                <w:szCs w:val="19"/>
              </w:rPr>
              <w:t xml:space="preserve">MGN → Source Servers → Select server → Launch Settings → Edit</w:t>
            </w:r>
          </w:p>
        </w:tc>
      </w:tr>
      <w:tr>
        <w:tc>
          <w:tcPr>
            <w:tcW w:type="dxa" w:w="600"/>
            <w:tcBorders>
              <w:top w:val="single" w:color="BFBFBF" w:sz="1"/>
              <w:left w:val="single" w:color="BFBFBF" w:sz="1"/>
              <w:bottom w:val="single" w:color="BFBFBF" w:sz="1"/>
              <w:right w:val="single" w:color="BFBFBF" w:sz="1"/>
            </w:tcBorders>
            <w:shd w:fill="D9E2F3"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8</w:t>
            </w:r>
          </w:p>
        </w:tc>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b/>
                <w:bCs/>
                <w:color w:val="404040"/>
                <w:sz w:val="20"/>
                <w:szCs w:val="20"/>
              </w:rPr>
              <w:t xml:space="preserve">Launch Test Instance</w:t>
            </w:r>
          </w:p>
        </w:tc>
        <w:tc>
          <w:tcPr>
            <w:tcW w:type="dxa" w:w="63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Once status = 'Ready for testing', launch a test instance. MGN creates a temporary EC2 instance from the latest replica. Run application smoke tests, connectivity checks, performance tests.</w:t>
            </w:r>
          </w:p>
          <w:p>
            <w:pPr>
              <w:spacing w:before="40"/>
            </w:pPr>
            <w:r>
              <w:rPr>
                <w:rFonts w:ascii="Courier New" w:cs="Courier New" w:eastAsia="Courier New" w:hAnsi="Courier New"/>
                <w:color w:val="1A3A5C"/>
                <w:sz w:val="19"/>
                <w:szCs w:val="19"/>
              </w:rPr>
              <w:t xml:space="preserve">MGN → Source Servers → Select server → Test and Cutover → Launch Test Instances</w:t>
            </w:r>
          </w:p>
        </w:tc>
      </w:tr>
      <w:tr>
        <w:tc>
          <w:tcPr>
            <w:tcW w:type="dxa" w:w="600"/>
            <w:tcBorders>
              <w:top w:val="single" w:color="BFBFBF" w:sz="1"/>
              <w:left w:val="single" w:color="BFBFBF" w:sz="1"/>
              <w:bottom w:val="single" w:color="BFBFBF" w:sz="1"/>
              <w:right w:val="single" w:color="BFBFBF" w:sz="1"/>
            </w:tcBorders>
            <w:shd w:fill="EDF2FA"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9</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Finalize Test</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After acceptance testing passes, mark the test as complete. MGN terminates the test instance. Server status changes to 'Ready for cutover'.</w:t>
            </w:r>
          </w:p>
          <w:p>
            <w:pPr>
              <w:spacing w:before="40"/>
            </w:pPr>
            <w:r>
              <w:rPr>
                <w:rFonts w:ascii="Courier New" w:cs="Courier New" w:eastAsia="Courier New" w:hAnsi="Courier New"/>
                <w:color w:val="1A3A5C"/>
                <w:sz w:val="19"/>
                <w:szCs w:val="19"/>
              </w:rPr>
              <w:t xml:space="preserve">MGN → Source Servers → Select server → Test and Cutover → Mark as Ready for Cutover</w:t>
            </w:r>
          </w:p>
        </w:tc>
      </w:tr>
      <w:tr>
        <w:tc>
          <w:tcPr>
            <w:tcW w:type="dxa" w:w="600"/>
            <w:tcBorders>
              <w:top w:val="single" w:color="BFBFBF" w:sz="1"/>
              <w:left w:val="single" w:color="BFBFBF" w:sz="1"/>
              <w:bottom w:val="single" w:color="BFBFBF" w:sz="1"/>
              <w:right w:val="single" w:color="BFBFBF" w:sz="1"/>
            </w:tcBorders>
            <w:shd w:fill="D9E2F3"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10</w:t>
            </w:r>
          </w:p>
        </w:tc>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b/>
                <w:bCs/>
                <w:color w:val="404040"/>
                <w:sz w:val="20"/>
                <w:szCs w:val="20"/>
              </w:rPr>
              <w:t xml:space="preserve">Pre-Cutover Checks</w:t>
            </w:r>
          </w:p>
        </w:tc>
        <w:tc>
          <w:tcPr>
            <w:tcW w:type="dxa" w:w="63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Verify replication lag = 0 seconds. Confirm source application dependencies (databases, file shares) are also ready for cutover. Communicate to users.</w:t>
            </w:r>
          </w:p>
          <w:p>
            <w:pPr>
              <w:spacing w:before="40"/>
            </w:pPr>
            <w:r>
              <w:rPr>
                <w:rFonts w:ascii="Courier New" w:cs="Courier New" w:eastAsia="Courier New" w:hAnsi="Courier New"/>
                <w:color w:val="1A3A5C"/>
                <w:sz w:val="19"/>
                <w:szCs w:val="19"/>
              </w:rPr>
              <w:t xml:space="preserve">MGN Console → Source Servers → Data Replication Info: lag = 0s</w:t>
            </w:r>
          </w:p>
        </w:tc>
      </w:tr>
      <w:tr>
        <w:tc>
          <w:tcPr>
            <w:tcW w:type="dxa" w:w="600"/>
            <w:tcBorders>
              <w:top w:val="single" w:color="BFBFBF" w:sz="1"/>
              <w:left w:val="single" w:color="BFBFBF" w:sz="1"/>
              <w:bottom w:val="single" w:color="BFBFBF" w:sz="1"/>
              <w:right w:val="single" w:color="BFBFBF" w:sz="1"/>
            </w:tcBorders>
            <w:shd w:fill="EDF2FA"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11</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Execute Cutover</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Stop source server services. Wait for final replication sync (lag = 0). Launch cutover instance. Update DNS/load balancer to point to new EC2 instance. Validate application.</w:t>
            </w:r>
          </w:p>
          <w:p>
            <w:pPr>
              <w:spacing w:before="40"/>
            </w:pPr>
            <w:r>
              <w:rPr>
                <w:rFonts w:ascii="Courier New" w:cs="Courier New" w:eastAsia="Courier New" w:hAnsi="Courier New"/>
                <w:color w:val="1A3A5C"/>
                <w:sz w:val="19"/>
                <w:szCs w:val="19"/>
              </w:rPr>
              <w:t xml:space="preserve">MGN → Source Servers → Select server → Test and Cutover → Launch Cutover Instances</w:t>
            </w:r>
          </w:p>
        </w:tc>
      </w:tr>
      <w:tr>
        <w:tc>
          <w:tcPr>
            <w:tcW w:type="dxa" w:w="600"/>
            <w:tcBorders>
              <w:top w:val="single" w:color="BFBFBF" w:sz="1"/>
              <w:left w:val="single" w:color="BFBFBF" w:sz="1"/>
              <w:bottom w:val="single" w:color="BFBFBF" w:sz="1"/>
              <w:right w:val="single" w:color="BFBFBF" w:sz="1"/>
            </w:tcBorders>
            <w:shd w:fill="D9E2F3"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12</w:t>
            </w:r>
          </w:p>
        </w:tc>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b/>
                <w:bCs/>
                <w:color w:val="404040"/>
                <w:sz w:val="20"/>
                <w:szCs w:val="20"/>
              </w:rPr>
              <w:t xml:space="preserve">Finalise &amp; Archive</w:t>
            </w:r>
          </w:p>
        </w:tc>
        <w:tc>
          <w:tcPr>
            <w:tcW w:type="dxa" w:w="63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After 48-hour validation, finalise the cutover (terminates replication server, releases staging resources). Archive the source server record.</w:t>
            </w:r>
          </w:p>
          <w:p>
            <w:pPr>
              <w:spacing w:before="40"/>
            </w:pPr>
            <w:r>
              <w:rPr>
                <w:rFonts w:ascii="Courier New" w:cs="Courier New" w:eastAsia="Courier New" w:hAnsi="Courier New"/>
                <w:color w:val="1A3A5C"/>
                <w:sz w:val="19"/>
                <w:szCs w:val="19"/>
              </w:rPr>
              <w:t xml:space="preserve">MGN → Source Servers → Finalise Cutover → Archive</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A.3 Replication Settings — Recommended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Setting</w:t>
            </w:r>
          </w:p>
        </w:tc>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Recommended Value</w:t>
            </w:r>
          </w:p>
        </w:tc>
        <w:tc>
          <w:tcPr>
            <w:tcW w:type="dxa" w:w="37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Rationale</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Staging area subnet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Private subnet (no public IP)</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Security — replication servers must not be internet-accessible.</w:t>
            </w:r>
          </w:p>
        </w:tc>
      </w:tr>
      <w:tr>
        <w:tc>
          <w:tcPr>
            <w:tcW w:type="dxa" w:w="26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Replication server instance type</w:t>
            </w:r>
          </w:p>
        </w:tc>
        <w:tc>
          <w:tcPr>
            <w:tcW w:type="dxa" w:w="30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t3.small (default) for most; t3.medium for servers with &gt;500 GB disks</w:t>
            </w:r>
          </w:p>
        </w:tc>
        <w:tc>
          <w:tcPr>
            <w:tcW w:type="dxa" w:w="37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Balance of cost and replication throughput.</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Replication server data disk type</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gp3</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Cost-efficient with predictable throughput. Upgrade to io2 for high-change-rate databases.</w:t>
            </w:r>
          </w:p>
        </w:tc>
      </w:tr>
      <w:tr>
        <w:tc>
          <w:tcPr>
            <w:tcW w:type="dxa" w:w="26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EBS volume encryption</w:t>
            </w:r>
          </w:p>
        </w:tc>
        <w:tc>
          <w:tcPr>
            <w:tcW w:type="dxa" w:w="30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CMK (aws/mgn or custom KMS key)</w:t>
            </w:r>
          </w:p>
        </w:tc>
        <w:tc>
          <w:tcPr>
            <w:tcW w:type="dxa" w:w="37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Required for regulatory compliance. Set CMK ARN in replication settings.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Data routing</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Private (through VPN/Direct Connect)</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Ensures replication traffic stays on private circuit, not public internet.</w:t>
            </w:r>
          </w:p>
        </w:tc>
      </w:tr>
      <w:tr>
        <w:tc>
          <w:tcPr>
            <w:tcW w:type="dxa" w:w="26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Bandwidth throttling</w:t>
            </w:r>
          </w:p>
        </w:tc>
        <w:tc>
          <w:tcPr>
            <w:tcW w:type="dxa" w:w="30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0 (no throttle) during off-peak; 500 Mbps during business hours</w:t>
            </w:r>
          </w:p>
        </w:tc>
        <w:tc>
          <w:tcPr>
            <w:tcW w:type="dxa" w:w="37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Prevents replication from saturating Direct Connect during business hours.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Create public IP for replication servers</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Keep all staging infrastructure private.</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A.4 Post-Launch Actions — Configuration</w:t>
      </w:r>
    </w:p>
    <w:p>
      <w:pPr>
        <w:spacing w:after="60" w:before="60"/>
        <w:jc w:val="both"/>
      </w:pPr>
      <w:r>
        <w:rPr>
          <w:rFonts w:ascii="Arial" w:cs="Arial" w:eastAsia="Arial" w:hAnsi="Arial"/>
          <w:color w:val="404040"/>
          <w:sz w:val="22"/>
          <w:szCs w:val="22"/>
        </w:rPr>
        <w:t xml:space="preserve">Post-launch actions automate configuration changes that are needed on the migrated EC2 instance after it boots. These are critical for applications that have hard-coded IP addresses, machine-specific hostnames, or domain membership requirements.</w:t>
      </w:r>
    </w:p>
    <w:p>
      <w:pPr>
        <w:pStyle w:val="ListParagraph"/>
        <w:numPr>
          <w:ilvl w:val="0"/>
          <w:numId w:val="2"/>
        </w:numPr>
        <w:spacing w:after="40" w:before="40"/>
      </w:pPr>
      <w:r>
        <w:rPr>
          <w:rFonts w:ascii="Arial" w:cs="Arial" w:eastAsia="Arial" w:hAnsi="Arial"/>
          <w:color w:val="404040"/>
          <w:sz w:val="22"/>
          <w:szCs w:val="22"/>
        </w:rPr>
        <w:t xml:space="preserve">Post-launch actions are defined as SSM Documents or scripts executed via SSM Run Command on the new EC2 instance immediately after launch.</w:t>
      </w:r>
    </w:p>
    <w:p>
      <w:pPr>
        <w:pStyle w:val="ListParagraph"/>
        <w:numPr>
          <w:ilvl w:val="0"/>
          <w:numId w:val="2"/>
        </w:numPr>
        <w:spacing w:after="40" w:before="40"/>
      </w:pPr>
      <w:r>
        <w:rPr>
          <w:rFonts w:ascii="Arial" w:cs="Arial" w:eastAsia="Arial" w:hAnsi="Arial"/>
          <w:color w:val="404040"/>
          <w:sz w:val="22"/>
          <w:szCs w:val="22"/>
        </w:rPr>
        <w:t xml:space="preserve">Common actions: update /etc/hosts or Windows hosts file with new AWS private IP, update application config files with new RDS endpoint, rejoin Windows instances to Active Directory domain (AWS Managed AD or on-prem AD over DX), restart application services, run application health check script.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0F4F8" w:val="clear"/>
            <w:tcMar>
              <w:top w:type="dxa" w:w="40"/>
              <w:left w:type="dxa" w:w="160"/>
              <w:bottom w:type="dxa" w:w="40"/>
              <w:right w:type="dxa" w:w="160"/>
            </w:tcMar>
          </w:tcPr>
          <w:p>
            <w:r>
              <w:rPr>
                <w:rFonts w:ascii="Courier New" w:cs="Courier New" w:eastAsia="Courier New" w:hAnsi="Courier New"/>
                <w:color w:val="1A1A2E"/>
                <w:sz w:val="19"/>
                <w:szCs w:val="19"/>
              </w:rPr>
              <w:t xml:space="preserve"># Example post-launch action — SSM document (Linux)</w:t>
            </w:r>
          </w:p>
        </w:tc>
      </w:tr>
      <w:tr>
        <w:tc>
          <w:tcPr>
            <w:tcW w:type="dxa" w:w="9360"/>
            <w:tcBorders>
              <w:top w:val="single" w:color="BFBFBF" w:sz="1"/>
              <w:left w:val="single" w:color="BFBFBF" w:sz="1"/>
              <w:bottom w:val="single" w:color="BFBFBF" w:sz="1"/>
              <w:right w:val="single" w:color="BFBFBF" w:sz="1"/>
            </w:tcBorders>
            <w:shd w:fill="F0F4F8" w:val="clear"/>
            <w:tcMar>
              <w:top w:type="dxa" w:w="40"/>
              <w:left w:type="dxa" w:w="160"/>
              <w:bottom w:type="dxa" w:w="40"/>
              <w:right w:type="dxa" w:w="160"/>
            </w:tcMar>
          </w:tcPr>
          <w:p>
            <w:r>
              <w:rPr>
                <w:rFonts w:ascii="Courier New" w:cs="Courier New" w:eastAsia="Courier New" w:hAnsi="Courier New"/>
                <w:color w:val="1A1A2E"/>
                <w:sz w:val="19"/>
                <w:szCs w:val="19"/>
              </w:rPr>
              <w:t xml:space="preserve"># Updates application config with new DB endpoint from SSM Parameter Store</w:t>
            </w:r>
          </w:p>
        </w:tc>
      </w:tr>
      <w:tr>
        <w:tc>
          <w:tcPr>
            <w:tcW w:type="dxa" w:w="9360"/>
            <w:tcBorders>
              <w:top w:val="single" w:color="BFBFBF" w:sz="1"/>
              <w:left w:val="single" w:color="BFBFBF" w:sz="1"/>
              <w:bottom w:val="single" w:color="BFBFBF" w:sz="1"/>
              <w:right w:val="single" w:color="BFBFBF" w:sz="1"/>
            </w:tcBorders>
            <w:shd w:fill="F0F4F8" w:val="clear"/>
            <w:tcMar>
              <w:top w:type="dxa" w:w="40"/>
              <w:left w:type="dxa" w:w="160"/>
              <w:bottom w:type="dxa" w:w="40"/>
              <w:right w:type="dxa" w:w="160"/>
            </w:tcMar>
          </w:tcPr>
          <w:p>
            <w:r>
              <w:rPr>
                <w:rFonts w:ascii="Courier New" w:cs="Courier New" w:eastAsia="Courier New" w:hAnsi="Courier New"/>
                <w:color w:val="1A1A2E"/>
                <w:sz w:val="19"/>
                <w:szCs w:val="19"/>
              </w:rPr>
              <w:t xml:space="preserve">#!/bin/bash</w:t>
            </w:r>
          </w:p>
        </w:tc>
      </w:tr>
      <w:tr>
        <w:tc>
          <w:tcPr>
            <w:tcW w:type="dxa" w:w="9360"/>
            <w:tcBorders>
              <w:top w:val="single" w:color="BFBFBF" w:sz="1"/>
              <w:left w:val="single" w:color="BFBFBF" w:sz="1"/>
              <w:bottom w:val="single" w:color="BFBFBF" w:sz="1"/>
              <w:right w:val="single" w:color="BFBFBF" w:sz="1"/>
            </w:tcBorders>
            <w:shd w:fill="F0F4F8" w:val="clear"/>
            <w:tcMar>
              <w:top w:type="dxa" w:w="40"/>
              <w:left w:type="dxa" w:w="160"/>
              <w:bottom w:type="dxa" w:w="40"/>
              <w:right w:type="dxa" w:w="160"/>
            </w:tcMar>
          </w:tcPr>
          <w:p>
            <w:r>
              <w:rPr>
                <w:rFonts w:ascii="Courier New" w:cs="Courier New" w:eastAsia="Courier New" w:hAnsi="Courier New"/>
                <w:color w:val="1A1A2E"/>
                <w:sz w:val="19"/>
                <w:szCs w:val="19"/>
              </w:rPr>
              <w:t xml:space="preserve">DB_ENDPOINT=$(aws ssm get-parameter --name /migration/prod/db-endpoint \</w:t>
            </w:r>
          </w:p>
        </w:tc>
      </w:tr>
      <w:tr>
        <w:tc>
          <w:tcPr>
            <w:tcW w:type="dxa" w:w="9360"/>
            <w:tcBorders>
              <w:top w:val="single" w:color="BFBFBF" w:sz="1"/>
              <w:left w:val="single" w:color="BFBFBF" w:sz="1"/>
              <w:bottom w:val="single" w:color="BFBFBF" w:sz="1"/>
              <w:right w:val="single" w:color="BFBFBF" w:sz="1"/>
            </w:tcBorders>
            <w:shd w:fill="F0F4F8" w:val="clear"/>
            <w:tcMar>
              <w:top w:type="dxa" w:w="40"/>
              <w:left w:type="dxa" w:w="160"/>
              <w:bottom w:type="dxa" w:w="40"/>
              <w:right w:type="dxa" w:w="160"/>
            </w:tcMar>
          </w:tcPr>
          <w:p>
            <w:r>
              <w:rPr>
                <w:rFonts w:ascii="Courier New" w:cs="Courier New" w:eastAsia="Courier New" w:hAnsi="Courier New"/>
                <w:color w:val="1A1A2E"/>
                <w:sz w:val="19"/>
                <w:szCs w:val="19"/>
              </w:rPr>
              <w:t xml:space="preserve">  --region ap-south-1 --query 'Parameter.Value' --output text)</w:t>
            </w:r>
          </w:p>
        </w:tc>
      </w:tr>
      <w:tr>
        <w:tc>
          <w:tcPr>
            <w:tcW w:type="dxa" w:w="9360"/>
            <w:tcBorders>
              <w:top w:val="single" w:color="BFBFBF" w:sz="1"/>
              <w:left w:val="single" w:color="BFBFBF" w:sz="1"/>
              <w:bottom w:val="single" w:color="BFBFBF" w:sz="1"/>
              <w:right w:val="single" w:color="BFBFBF" w:sz="1"/>
            </w:tcBorders>
            <w:shd w:fill="F0F4F8" w:val="clear"/>
            <w:tcMar>
              <w:top w:type="dxa" w:w="40"/>
              <w:left w:type="dxa" w:w="160"/>
              <w:bottom w:type="dxa" w:w="40"/>
              <w:right w:type="dxa" w:w="160"/>
            </w:tcMar>
          </w:tcPr>
          <w:p>
            <w:r>
              <w:rPr>
                <w:rFonts w:ascii="Courier New" w:cs="Courier New" w:eastAsia="Courier New" w:hAnsi="Courier New"/>
                <w:color w:val="1A1A2E"/>
                <w:sz w:val="19"/>
                <w:szCs w:val="19"/>
              </w:rPr>
              <w:t xml:space="preserve">sed -i "s|OLD_DB_ENDPOINT|${DB_ENDPOINT}|g" /etc/app/config.properties</w:t>
            </w:r>
          </w:p>
        </w:tc>
      </w:tr>
      <w:tr>
        <w:tc>
          <w:tcPr>
            <w:tcW w:type="dxa" w:w="9360"/>
            <w:tcBorders>
              <w:top w:val="single" w:color="BFBFBF" w:sz="1"/>
              <w:left w:val="single" w:color="BFBFBF" w:sz="1"/>
              <w:bottom w:val="single" w:color="BFBFBF" w:sz="1"/>
              <w:right w:val="single" w:color="BFBFBF" w:sz="1"/>
            </w:tcBorders>
            <w:shd w:fill="F0F4F8" w:val="clear"/>
            <w:tcMar>
              <w:top w:type="dxa" w:w="40"/>
              <w:left w:type="dxa" w:w="160"/>
              <w:bottom w:type="dxa" w:w="40"/>
              <w:right w:type="dxa" w:w="160"/>
            </w:tcMar>
          </w:tcPr>
          <w:p>
            <w:r>
              <w:rPr>
                <w:rFonts w:ascii="Courier New" w:cs="Courier New" w:eastAsia="Courier New" w:hAnsi="Courier New"/>
                <w:color w:val="1A1A2E"/>
                <w:sz w:val="19"/>
                <w:szCs w:val="19"/>
              </w:rPr>
              <w:t xml:space="preserve">systemctl restart app-service</w:t>
            </w:r>
          </w:p>
        </w:tc>
      </w:tr>
      <w:tr>
        <w:tc>
          <w:tcPr>
            <w:tcW w:type="dxa" w:w="9360"/>
            <w:tcBorders>
              <w:top w:val="single" w:color="BFBFBF" w:sz="1"/>
              <w:left w:val="single" w:color="BFBFBF" w:sz="1"/>
              <w:bottom w:val="single" w:color="BFBFBF" w:sz="1"/>
              <w:right w:val="single" w:color="BFBFBF" w:sz="1"/>
            </w:tcBorders>
            <w:shd w:fill="F0F4F8" w:val="clear"/>
            <w:tcMar>
              <w:top w:type="dxa" w:w="40"/>
              <w:left w:type="dxa" w:w="160"/>
              <w:bottom w:type="dxa" w:w="40"/>
              <w:right w:type="dxa" w:w="160"/>
            </w:tcMar>
          </w:tcPr>
          <w:p>
            <w:r>
              <w:rPr>
                <w:rFonts w:ascii="Courier New" w:cs="Courier New" w:eastAsia="Courier New" w:hAnsi="Courier New"/>
                <w:color w:val="1A1A2E"/>
                <w:sz w:val="19"/>
                <w:szCs w:val="19"/>
              </w:rPr>
              <w:t xml:space="preserve">echo 'Post-launch config update complete'</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A.5 Troubleshooting MGN — 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Issue</w:t>
            </w:r>
          </w:p>
        </w:tc>
        <w:tc>
          <w:tcPr>
            <w:tcW w:type="dxa" w:w="3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Cause</w:t>
            </w:r>
          </w:p>
        </w:tc>
        <w:tc>
          <w:tcPr>
            <w:tcW w:type="dxa" w:w="37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Resolution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Agent installation fails — network error</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TCP 1500 blocked by on-prem firewall to staging subnet</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Open TCP 1500 from source server to staging subnet CIDR in on-prem firewall.</w:t>
            </w:r>
          </w:p>
        </w:tc>
      </w:tr>
      <w:tr>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Initial sync stalls at X%</w:t>
            </w:r>
          </w:p>
        </w:tc>
        <w:tc>
          <w:tcPr>
            <w:tcW w:type="dxa" w:w="32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Disk with heavy write activity during initial sync</w:t>
            </w:r>
          </w:p>
        </w:tc>
        <w:tc>
          <w:tcPr>
            <w:tcW w:type="dxa" w:w="37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Normal — MGN catches up after initial snapshot. Monitor CDCLatency metric.</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Replication lag &gt; 60 seconds</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Insufficient replication server size or network bandwidth</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Upgrade replication server to t3.medium or increase Direct Connect bandwidth allocation.</w:t>
            </w:r>
          </w:p>
        </w:tc>
      </w:tr>
      <w:tr>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Test instance fails to boot</w:t>
            </w:r>
          </w:p>
        </w:tc>
        <w:tc>
          <w:tcPr>
            <w:tcW w:type="dxa" w:w="32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Launch Template misconfiguration (wrong subnet, missing SG)</w:t>
            </w:r>
          </w:p>
        </w:tc>
        <w:tc>
          <w:tcPr>
            <w:tcW w:type="dxa" w:w="37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Review Launch Template. Check EC2 console system log for boot errors.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Windows activation fails post-migration</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Instance launched in AWS but retains on-prem BIOS key</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Use AWS-provided KMS endpoint for Windows activation: set KMS server to 169.254.169.250</w:t>
            </w:r>
          </w:p>
        </w:tc>
      </w:tr>
      <w:tr>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Application cannot connect to database post-migration</w:t>
            </w:r>
          </w:p>
        </w:tc>
        <w:tc>
          <w:tcPr>
            <w:tcW w:type="dxa" w:w="32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IP/hostname hardcoded in config, not updated by post-launch action</w:t>
            </w:r>
          </w:p>
        </w:tc>
        <w:tc>
          <w:tcPr>
            <w:tcW w:type="dxa" w:w="37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Verify post-launch action executed (SSM Run Command history). Re-run manually if failed.</w:t>
            </w:r>
          </w:p>
        </w:tc>
      </w:tr>
    </w:tbl>
    <w:p>
      <w:pPr>
        <w:spacing w:after="80" w:before="80"/>
      </w:pPr>
      <w:r>
        <w:t xml:space="preserve"/>
      </w:r>
    </w:p>
    <w:p>
      <w:r>
        <w:br w:type="page"/>
      </w:r>
    </w:p>
    <w:p>
      <w:pPr>
        <w:pStyle w:val="Heading1"/>
        <w:pBdr>
          <w:bottom w:val="single" w:color="1D5C2E" w:sz="8" w:space="4"/>
        </w:pBdr>
        <w:spacing w:after="120" w:before="360"/>
      </w:pPr>
      <w:r>
        <w:rPr>
          <w:rFonts w:ascii="Arial" w:cs="Arial" w:eastAsia="Arial" w:hAnsi="Arial"/>
          <w:b/>
          <w:bCs/>
          <w:color w:val="1D5C2E"/>
          <w:sz w:val="32"/>
          <w:szCs w:val="32"/>
        </w:rPr>
        <w:t xml:space="preserve">PART B — AWS Database Migration Service (DMS)</w:t>
      </w:r>
    </w:p>
    <w:p>
      <w:pPr>
        <w:pStyle w:val="Heading2"/>
        <w:spacing w:after="80" w:before="240"/>
      </w:pPr>
      <w:r>
        <w:rPr>
          <w:rFonts w:ascii="Arial" w:cs="Arial" w:eastAsia="Arial" w:hAnsi="Arial"/>
          <w:b/>
          <w:bCs/>
          <w:color w:val="2E75B6"/>
          <w:sz w:val="26"/>
          <w:szCs w:val="26"/>
        </w:rPr>
        <w:t xml:space="preserve">B.1 How DMS Works — Key Concepts</w:t>
      </w:r>
    </w:p>
    <w:p>
      <w:pPr>
        <w:spacing w:after="60" w:before="60"/>
        <w:jc w:val="both"/>
      </w:pPr>
      <w:r>
        <w:rPr>
          <w:rFonts w:ascii="Arial" w:cs="Arial" w:eastAsia="Arial" w:hAnsi="Arial"/>
          <w:color w:val="404040"/>
          <w:sz w:val="22"/>
          <w:szCs w:val="22"/>
        </w:rPr>
        <w:t xml:space="preserve">AWS DMS migrates databases by connecting to a source database, reading data row by row (full load) and then tracking changes (CDC — Change Data Capture), and writing to a target database. DMS runs on a managed Replication Instance — an EC2 instance in your VPC that hosts the migration engine. DMS supports both homogeneous migrations (same engine) and heterogeneous migrations (different engines), the latter requiring schema conversion via AWS SCT first.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Concept</w:t>
            </w:r>
          </w:p>
        </w:tc>
        <w:tc>
          <w:tcPr>
            <w:tcW w:type="dxa" w:w="6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Description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Replication Instance</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 managed EC2 instance (e.g., dms.r5.xlarge) in your VPC that runs the DMS replication engine. You choose the instance class based on your database size and throughput requirements.</w:t>
            </w:r>
          </w:p>
        </w:tc>
      </w:tr>
      <w:tr>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Source Endpoint</w:t>
            </w:r>
          </w:p>
        </w:tc>
        <w:tc>
          <w:tcPr>
            <w:tcW w:type="dxa" w:w="69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The connection definition for the source database — engine type, hostname, port, credentials, SSL settings. DMS reads data from this endpoint.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Target Endpoint</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connection definition for the target database — RDS, Aurora, S3, etc. DMS writes data to this endpoint.</w:t>
            </w:r>
          </w:p>
        </w:tc>
      </w:tr>
      <w:tr>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Migration Task</w:t>
            </w:r>
          </w:p>
        </w:tc>
        <w:tc>
          <w:tcPr>
            <w:tcW w:type="dxa" w:w="69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The core DMS object. Defines: which source endpoint, which target endpoint, migration type (full load / CDC / full load + CDC), table mapping rules, and task settings.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Full Load</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initial phase where DMS reads all data from source tables and inserts into target. Parallelised across tables. No source changes are applied during this phase (they are buffered).</w:t>
            </w:r>
          </w:p>
        </w:tc>
      </w:tr>
      <w:tr>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CDC (Change Data Capture)</w:t>
            </w:r>
          </w:p>
        </w:tc>
        <w:tc>
          <w:tcPr>
            <w:tcW w:type="dxa" w:w="69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After full load, DMS reads the source's transaction log (Oracle redo logs, SQL Server CDC, MySQL binlog) and applies INSERT/UPDATE/DELETE changes to the target in near-real-time.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Table Mapping</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JSON rules defining which schemas/tables to include or exclude, transformation rules (rename columns/tables), and filtering conditions.</w:t>
            </w:r>
          </w:p>
        </w:tc>
      </w:tr>
      <w:tr>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AWS SCT</w:t>
            </w:r>
          </w:p>
        </w:tc>
        <w:tc>
          <w:tcPr>
            <w:tcW w:type="dxa" w:w="69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AWS Schema Conversion Tool — a desktop/cloud tool that converts the source database schema (DDL, procedures, functions, views) to the target engine format. Required for heterogeneous migrations.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Data Validation</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DMS compares source and target row counts and data values after full load. Reports Validated, Pending, Mismatched, and Suspended counts.</w:t>
            </w:r>
          </w:p>
        </w:tc>
      </w:tr>
      <w:tr>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LOB Handling</w:t>
            </w:r>
          </w:p>
        </w:tc>
        <w:tc>
          <w:tcPr>
            <w:tcW w:type="dxa" w:w="69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Large Object columns (BLOB, CLOB, BYTEA) require special handling: Limited LOB mode truncates to max_lob_size; Full LOB mode migrates complete objects but is slower.</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B.2 DMS Setup — Step-by-Step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Step</w:t>
            </w:r>
          </w:p>
        </w:tc>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Stage</w:t>
            </w:r>
          </w:p>
        </w:tc>
        <w:tc>
          <w:tcPr>
            <w:tcW w:type="dxa" w:w="6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Detail &amp; Commands</w:t>
            </w:r>
          </w:p>
        </w:tc>
      </w:tr>
      <w:tr>
        <w:tc>
          <w:tcPr>
            <w:tcW w:type="dxa" w:w="600"/>
            <w:tcBorders>
              <w:top w:val="single" w:color="BFBFBF" w:sz="1"/>
              <w:left w:val="single" w:color="BFBFBF" w:sz="1"/>
              <w:bottom w:val="single" w:color="BFBFBF" w:sz="1"/>
              <w:right w:val="single" w:color="BFBFBF" w:sz="1"/>
            </w:tcBorders>
            <w:shd w:fill="EDF2FA"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1</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Create Replication Subnet Group</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Create a subnet group covering all private subnets in the migration VPC. DMS requires at least 2 AZs for Multi-AZ deployment.</w:t>
            </w:r>
          </w:p>
          <w:p>
            <w:pPr>
              <w:spacing w:before="40"/>
            </w:pPr>
            <w:r>
              <w:rPr>
                <w:rFonts w:ascii="Courier New" w:cs="Courier New" w:eastAsia="Courier New" w:hAnsi="Courier New"/>
                <w:color w:val="1A3A5C"/>
                <w:sz w:val="19"/>
                <w:szCs w:val="19"/>
              </w:rPr>
              <w:t xml:space="preserve">AWS Console → DMS → Subnet Groups → Create → Select private subnets in AZ-a and AZ-b</w:t>
            </w:r>
          </w:p>
        </w:tc>
      </w:tr>
      <w:tr>
        <w:tc>
          <w:tcPr>
            <w:tcW w:type="dxa" w:w="600"/>
            <w:tcBorders>
              <w:top w:val="single" w:color="BFBFBF" w:sz="1"/>
              <w:left w:val="single" w:color="BFBFBF" w:sz="1"/>
              <w:bottom w:val="single" w:color="BFBFBF" w:sz="1"/>
              <w:right w:val="single" w:color="BFBFBF" w:sz="1"/>
            </w:tcBorders>
            <w:shd w:fill="D9E2F3"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2</w:t>
            </w:r>
          </w:p>
        </w:tc>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b/>
                <w:bCs/>
                <w:color w:val="404040"/>
                <w:sz w:val="20"/>
                <w:szCs w:val="20"/>
              </w:rPr>
              <w:t xml:space="preserve">Create Replication Instance</w:t>
            </w:r>
          </w:p>
        </w:tc>
        <w:tc>
          <w:tcPr>
            <w:tcW w:type="dxa" w:w="63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Launch dms.r5.xlarge (pilot) or dms.r5.2xlarge (production waves). Enable Multi-AZ. Allocate 200 GB storage (increase for large migrations). Assign to the subnet group and DMS security group.</w:t>
            </w:r>
          </w:p>
          <w:p>
            <w:pPr>
              <w:spacing w:before="40"/>
            </w:pPr>
            <w:r>
              <w:rPr>
                <w:rFonts w:ascii="Courier New" w:cs="Courier New" w:eastAsia="Courier New" w:hAnsi="Courier New"/>
                <w:color w:val="1A3A5C"/>
                <w:sz w:val="19"/>
                <w:szCs w:val="19"/>
              </w:rPr>
              <w:t xml:space="preserve">DMS → Replication Instances → Create → Class: dms.r5.xlarge, Multi-AZ: Yes, VPC: migration-vpc</w:t>
            </w:r>
          </w:p>
        </w:tc>
      </w:tr>
      <w:tr>
        <w:tc>
          <w:tcPr>
            <w:tcW w:type="dxa" w:w="600"/>
            <w:tcBorders>
              <w:top w:val="single" w:color="BFBFBF" w:sz="1"/>
              <w:left w:val="single" w:color="BFBFBF" w:sz="1"/>
              <w:bottom w:val="single" w:color="BFBFBF" w:sz="1"/>
              <w:right w:val="single" w:color="BFBFBF" w:sz="1"/>
            </w:tcBorders>
            <w:shd w:fill="EDF2FA"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3</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Prepare Source — Oracle</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Enable Supplemental Logging: ALTER DATABASE ADD SUPPLEMENTAL LOG DATA; Grant DMS user: CREATE USER dms_user IDENTIFIED BY '...'; GRANT CREATE SESSION, SELECT ANY TABLE, SELECT ANY TRANSACTION to dms_user;</w:t>
            </w:r>
          </w:p>
          <w:p>
            <w:pPr>
              <w:spacing w:before="40"/>
            </w:pPr>
            <w:r>
              <w:rPr>
                <w:rFonts w:ascii="Courier New" w:cs="Courier New" w:eastAsia="Courier New" w:hAnsi="Courier New"/>
                <w:color w:val="1A3A5C"/>
                <w:sz w:val="19"/>
                <w:szCs w:val="19"/>
              </w:rPr>
              <w:t xml:space="preserve">SQL*Plus: ALTER DATABASE ADD SUPPLEMENTAL LOG DATA; SELECT SUPPLEMENTAL_LOG_DATA_MIN FROM V$DATABASE;</w:t>
            </w:r>
          </w:p>
        </w:tc>
      </w:tr>
      <w:tr>
        <w:tc>
          <w:tcPr>
            <w:tcW w:type="dxa" w:w="600"/>
            <w:tcBorders>
              <w:top w:val="single" w:color="BFBFBF" w:sz="1"/>
              <w:left w:val="single" w:color="BFBFBF" w:sz="1"/>
              <w:bottom w:val="single" w:color="BFBFBF" w:sz="1"/>
              <w:right w:val="single" w:color="BFBFBF" w:sz="1"/>
            </w:tcBorders>
            <w:shd w:fill="D9E2F3"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4</w:t>
            </w:r>
          </w:p>
        </w:tc>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b/>
                <w:bCs/>
                <w:color w:val="404040"/>
                <w:sz w:val="20"/>
                <w:szCs w:val="20"/>
              </w:rPr>
              <w:t xml:space="preserve">Prepare Source — SQL Server</w:t>
            </w:r>
          </w:p>
        </w:tc>
        <w:tc>
          <w:tcPr>
            <w:tcW w:type="dxa" w:w="63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Enable MS-CDC: EXEC sys.sp_cdc_enable_db; For each table: EXEC sys.sp_cdc_enable_table @source_schema='dbo', @source_name='tablename', @role_name=NULL; Grant sysadmin or db_owner to DMS user.</w:t>
            </w:r>
          </w:p>
          <w:p>
            <w:pPr>
              <w:spacing w:before="40"/>
            </w:pPr>
            <w:r>
              <w:rPr>
                <w:rFonts w:ascii="Courier New" w:cs="Courier New" w:eastAsia="Courier New" w:hAnsi="Courier New"/>
                <w:color w:val="1A3A5C"/>
                <w:sz w:val="19"/>
                <w:szCs w:val="19"/>
              </w:rPr>
              <w:t xml:space="preserve">SQL Server: USE RISKANALYTICS_DB; EXEC sys.sp_cdc_enable_db; SELECT is_cdc_enabled FROM sys.databases WHERE name='RISKANALYTICS_DB'</w:t>
            </w:r>
          </w:p>
        </w:tc>
      </w:tr>
      <w:tr>
        <w:tc>
          <w:tcPr>
            <w:tcW w:type="dxa" w:w="600"/>
            <w:tcBorders>
              <w:top w:val="single" w:color="BFBFBF" w:sz="1"/>
              <w:left w:val="single" w:color="BFBFBF" w:sz="1"/>
              <w:bottom w:val="single" w:color="BFBFBF" w:sz="1"/>
              <w:right w:val="single" w:color="BFBFBF" w:sz="1"/>
            </w:tcBorders>
            <w:shd w:fill="EDF2FA"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5</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Prepare Source — MySQL</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Enable binary logging: binlog_format=ROW in my.cnf. Grant replication permissions: GRANT REPLICATION SLAVE, REPLICATION CLIENT ON *.* TO 'dms_user'@'%';</w:t>
            </w:r>
          </w:p>
          <w:p>
            <w:pPr>
              <w:spacing w:before="40"/>
            </w:pPr>
            <w:r>
              <w:rPr>
                <w:rFonts w:ascii="Courier New" w:cs="Courier New" w:eastAsia="Courier New" w:hAnsi="Courier New"/>
                <w:color w:val="1A3A5C"/>
                <w:sz w:val="19"/>
                <w:szCs w:val="19"/>
              </w:rPr>
              <w:t xml:space="preserve">MySQL: SHOW VARIABLES LIKE 'binlog_format'; -- Should return ROW</w:t>
            </w:r>
          </w:p>
        </w:tc>
      </w:tr>
      <w:tr>
        <w:tc>
          <w:tcPr>
            <w:tcW w:type="dxa" w:w="600"/>
            <w:tcBorders>
              <w:top w:val="single" w:color="BFBFBF" w:sz="1"/>
              <w:left w:val="single" w:color="BFBFBF" w:sz="1"/>
              <w:bottom w:val="single" w:color="BFBFBF" w:sz="1"/>
              <w:right w:val="single" w:color="BFBFBF" w:sz="1"/>
            </w:tcBorders>
            <w:shd w:fill="D9E2F3"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6</w:t>
            </w:r>
          </w:p>
        </w:tc>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b/>
                <w:bCs/>
                <w:color w:val="404040"/>
                <w:sz w:val="20"/>
                <w:szCs w:val="20"/>
              </w:rPr>
              <w:t xml:space="preserve">Run AWS SCT (Heterogeneous only)</w:t>
            </w:r>
          </w:p>
        </w:tc>
        <w:tc>
          <w:tcPr>
            <w:tcW w:type="dxa" w:w="63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For Oracle→Aurora PostgreSQL (COREBANKING_DB): Install SCT on migration workstation. Connect to Oracle source. Create new project with target Aurora PostgreSQL. Run assessment report. Resolve all Error-severity action items. Apply converted schema to Aurora target.</w:t>
            </w:r>
          </w:p>
          <w:p>
            <w:pPr>
              <w:spacing w:before="40"/>
            </w:pPr>
            <w:r>
              <w:rPr>
                <w:rFonts w:ascii="Courier New" w:cs="Courier New" w:eastAsia="Courier New" w:hAnsi="Courier New"/>
                <w:color w:val="1A3A5C"/>
                <w:sz w:val="19"/>
                <w:szCs w:val="19"/>
              </w:rPr>
              <w:t xml:space="preserve">SCT: File → New Project → Source: Oracle, Target: Amazon Aurora PostgreSQL. View → Assessment Report.</w:t>
            </w:r>
          </w:p>
        </w:tc>
      </w:tr>
      <w:tr>
        <w:tc>
          <w:tcPr>
            <w:tcW w:type="dxa" w:w="600"/>
            <w:tcBorders>
              <w:top w:val="single" w:color="BFBFBF" w:sz="1"/>
              <w:left w:val="single" w:color="BFBFBF" w:sz="1"/>
              <w:bottom w:val="single" w:color="BFBFBF" w:sz="1"/>
              <w:right w:val="single" w:color="BFBFBF" w:sz="1"/>
            </w:tcBorders>
            <w:shd w:fill="EDF2FA"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7</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Create Source Endpoints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For each source DB: create DMS endpoint. Set engine, hostname (or IP), port, username/password. Set SSL mode = verify-full. Click 'Test connection' — must return Success.</w:t>
            </w:r>
          </w:p>
          <w:p>
            <w:pPr>
              <w:spacing w:before="40"/>
            </w:pPr>
            <w:r>
              <w:rPr>
                <w:rFonts w:ascii="Courier New" w:cs="Courier New" w:eastAsia="Courier New" w:hAnsi="Courier New"/>
                <w:color w:val="1A3A5C"/>
                <w:sz w:val="19"/>
                <w:szCs w:val="19"/>
              </w:rPr>
              <w:t xml:space="preserve">DMS → Endpoints → Create → Type: Source, Engine: oracle, SSL mode: verify-full, Test connection</w:t>
            </w:r>
          </w:p>
        </w:tc>
      </w:tr>
      <w:tr>
        <w:tc>
          <w:tcPr>
            <w:tcW w:type="dxa" w:w="600"/>
            <w:tcBorders>
              <w:top w:val="single" w:color="BFBFBF" w:sz="1"/>
              <w:left w:val="single" w:color="BFBFBF" w:sz="1"/>
              <w:bottom w:val="single" w:color="BFBFBF" w:sz="1"/>
              <w:right w:val="single" w:color="BFBFBF" w:sz="1"/>
            </w:tcBorders>
            <w:shd w:fill="D9E2F3"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8</w:t>
            </w:r>
          </w:p>
        </w:tc>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b/>
                <w:bCs/>
                <w:color w:val="404040"/>
                <w:sz w:val="20"/>
                <w:szCs w:val="20"/>
              </w:rPr>
              <w:t xml:space="preserve">Create Target Endpoints</w:t>
            </w:r>
          </w:p>
        </w:tc>
        <w:tc>
          <w:tcPr>
            <w:tcW w:type="dxa" w:w="63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For each target RDS/Aurora: create DMS endpoint. Use the RDS endpoint hostname. SSL mode = verify-full. Test connection.</w:t>
            </w:r>
          </w:p>
          <w:p>
            <w:pPr>
              <w:spacing w:before="40"/>
            </w:pPr>
            <w:r>
              <w:rPr>
                <w:rFonts w:ascii="Courier New" w:cs="Courier New" w:eastAsia="Courier New" w:hAnsi="Courier New"/>
                <w:color w:val="1A3A5C"/>
                <w:sz w:val="19"/>
                <w:szCs w:val="19"/>
              </w:rPr>
              <w:t xml:space="preserve">DMS → Endpoints → Create → Type: Target, Engine: aurora-postgresql. Test connection.</w:t>
            </w:r>
          </w:p>
        </w:tc>
      </w:tr>
      <w:tr>
        <w:tc>
          <w:tcPr>
            <w:tcW w:type="dxa" w:w="600"/>
            <w:tcBorders>
              <w:top w:val="single" w:color="BFBFBF" w:sz="1"/>
              <w:left w:val="single" w:color="BFBFBF" w:sz="1"/>
              <w:bottom w:val="single" w:color="BFBFBF" w:sz="1"/>
              <w:right w:val="single" w:color="BFBFBF" w:sz="1"/>
            </w:tcBorders>
            <w:shd w:fill="EDF2FA"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9</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Create Migration Tasks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For each DB, create a task: source endpoint, target endpoint, replication instance, migration type = full-load-and-cdc. Configure table mapping JSON. Enable validation. Set LOB settings. Enable CloudWatch logging.</w:t>
            </w:r>
          </w:p>
          <w:p>
            <w:pPr>
              <w:spacing w:before="40"/>
            </w:pPr>
            <w:r>
              <w:rPr>
                <w:rFonts w:ascii="Courier New" w:cs="Courier New" w:eastAsia="Courier New" w:hAnsi="Courier New"/>
                <w:color w:val="1A3A5C"/>
                <w:sz w:val="19"/>
                <w:szCs w:val="19"/>
              </w:rPr>
              <w:t xml:space="preserve">DMS → Database Migration Tasks → Create → Migration type: Migrate existing data and replicate ongoing changes</w:t>
            </w:r>
          </w:p>
        </w:tc>
      </w:tr>
      <w:tr>
        <w:tc>
          <w:tcPr>
            <w:tcW w:type="dxa" w:w="600"/>
            <w:tcBorders>
              <w:top w:val="single" w:color="BFBFBF" w:sz="1"/>
              <w:left w:val="single" w:color="BFBFBF" w:sz="1"/>
              <w:bottom w:val="single" w:color="BFBFBF" w:sz="1"/>
              <w:right w:val="single" w:color="BFBFBF" w:sz="1"/>
            </w:tcBorders>
            <w:shd w:fill="D9E2F3"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10</w:t>
            </w:r>
          </w:p>
        </w:tc>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b/>
                <w:bCs/>
                <w:color w:val="404040"/>
                <w:sz w:val="20"/>
                <w:szCs w:val="20"/>
              </w:rPr>
              <w:t xml:space="preserve">Monitor Full Load</w:t>
            </w:r>
          </w:p>
        </w:tc>
        <w:tc>
          <w:tcPr>
            <w:tcW w:type="dxa" w:w="63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Start tasks. Monitor progress in DMS console: Tables loaded, rows loaded, elapsed time. Check CloudWatch metrics: FullLoadThroughputRowsSource, CDCLatencySource.</w:t>
            </w:r>
          </w:p>
          <w:p>
            <w:pPr>
              <w:spacing w:before="40"/>
            </w:pPr>
            <w:r>
              <w:rPr>
                <w:rFonts w:ascii="Courier New" w:cs="Courier New" w:eastAsia="Courier New" w:hAnsi="Courier New"/>
                <w:color w:val="1A3A5C"/>
                <w:sz w:val="19"/>
                <w:szCs w:val="19"/>
              </w:rPr>
              <w:t xml:space="preserve">DMS → Tasks → Click task → Table Statistics tab. CloudWatch: AWS/DMS namespace</w:t>
            </w:r>
          </w:p>
        </w:tc>
      </w:tr>
      <w:tr>
        <w:tc>
          <w:tcPr>
            <w:tcW w:type="dxa" w:w="600"/>
            <w:tcBorders>
              <w:top w:val="single" w:color="BFBFBF" w:sz="1"/>
              <w:left w:val="single" w:color="BFBFBF" w:sz="1"/>
              <w:bottom w:val="single" w:color="BFBFBF" w:sz="1"/>
              <w:right w:val="single" w:color="BFBFBF" w:sz="1"/>
            </w:tcBorders>
            <w:shd w:fill="EDF2FA"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11</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Validate Data</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After full load, DMS starts validation. Check validation summary: Validation-succeeded count must equal total rows. Investigate any Mismatched rows — typically caused by LOB truncation or data type differences.</w:t>
            </w:r>
          </w:p>
          <w:p>
            <w:pPr>
              <w:spacing w:before="40"/>
            </w:pPr>
            <w:r>
              <w:rPr>
                <w:rFonts w:ascii="Courier New" w:cs="Courier New" w:eastAsia="Courier New" w:hAnsi="Courier New"/>
                <w:color w:val="1A3A5C"/>
                <w:sz w:val="19"/>
                <w:szCs w:val="19"/>
              </w:rPr>
              <w:t xml:space="preserve">DMS → Tasks → Click task → Table Statistics → Validation tab</w:t>
            </w:r>
          </w:p>
        </w:tc>
      </w:tr>
      <w:tr>
        <w:tc>
          <w:tcPr>
            <w:tcW w:type="dxa" w:w="600"/>
            <w:tcBorders>
              <w:top w:val="single" w:color="BFBFBF" w:sz="1"/>
              <w:left w:val="single" w:color="BFBFBF" w:sz="1"/>
              <w:bottom w:val="single" w:color="BFBFBF" w:sz="1"/>
              <w:right w:val="single" w:color="BFBFBF" w:sz="1"/>
            </w:tcBorders>
            <w:shd w:fill="D9E2F3"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12</w:t>
            </w:r>
          </w:p>
        </w:tc>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b/>
                <w:bCs/>
                <w:color w:val="404040"/>
                <w:sz w:val="20"/>
                <w:szCs w:val="20"/>
              </w:rPr>
              <w:t xml:space="preserve">Monitor CDC Replication</w:t>
            </w:r>
          </w:p>
        </w:tc>
        <w:tc>
          <w:tcPr>
            <w:tcW w:type="dxa" w:w="63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DMS transitions to CDC after full load. Monitor CDCLatencySource and CDCLatencyTarget in CloudWatch. Target: &lt; 30 seconds lag sustained over 24 hours before cutover.</w:t>
            </w:r>
          </w:p>
          <w:p>
            <w:pPr>
              <w:spacing w:before="40"/>
            </w:pPr>
            <w:r>
              <w:rPr>
                <w:rFonts w:ascii="Courier New" w:cs="Courier New" w:eastAsia="Courier New" w:hAnsi="Courier New"/>
                <w:color w:val="1A3A5C"/>
                <w:sz w:val="19"/>
                <w:szCs w:val="19"/>
              </w:rPr>
              <w:t xml:space="preserve">CloudWatch → Metrics → DMS → CDCLatencySource, CDCLatencyTarget</w:t>
            </w:r>
          </w:p>
        </w:tc>
      </w:tr>
      <w:tr>
        <w:tc>
          <w:tcPr>
            <w:tcW w:type="dxa" w:w="600"/>
            <w:tcBorders>
              <w:top w:val="single" w:color="BFBFBF" w:sz="1"/>
              <w:left w:val="single" w:color="BFBFBF" w:sz="1"/>
              <w:bottom w:val="single" w:color="BFBFBF" w:sz="1"/>
              <w:right w:val="single" w:color="BFBFBF" w:sz="1"/>
            </w:tcBorders>
            <w:shd w:fill="EDF2FA"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13</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Cutover Sequence</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Stop application writes to source DB. Wait for CDC lag = 0. Stop DMS task. Verify row counts on source and target match. Update application connection strings to target RDS/Aurora endpoint.</w:t>
            </w:r>
          </w:p>
          <w:p>
            <w:pPr>
              <w:spacing w:before="40"/>
            </w:pPr>
            <w:r>
              <w:rPr>
                <w:rFonts w:ascii="Courier New" w:cs="Courier New" w:eastAsia="Courier New" w:hAnsi="Courier New"/>
                <w:color w:val="1A3A5C"/>
                <w:sz w:val="19"/>
                <w:szCs w:val="19"/>
              </w:rPr>
              <w:t xml:space="preserve">DMS: Stop task after lag=0. Aurora endpoint: {db}.cluster-xxxxx.ap-south-1.rds.amazonaws.com</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B.3 Table Mapping JSON — Reference</w:t>
      </w:r>
    </w:p>
    <w:p>
      <w:pPr>
        <w:spacing w:after="60" w:before="60"/>
        <w:jc w:val="both"/>
      </w:pPr>
      <w:r>
        <w:rPr>
          <w:rFonts w:ascii="Arial" w:cs="Arial" w:eastAsia="Arial" w:hAnsi="Arial"/>
          <w:color w:val="404040"/>
          <w:sz w:val="22"/>
          <w:szCs w:val="22"/>
        </w:rPr>
        <w:t xml:space="preserve">Table mapping rules control which schemas and tables DMS migrates, and allow data transformations. All rules use a JSON format defined in the task's Table Mappings field.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0F4F8" w:val="clear"/>
            <w:tcMar>
              <w:top w:type="dxa" w:w="40"/>
              <w:left w:type="dxa" w:w="160"/>
              <w:bottom w:type="dxa" w:w="40"/>
              <w:right w:type="dxa" w:w="160"/>
            </w:tcMar>
          </w:tcPr>
          <w:p>
            <w:r>
              <w:rPr>
                <w:rFonts w:ascii="Courier New" w:cs="Courier New" w:eastAsia="Courier New" w:hAnsi="Courier New"/>
                <w:color w:val="1A1A2E"/>
                <w:sz w:val="19"/>
                <w:szCs w:val="19"/>
              </w:rPr>
              <w:t xml:space="preserve">{</w:t>
            </w:r>
          </w:p>
        </w:tc>
      </w:tr>
      <w:tr>
        <w:tc>
          <w:tcPr>
            <w:tcW w:type="dxa" w:w="9360"/>
            <w:tcBorders>
              <w:top w:val="single" w:color="BFBFBF" w:sz="1"/>
              <w:left w:val="single" w:color="BFBFBF" w:sz="1"/>
              <w:bottom w:val="single" w:color="BFBFBF" w:sz="1"/>
              <w:right w:val="single" w:color="BFBFBF" w:sz="1"/>
            </w:tcBorders>
            <w:shd w:fill="F0F4F8" w:val="clear"/>
            <w:tcMar>
              <w:top w:type="dxa" w:w="40"/>
              <w:left w:type="dxa" w:w="160"/>
              <w:bottom w:type="dxa" w:w="40"/>
              <w:right w:type="dxa" w:w="160"/>
            </w:tcMar>
          </w:tcPr>
          <w:p>
            <w:r>
              <w:rPr>
                <w:rFonts w:ascii="Courier New" w:cs="Courier New" w:eastAsia="Courier New" w:hAnsi="Courier New"/>
                <w:color w:val="1A1A2E"/>
                <w:sz w:val="19"/>
                <w:szCs w:val="19"/>
              </w:rPr>
              <w:t xml:space="preserve">  "rules": [</w:t>
            </w:r>
          </w:p>
        </w:tc>
      </w:tr>
      <w:tr>
        <w:tc>
          <w:tcPr>
            <w:tcW w:type="dxa" w:w="9360"/>
            <w:tcBorders>
              <w:top w:val="single" w:color="BFBFBF" w:sz="1"/>
              <w:left w:val="single" w:color="BFBFBF" w:sz="1"/>
              <w:bottom w:val="single" w:color="BFBFBF" w:sz="1"/>
              <w:right w:val="single" w:color="BFBFBF" w:sz="1"/>
            </w:tcBorders>
            <w:shd w:fill="F0F4F8" w:val="clear"/>
            <w:tcMar>
              <w:top w:type="dxa" w:w="40"/>
              <w:left w:type="dxa" w:w="160"/>
              <w:bottom w:type="dxa" w:w="40"/>
              <w:right w:type="dxa" w:w="160"/>
            </w:tcMar>
          </w:tcPr>
          <w:p>
            <w:r>
              <w:rPr>
                <w:rFonts w:ascii="Courier New" w:cs="Courier New" w:eastAsia="Courier New" w:hAnsi="Courier New"/>
                <w:color w:val="1A1A2E"/>
                <w:sz w:val="19"/>
                <w:szCs w:val="19"/>
              </w:rPr>
              <w:t xml:space="preserve">    {</w:t>
            </w:r>
          </w:p>
        </w:tc>
      </w:tr>
      <w:tr>
        <w:tc>
          <w:tcPr>
            <w:tcW w:type="dxa" w:w="9360"/>
            <w:tcBorders>
              <w:top w:val="single" w:color="BFBFBF" w:sz="1"/>
              <w:left w:val="single" w:color="BFBFBF" w:sz="1"/>
              <w:bottom w:val="single" w:color="BFBFBF" w:sz="1"/>
              <w:right w:val="single" w:color="BFBFBF" w:sz="1"/>
            </w:tcBorders>
            <w:shd w:fill="F0F4F8" w:val="clear"/>
            <w:tcMar>
              <w:top w:type="dxa" w:w="40"/>
              <w:left w:type="dxa" w:w="160"/>
              <w:bottom w:type="dxa" w:w="40"/>
              <w:right w:type="dxa" w:w="160"/>
            </w:tcMar>
          </w:tcPr>
          <w:p>
            <w:r>
              <w:rPr>
                <w:rFonts w:ascii="Courier New" w:cs="Courier New" w:eastAsia="Courier New" w:hAnsi="Courier New"/>
                <w:color w:val="1A1A2E"/>
                <w:sz w:val="19"/>
                <w:szCs w:val="19"/>
              </w:rPr>
              <w:t xml:space="preserve">      "rule-type": "selection",</w:t>
            </w:r>
          </w:p>
        </w:tc>
      </w:tr>
      <w:tr>
        <w:tc>
          <w:tcPr>
            <w:tcW w:type="dxa" w:w="9360"/>
            <w:tcBorders>
              <w:top w:val="single" w:color="BFBFBF" w:sz="1"/>
              <w:left w:val="single" w:color="BFBFBF" w:sz="1"/>
              <w:bottom w:val="single" w:color="BFBFBF" w:sz="1"/>
              <w:right w:val="single" w:color="BFBFBF" w:sz="1"/>
            </w:tcBorders>
            <w:shd w:fill="F0F4F8" w:val="clear"/>
            <w:tcMar>
              <w:top w:type="dxa" w:w="40"/>
              <w:left w:type="dxa" w:w="160"/>
              <w:bottom w:type="dxa" w:w="40"/>
              <w:right w:type="dxa" w:w="160"/>
            </w:tcMar>
          </w:tcPr>
          <w:p>
            <w:r>
              <w:rPr>
                <w:rFonts w:ascii="Courier New" w:cs="Courier New" w:eastAsia="Courier New" w:hAnsi="Courier New"/>
                <w:color w:val="1A1A2E"/>
                <w:sz w:val="19"/>
                <w:szCs w:val="19"/>
              </w:rPr>
              <w:t xml:space="preserve">      "rule-id": "1",</w:t>
            </w:r>
          </w:p>
        </w:tc>
      </w:tr>
      <w:tr>
        <w:tc>
          <w:tcPr>
            <w:tcW w:type="dxa" w:w="9360"/>
            <w:tcBorders>
              <w:top w:val="single" w:color="BFBFBF" w:sz="1"/>
              <w:left w:val="single" w:color="BFBFBF" w:sz="1"/>
              <w:bottom w:val="single" w:color="BFBFBF" w:sz="1"/>
              <w:right w:val="single" w:color="BFBFBF" w:sz="1"/>
            </w:tcBorders>
            <w:shd w:fill="F0F4F8" w:val="clear"/>
            <w:tcMar>
              <w:top w:type="dxa" w:w="40"/>
              <w:left w:type="dxa" w:w="160"/>
              <w:bottom w:type="dxa" w:w="40"/>
              <w:right w:type="dxa" w:w="160"/>
            </w:tcMar>
          </w:tcPr>
          <w:p>
            <w:r>
              <w:rPr>
                <w:rFonts w:ascii="Courier New" w:cs="Courier New" w:eastAsia="Courier New" w:hAnsi="Courier New"/>
                <w:color w:val="1A1A2E"/>
                <w:sz w:val="19"/>
                <w:szCs w:val="19"/>
              </w:rPr>
              <w:t xml:space="preserve">      "rule-name": "include-all-tables",</w:t>
            </w:r>
          </w:p>
        </w:tc>
      </w:tr>
      <w:tr>
        <w:tc>
          <w:tcPr>
            <w:tcW w:type="dxa" w:w="9360"/>
            <w:tcBorders>
              <w:top w:val="single" w:color="BFBFBF" w:sz="1"/>
              <w:left w:val="single" w:color="BFBFBF" w:sz="1"/>
              <w:bottom w:val="single" w:color="BFBFBF" w:sz="1"/>
              <w:right w:val="single" w:color="BFBFBF" w:sz="1"/>
            </w:tcBorders>
            <w:shd w:fill="F0F4F8" w:val="clear"/>
            <w:tcMar>
              <w:top w:type="dxa" w:w="40"/>
              <w:left w:type="dxa" w:w="160"/>
              <w:bottom w:type="dxa" w:w="40"/>
              <w:right w:type="dxa" w:w="160"/>
            </w:tcMar>
          </w:tcPr>
          <w:p>
            <w:r>
              <w:rPr>
                <w:rFonts w:ascii="Courier New" w:cs="Courier New" w:eastAsia="Courier New" w:hAnsi="Courier New"/>
                <w:color w:val="1A1A2E"/>
                <w:sz w:val="19"/>
                <w:szCs w:val="19"/>
              </w:rPr>
              <w:t xml:space="preserve">      "object-locator": { "schema-name": "COREBANKING", "table-name": "%" },</w:t>
            </w:r>
          </w:p>
        </w:tc>
      </w:tr>
      <w:tr>
        <w:tc>
          <w:tcPr>
            <w:tcW w:type="dxa" w:w="9360"/>
            <w:tcBorders>
              <w:top w:val="single" w:color="BFBFBF" w:sz="1"/>
              <w:left w:val="single" w:color="BFBFBF" w:sz="1"/>
              <w:bottom w:val="single" w:color="BFBFBF" w:sz="1"/>
              <w:right w:val="single" w:color="BFBFBF" w:sz="1"/>
            </w:tcBorders>
            <w:shd w:fill="F0F4F8" w:val="clear"/>
            <w:tcMar>
              <w:top w:type="dxa" w:w="40"/>
              <w:left w:type="dxa" w:w="160"/>
              <w:bottom w:type="dxa" w:w="40"/>
              <w:right w:type="dxa" w:w="160"/>
            </w:tcMar>
          </w:tcPr>
          <w:p>
            <w:r>
              <w:rPr>
                <w:rFonts w:ascii="Courier New" w:cs="Courier New" w:eastAsia="Courier New" w:hAnsi="Courier New"/>
                <w:color w:val="1A1A2E"/>
                <w:sz w:val="19"/>
                <w:szCs w:val="19"/>
              </w:rPr>
              <w:t xml:space="preserve">      "rule-action": "include"</w:t>
            </w:r>
          </w:p>
        </w:tc>
      </w:tr>
      <w:tr>
        <w:tc>
          <w:tcPr>
            <w:tcW w:type="dxa" w:w="9360"/>
            <w:tcBorders>
              <w:top w:val="single" w:color="BFBFBF" w:sz="1"/>
              <w:left w:val="single" w:color="BFBFBF" w:sz="1"/>
              <w:bottom w:val="single" w:color="BFBFBF" w:sz="1"/>
              <w:right w:val="single" w:color="BFBFBF" w:sz="1"/>
            </w:tcBorders>
            <w:shd w:fill="F0F4F8" w:val="clear"/>
            <w:tcMar>
              <w:top w:type="dxa" w:w="40"/>
              <w:left w:type="dxa" w:w="160"/>
              <w:bottom w:type="dxa" w:w="40"/>
              <w:right w:type="dxa" w:w="160"/>
            </w:tcMar>
          </w:tcPr>
          <w:p>
            <w:r>
              <w:rPr>
                <w:rFonts w:ascii="Courier New" w:cs="Courier New" w:eastAsia="Courier New" w:hAnsi="Courier New"/>
                <w:color w:val="1A1A2E"/>
                <w:sz w:val="19"/>
                <w:szCs w:val="19"/>
              </w:rPr>
              <w:t xml:space="preserve">    },</w:t>
            </w:r>
          </w:p>
        </w:tc>
      </w:tr>
      <w:tr>
        <w:tc>
          <w:tcPr>
            <w:tcW w:type="dxa" w:w="9360"/>
            <w:tcBorders>
              <w:top w:val="single" w:color="BFBFBF" w:sz="1"/>
              <w:left w:val="single" w:color="BFBFBF" w:sz="1"/>
              <w:bottom w:val="single" w:color="BFBFBF" w:sz="1"/>
              <w:right w:val="single" w:color="BFBFBF" w:sz="1"/>
            </w:tcBorders>
            <w:shd w:fill="F0F4F8" w:val="clear"/>
            <w:tcMar>
              <w:top w:type="dxa" w:w="40"/>
              <w:left w:type="dxa" w:w="160"/>
              <w:bottom w:type="dxa" w:w="40"/>
              <w:right w:type="dxa" w:w="160"/>
            </w:tcMar>
          </w:tcPr>
          <w:p>
            <w:r>
              <w:rPr>
                <w:rFonts w:ascii="Courier New" w:cs="Courier New" w:eastAsia="Courier New" w:hAnsi="Courier New"/>
                <w:color w:val="1A1A2E"/>
                <w:sz w:val="19"/>
                <w:szCs w:val="19"/>
              </w:rPr>
              <w:t xml:space="preserve">    {</w:t>
            </w:r>
          </w:p>
        </w:tc>
      </w:tr>
      <w:tr>
        <w:tc>
          <w:tcPr>
            <w:tcW w:type="dxa" w:w="9360"/>
            <w:tcBorders>
              <w:top w:val="single" w:color="BFBFBF" w:sz="1"/>
              <w:left w:val="single" w:color="BFBFBF" w:sz="1"/>
              <w:bottom w:val="single" w:color="BFBFBF" w:sz="1"/>
              <w:right w:val="single" w:color="BFBFBF" w:sz="1"/>
            </w:tcBorders>
            <w:shd w:fill="F0F4F8" w:val="clear"/>
            <w:tcMar>
              <w:top w:type="dxa" w:w="40"/>
              <w:left w:type="dxa" w:w="160"/>
              <w:bottom w:type="dxa" w:w="40"/>
              <w:right w:type="dxa" w:w="160"/>
            </w:tcMar>
          </w:tcPr>
          <w:p>
            <w:r>
              <w:rPr>
                <w:rFonts w:ascii="Courier New" w:cs="Courier New" w:eastAsia="Courier New" w:hAnsi="Courier New"/>
                <w:color w:val="1A1A2E"/>
                <w:sz w:val="19"/>
                <w:szCs w:val="19"/>
              </w:rPr>
              <w:t xml:space="preserve">      "rule-type": "selection",</w:t>
            </w:r>
          </w:p>
        </w:tc>
      </w:tr>
      <w:tr>
        <w:tc>
          <w:tcPr>
            <w:tcW w:type="dxa" w:w="9360"/>
            <w:tcBorders>
              <w:top w:val="single" w:color="BFBFBF" w:sz="1"/>
              <w:left w:val="single" w:color="BFBFBF" w:sz="1"/>
              <w:bottom w:val="single" w:color="BFBFBF" w:sz="1"/>
              <w:right w:val="single" w:color="BFBFBF" w:sz="1"/>
            </w:tcBorders>
            <w:shd w:fill="F0F4F8" w:val="clear"/>
            <w:tcMar>
              <w:top w:type="dxa" w:w="40"/>
              <w:left w:type="dxa" w:w="160"/>
              <w:bottom w:type="dxa" w:w="40"/>
              <w:right w:type="dxa" w:w="160"/>
            </w:tcMar>
          </w:tcPr>
          <w:p>
            <w:r>
              <w:rPr>
                <w:rFonts w:ascii="Courier New" w:cs="Courier New" w:eastAsia="Courier New" w:hAnsi="Courier New"/>
                <w:color w:val="1A1A2E"/>
                <w:sz w:val="19"/>
                <w:szCs w:val="19"/>
              </w:rPr>
              <w:t xml:space="preserve">      "rule-id": "2",</w:t>
            </w:r>
          </w:p>
        </w:tc>
      </w:tr>
      <w:tr>
        <w:tc>
          <w:tcPr>
            <w:tcW w:type="dxa" w:w="9360"/>
            <w:tcBorders>
              <w:top w:val="single" w:color="BFBFBF" w:sz="1"/>
              <w:left w:val="single" w:color="BFBFBF" w:sz="1"/>
              <w:bottom w:val="single" w:color="BFBFBF" w:sz="1"/>
              <w:right w:val="single" w:color="BFBFBF" w:sz="1"/>
            </w:tcBorders>
            <w:shd w:fill="F0F4F8" w:val="clear"/>
            <w:tcMar>
              <w:top w:type="dxa" w:w="40"/>
              <w:left w:type="dxa" w:w="160"/>
              <w:bottom w:type="dxa" w:w="40"/>
              <w:right w:type="dxa" w:w="160"/>
            </w:tcMar>
          </w:tcPr>
          <w:p>
            <w:r>
              <w:rPr>
                <w:rFonts w:ascii="Courier New" w:cs="Courier New" w:eastAsia="Courier New" w:hAnsi="Courier New"/>
                <w:color w:val="1A1A2E"/>
                <w:sz w:val="19"/>
                <w:szCs w:val="19"/>
              </w:rPr>
              <w:t xml:space="preserve">      "rule-name": "exclude-temp-tables",</w:t>
            </w:r>
          </w:p>
        </w:tc>
      </w:tr>
      <w:tr>
        <w:tc>
          <w:tcPr>
            <w:tcW w:type="dxa" w:w="9360"/>
            <w:tcBorders>
              <w:top w:val="single" w:color="BFBFBF" w:sz="1"/>
              <w:left w:val="single" w:color="BFBFBF" w:sz="1"/>
              <w:bottom w:val="single" w:color="BFBFBF" w:sz="1"/>
              <w:right w:val="single" w:color="BFBFBF" w:sz="1"/>
            </w:tcBorders>
            <w:shd w:fill="F0F4F8" w:val="clear"/>
            <w:tcMar>
              <w:top w:type="dxa" w:w="40"/>
              <w:left w:type="dxa" w:w="160"/>
              <w:bottom w:type="dxa" w:w="40"/>
              <w:right w:type="dxa" w:w="160"/>
            </w:tcMar>
          </w:tcPr>
          <w:p>
            <w:r>
              <w:rPr>
                <w:rFonts w:ascii="Courier New" w:cs="Courier New" w:eastAsia="Courier New" w:hAnsi="Courier New"/>
                <w:color w:val="1A1A2E"/>
                <w:sz w:val="19"/>
                <w:szCs w:val="19"/>
              </w:rPr>
              <w:t xml:space="preserve">      "object-locator": { "schema-name": "COREBANKING", "table-name": "TEMP_%" },</w:t>
            </w:r>
          </w:p>
        </w:tc>
      </w:tr>
      <w:tr>
        <w:tc>
          <w:tcPr>
            <w:tcW w:type="dxa" w:w="9360"/>
            <w:tcBorders>
              <w:top w:val="single" w:color="BFBFBF" w:sz="1"/>
              <w:left w:val="single" w:color="BFBFBF" w:sz="1"/>
              <w:bottom w:val="single" w:color="BFBFBF" w:sz="1"/>
              <w:right w:val="single" w:color="BFBFBF" w:sz="1"/>
            </w:tcBorders>
            <w:shd w:fill="F0F4F8" w:val="clear"/>
            <w:tcMar>
              <w:top w:type="dxa" w:w="40"/>
              <w:left w:type="dxa" w:w="160"/>
              <w:bottom w:type="dxa" w:w="40"/>
              <w:right w:type="dxa" w:w="160"/>
            </w:tcMar>
          </w:tcPr>
          <w:p>
            <w:r>
              <w:rPr>
                <w:rFonts w:ascii="Courier New" w:cs="Courier New" w:eastAsia="Courier New" w:hAnsi="Courier New"/>
                <w:color w:val="1A1A2E"/>
                <w:sz w:val="19"/>
                <w:szCs w:val="19"/>
              </w:rPr>
              <w:t xml:space="preserve">      "rule-action": "exclude"</w:t>
            </w:r>
          </w:p>
        </w:tc>
      </w:tr>
      <w:tr>
        <w:tc>
          <w:tcPr>
            <w:tcW w:type="dxa" w:w="9360"/>
            <w:tcBorders>
              <w:top w:val="single" w:color="BFBFBF" w:sz="1"/>
              <w:left w:val="single" w:color="BFBFBF" w:sz="1"/>
              <w:bottom w:val="single" w:color="BFBFBF" w:sz="1"/>
              <w:right w:val="single" w:color="BFBFBF" w:sz="1"/>
            </w:tcBorders>
            <w:shd w:fill="F0F4F8" w:val="clear"/>
            <w:tcMar>
              <w:top w:type="dxa" w:w="40"/>
              <w:left w:type="dxa" w:w="160"/>
              <w:bottom w:type="dxa" w:w="40"/>
              <w:right w:type="dxa" w:w="160"/>
            </w:tcMar>
          </w:tcPr>
          <w:p>
            <w:r>
              <w:rPr>
                <w:rFonts w:ascii="Courier New" w:cs="Courier New" w:eastAsia="Courier New" w:hAnsi="Courier New"/>
                <w:color w:val="1A1A2E"/>
                <w:sz w:val="19"/>
                <w:szCs w:val="19"/>
              </w:rPr>
              <w:t xml:space="preserve">    },</w:t>
            </w:r>
          </w:p>
        </w:tc>
      </w:tr>
      <w:tr>
        <w:tc>
          <w:tcPr>
            <w:tcW w:type="dxa" w:w="9360"/>
            <w:tcBorders>
              <w:top w:val="single" w:color="BFBFBF" w:sz="1"/>
              <w:left w:val="single" w:color="BFBFBF" w:sz="1"/>
              <w:bottom w:val="single" w:color="BFBFBF" w:sz="1"/>
              <w:right w:val="single" w:color="BFBFBF" w:sz="1"/>
            </w:tcBorders>
            <w:shd w:fill="F0F4F8" w:val="clear"/>
            <w:tcMar>
              <w:top w:type="dxa" w:w="40"/>
              <w:left w:type="dxa" w:w="160"/>
              <w:bottom w:type="dxa" w:w="40"/>
              <w:right w:type="dxa" w:w="160"/>
            </w:tcMar>
          </w:tcPr>
          <w:p>
            <w:r>
              <w:rPr>
                <w:rFonts w:ascii="Courier New" w:cs="Courier New" w:eastAsia="Courier New" w:hAnsi="Courier New"/>
                <w:color w:val="1A1A2E"/>
                <w:sz w:val="19"/>
                <w:szCs w:val="19"/>
              </w:rPr>
              <w:t xml:space="preserve">    {</w:t>
            </w:r>
          </w:p>
        </w:tc>
      </w:tr>
      <w:tr>
        <w:tc>
          <w:tcPr>
            <w:tcW w:type="dxa" w:w="9360"/>
            <w:tcBorders>
              <w:top w:val="single" w:color="BFBFBF" w:sz="1"/>
              <w:left w:val="single" w:color="BFBFBF" w:sz="1"/>
              <w:bottom w:val="single" w:color="BFBFBF" w:sz="1"/>
              <w:right w:val="single" w:color="BFBFBF" w:sz="1"/>
            </w:tcBorders>
            <w:shd w:fill="F0F4F8" w:val="clear"/>
            <w:tcMar>
              <w:top w:type="dxa" w:w="40"/>
              <w:left w:type="dxa" w:w="160"/>
              <w:bottom w:type="dxa" w:w="40"/>
              <w:right w:type="dxa" w:w="160"/>
            </w:tcMar>
          </w:tcPr>
          <w:p>
            <w:r>
              <w:rPr>
                <w:rFonts w:ascii="Courier New" w:cs="Courier New" w:eastAsia="Courier New" w:hAnsi="Courier New"/>
                <w:color w:val="1A1A2E"/>
                <w:sz w:val="19"/>
                <w:szCs w:val="19"/>
              </w:rPr>
              <w:t xml:space="preserve">      "rule-type": "transformation",</w:t>
            </w:r>
          </w:p>
        </w:tc>
      </w:tr>
      <w:tr>
        <w:tc>
          <w:tcPr>
            <w:tcW w:type="dxa" w:w="9360"/>
            <w:tcBorders>
              <w:top w:val="single" w:color="BFBFBF" w:sz="1"/>
              <w:left w:val="single" w:color="BFBFBF" w:sz="1"/>
              <w:bottom w:val="single" w:color="BFBFBF" w:sz="1"/>
              <w:right w:val="single" w:color="BFBFBF" w:sz="1"/>
            </w:tcBorders>
            <w:shd w:fill="F0F4F8" w:val="clear"/>
            <w:tcMar>
              <w:top w:type="dxa" w:w="40"/>
              <w:left w:type="dxa" w:w="160"/>
              <w:bottom w:type="dxa" w:w="40"/>
              <w:right w:type="dxa" w:w="160"/>
            </w:tcMar>
          </w:tcPr>
          <w:p>
            <w:r>
              <w:rPr>
                <w:rFonts w:ascii="Courier New" w:cs="Courier New" w:eastAsia="Courier New" w:hAnsi="Courier New"/>
                <w:color w:val="1A1A2E"/>
                <w:sz w:val="19"/>
                <w:szCs w:val="19"/>
              </w:rPr>
              <w:t xml:space="preserve">      "rule-id": "3",</w:t>
            </w:r>
          </w:p>
        </w:tc>
      </w:tr>
      <w:tr>
        <w:tc>
          <w:tcPr>
            <w:tcW w:type="dxa" w:w="9360"/>
            <w:tcBorders>
              <w:top w:val="single" w:color="BFBFBF" w:sz="1"/>
              <w:left w:val="single" w:color="BFBFBF" w:sz="1"/>
              <w:bottom w:val="single" w:color="BFBFBF" w:sz="1"/>
              <w:right w:val="single" w:color="BFBFBF" w:sz="1"/>
            </w:tcBorders>
            <w:shd w:fill="F0F4F8" w:val="clear"/>
            <w:tcMar>
              <w:top w:type="dxa" w:w="40"/>
              <w:left w:type="dxa" w:w="160"/>
              <w:bottom w:type="dxa" w:w="40"/>
              <w:right w:type="dxa" w:w="160"/>
            </w:tcMar>
          </w:tcPr>
          <w:p>
            <w:r>
              <w:rPr>
                <w:rFonts w:ascii="Courier New" w:cs="Courier New" w:eastAsia="Courier New" w:hAnsi="Courier New"/>
                <w:color w:val="1A1A2E"/>
                <w:sz w:val="19"/>
                <w:szCs w:val="19"/>
              </w:rPr>
              <w:t xml:space="preserve">      "rule-name": "lowercase-schema",</w:t>
            </w:r>
          </w:p>
        </w:tc>
      </w:tr>
      <w:tr>
        <w:tc>
          <w:tcPr>
            <w:tcW w:type="dxa" w:w="9360"/>
            <w:tcBorders>
              <w:top w:val="single" w:color="BFBFBF" w:sz="1"/>
              <w:left w:val="single" w:color="BFBFBF" w:sz="1"/>
              <w:bottom w:val="single" w:color="BFBFBF" w:sz="1"/>
              <w:right w:val="single" w:color="BFBFBF" w:sz="1"/>
            </w:tcBorders>
            <w:shd w:fill="F0F4F8" w:val="clear"/>
            <w:tcMar>
              <w:top w:type="dxa" w:w="40"/>
              <w:left w:type="dxa" w:w="160"/>
              <w:bottom w:type="dxa" w:w="40"/>
              <w:right w:type="dxa" w:w="160"/>
            </w:tcMar>
          </w:tcPr>
          <w:p>
            <w:r>
              <w:rPr>
                <w:rFonts w:ascii="Courier New" w:cs="Courier New" w:eastAsia="Courier New" w:hAnsi="Courier New"/>
                <w:color w:val="1A1A2E"/>
                <w:sz w:val="19"/>
                <w:szCs w:val="19"/>
              </w:rPr>
              <w:t xml:space="preserve">      "rule-action": "convert-lowercase",</w:t>
            </w:r>
          </w:p>
        </w:tc>
      </w:tr>
      <w:tr>
        <w:tc>
          <w:tcPr>
            <w:tcW w:type="dxa" w:w="9360"/>
            <w:tcBorders>
              <w:top w:val="single" w:color="BFBFBF" w:sz="1"/>
              <w:left w:val="single" w:color="BFBFBF" w:sz="1"/>
              <w:bottom w:val="single" w:color="BFBFBF" w:sz="1"/>
              <w:right w:val="single" w:color="BFBFBF" w:sz="1"/>
            </w:tcBorders>
            <w:shd w:fill="F0F4F8" w:val="clear"/>
            <w:tcMar>
              <w:top w:type="dxa" w:w="40"/>
              <w:left w:type="dxa" w:w="160"/>
              <w:bottom w:type="dxa" w:w="40"/>
              <w:right w:type="dxa" w:w="160"/>
            </w:tcMar>
          </w:tcPr>
          <w:p>
            <w:r>
              <w:rPr>
                <w:rFonts w:ascii="Courier New" w:cs="Courier New" w:eastAsia="Courier New" w:hAnsi="Courier New"/>
                <w:color w:val="1A1A2E"/>
                <w:sz w:val="19"/>
                <w:szCs w:val="19"/>
              </w:rPr>
              <w:t xml:space="preserve">      "rule-target": "schema",</w:t>
            </w:r>
          </w:p>
        </w:tc>
      </w:tr>
      <w:tr>
        <w:tc>
          <w:tcPr>
            <w:tcW w:type="dxa" w:w="9360"/>
            <w:tcBorders>
              <w:top w:val="single" w:color="BFBFBF" w:sz="1"/>
              <w:left w:val="single" w:color="BFBFBF" w:sz="1"/>
              <w:bottom w:val="single" w:color="BFBFBF" w:sz="1"/>
              <w:right w:val="single" w:color="BFBFBF" w:sz="1"/>
            </w:tcBorders>
            <w:shd w:fill="F0F4F8" w:val="clear"/>
            <w:tcMar>
              <w:top w:type="dxa" w:w="40"/>
              <w:left w:type="dxa" w:w="160"/>
              <w:bottom w:type="dxa" w:w="40"/>
              <w:right w:type="dxa" w:w="160"/>
            </w:tcMar>
          </w:tcPr>
          <w:p>
            <w:r>
              <w:rPr>
                <w:rFonts w:ascii="Courier New" w:cs="Courier New" w:eastAsia="Courier New" w:hAnsi="Courier New"/>
                <w:color w:val="1A1A2E"/>
                <w:sz w:val="19"/>
                <w:szCs w:val="19"/>
              </w:rPr>
              <w:t xml:space="preserve">      "object-locator": { "schema-name": "%" }</w:t>
            </w:r>
          </w:p>
        </w:tc>
      </w:tr>
      <w:tr>
        <w:tc>
          <w:tcPr>
            <w:tcW w:type="dxa" w:w="9360"/>
            <w:tcBorders>
              <w:top w:val="single" w:color="BFBFBF" w:sz="1"/>
              <w:left w:val="single" w:color="BFBFBF" w:sz="1"/>
              <w:bottom w:val="single" w:color="BFBFBF" w:sz="1"/>
              <w:right w:val="single" w:color="BFBFBF" w:sz="1"/>
            </w:tcBorders>
            <w:shd w:fill="F0F4F8" w:val="clear"/>
            <w:tcMar>
              <w:top w:type="dxa" w:w="40"/>
              <w:left w:type="dxa" w:w="160"/>
              <w:bottom w:type="dxa" w:w="40"/>
              <w:right w:type="dxa" w:w="160"/>
            </w:tcMar>
          </w:tcPr>
          <w:p>
            <w:r>
              <w:rPr>
                <w:rFonts w:ascii="Courier New" w:cs="Courier New" w:eastAsia="Courier New" w:hAnsi="Courier New"/>
                <w:color w:val="1A1A2E"/>
                <w:sz w:val="19"/>
                <w:szCs w:val="19"/>
              </w:rPr>
              <w:t xml:space="preserve">    }</w:t>
            </w:r>
          </w:p>
        </w:tc>
      </w:tr>
      <w:tr>
        <w:tc>
          <w:tcPr>
            <w:tcW w:type="dxa" w:w="9360"/>
            <w:tcBorders>
              <w:top w:val="single" w:color="BFBFBF" w:sz="1"/>
              <w:left w:val="single" w:color="BFBFBF" w:sz="1"/>
              <w:bottom w:val="single" w:color="BFBFBF" w:sz="1"/>
              <w:right w:val="single" w:color="BFBFBF" w:sz="1"/>
            </w:tcBorders>
            <w:shd w:fill="F0F4F8" w:val="clear"/>
            <w:tcMar>
              <w:top w:type="dxa" w:w="40"/>
              <w:left w:type="dxa" w:w="160"/>
              <w:bottom w:type="dxa" w:w="40"/>
              <w:right w:type="dxa" w:w="160"/>
            </w:tcMar>
          </w:tcPr>
          <w:p>
            <w:r>
              <w:rPr>
                <w:rFonts w:ascii="Courier New" w:cs="Courier New" w:eastAsia="Courier New" w:hAnsi="Courier New"/>
                <w:color w:val="1A1A2E"/>
                <w:sz w:val="19"/>
                <w:szCs w:val="19"/>
              </w:rPr>
              <w:t xml:space="preserve">  ]</w:t>
            </w:r>
          </w:p>
        </w:tc>
      </w:tr>
      <w:tr>
        <w:tc>
          <w:tcPr>
            <w:tcW w:type="dxa" w:w="9360"/>
            <w:tcBorders>
              <w:top w:val="single" w:color="BFBFBF" w:sz="1"/>
              <w:left w:val="single" w:color="BFBFBF" w:sz="1"/>
              <w:bottom w:val="single" w:color="BFBFBF" w:sz="1"/>
              <w:right w:val="single" w:color="BFBFBF" w:sz="1"/>
            </w:tcBorders>
            <w:shd w:fill="F0F4F8" w:val="clear"/>
            <w:tcMar>
              <w:top w:type="dxa" w:w="40"/>
              <w:left w:type="dxa" w:w="160"/>
              <w:bottom w:type="dxa" w:w="40"/>
              <w:right w:type="dxa" w:w="160"/>
            </w:tcMar>
          </w:tcPr>
          <w:p>
            <w:r>
              <w:rPr>
                <w:rFonts w:ascii="Courier New" w:cs="Courier New" w:eastAsia="Courier New" w:hAnsi="Courier New"/>
                <w:color w:val="1A1A2E"/>
                <w:sz w:val="19"/>
                <w:szCs w:val="19"/>
              </w:rPr>
              <w:t xml:space="preserve">}</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B.4 DMS Task Settings — 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Parameter</w:t>
            </w:r>
          </w:p>
        </w:tc>
        <w:tc>
          <w:tcPr>
            <w:tcW w:type="dxa" w:w="2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Recommended Value</w:t>
            </w:r>
          </w:p>
        </w:tc>
        <w:tc>
          <w:tcPr>
            <w:tcW w:type="dxa" w:w="3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Notes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TargetTablePrepMode</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DO_NOTHING (after SCT) or DROP_AND_CREATE (fresh migrations)</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Use DO_NOTHING after SCT has already created schema.</w:t>
            </w:r>
          </w:p>
        </w:tc>
      </w:tr>
      <w:tr>
        <w:tc>
          <w:tcPr>
            <w:tcW w:type="dxa" w:w="26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FullLoadSubTasks</w:t>
            </w:r>
          </w:p>
        </w:tc>
        <w:tc>
          <w:tcPr>
            <w:tcW w:type="dxa" w:w="28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8</w:t>
            </w:r>
          </w:p>
        </w:tc>
        <w:tc>
          <w:tcPr>
            <w:tcW w:type="dxa" w:w="39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Parallel table loading threads. Increase for faster full load on large DBs.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LobsSettings.LobMode</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LIMITED_LOB</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Faster. Set max LOB size to largest expected LOB + 20% buffer.</w:t>
            </w:r>
          </w:p>
        </w:tc>
      </w:tr>
      <w:tr>
        <w:tc>
          <w:tcPr>
            <w:tcW w:type="dxa" w:w="26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EnableValidation</w:t>
            </w:r>
          </w:p>
        </w:tc>
        <w:tc>
          <w:tcPr>
            <w:tcW w:type="dxa" w:w="28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true</w:t>
            </w:r>
          </w:p>
        </w:tc>
        <w:tc>
          <w:tcPr>
            <w:tcW w:type="dxa" w:w="39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Critical — enables row-level validation after full load.</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LoggingLevel</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DEFAULT (LOGGER_SEVERITY_DEFAULT)</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Increase to LOGGER_SEVERITY_DETAILED for troubleshooting.</w:t>
            </w:r>
          </w:p>
        </w:tc>
      </w:tr>
      <w:tr>
        <w:tc>
          <w:tcPr>
            <w:tcW w:type="dxa" w:w="26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BatchApplyEnabled</w:t>
            </w:r>
          </w:p>
        </w:tc>
        <w:tc>
          <w:tcPr>
            <w:tcW w:type="dxa" w:w="28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false for heterogeneous, true for homogeneous with high CDC volume</w:t>
            </w:r>
          </w:p>
        </w:tc>
        <w:tc>
          <w:tcPr>
            <w:tcW w:type="dxa" w:w="39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Batch apply improves throughput for same-engine migrations.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CommitRate</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50000</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Number of changes per commit during CDC. Higher = better throughput.</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B.5 DMS Troubleshooting — 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Issue</w:t>
            </w:r>
          </w:p>
        </w:tc>
        <w:tc>
          <w:tcPr>
            <w:tcW w:type="dxa" w:w="3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Cause</w:t>
            </w:r>
          </w:p>
        </w:tc>
        <w:tc>
          <w:tcPr>
            <w:tcW w:type="dxa" w:w="37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Resolution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Endpoint connection test fails</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Security group blocking port, wrong credentials, SSL cert mismatch</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Check SG rules (port 1521/1433/3306 from DMS SG). Test connectivity with telnet. Verify SSL cert.</w:t>
            </w:r>
          </w:p>
        </w:tc>
      </w:tr>
      <w:tr>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Full load very slow</w:t>
            </w:r>
          </w:p>
        </w:tc>
        <w:tc>
          <w:tcPr>
            <w:tcW w:type="dxa" w:w="32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Insufficient replication instance size, network latency</w:t>
            </w:r>
          </w:p>
        </w:tc>
        <w:tc>
          <w:tcPr>
            <w:tcW w:type="dxa" w:w="37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Upsize replication instance. Increase FullLoadSubTasks to 16. Run during off-peak hours.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CDC lag keeps growing</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Replication instance CPU &gt; 80%, large transactions on source</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Upsize replication instance. Check for large batch operations on source — coordinate timing.</w:t>
            </w:r>
          </w:p>
        </w:tc>
      </w:tr>
      <w:tr>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Validation shows mismatches</w:t>
            </w:r>
          </w:p>
        </w:tc>
        <w:tc>
          <w:tcPr>
            <w:tcW w:type="dxa" w:w="32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LOB truncation, CLOB encoding differences, computed columns</w:t>
            </w:r>
          </w:p>
        </w:tc>
        <w:tc>
          <w:tcPr>
            <w:tcW w:type="dxa" w:w="37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Review mismatch report. Adjust max LOB size. Exclude computed columns from mapping.</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Oracle supplemental logging error</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Supplemental logging not enabled or insufficient privileges</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Run: ALTER DATABASE ADD SUPPLEMENTAL LOG DATA. Verify with V$DATABASE query.</w:t>
            </w:r>
          </w:p>
        </w:tc>
      </w:tr>
      <w:tr>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Task keeps restarting</w:t>
            </w:r>
          </w:p>
        </w:tc>
        <w:tc>
          <w:tcPr>
            <w:tcW w:type="dxa" w:w="32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OOM error on replication instance</w:t>
            </w:r>
          </w:p>
        </w:tc>
        <w:tc>
          <w:tcPr>
            <w:tcW w:type="dxa" w:w="37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Increase replication instance class. Reduce FullLoadSubTasks.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Duplicate rows in target</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Target table not truncated before re-run, TargetTablePrepMode issue</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Set TargetTablePrepMode=TRUNCATE_BEFORE_LOAD for re-runs. Ensure idempotent run strategy.</w:t>
            </w:r>
          </w:p>
        </w:tc>
      </w:tr>
    </w:tbl>
    <w:p>
      <w:pPr>
        <w:spacing w:after="80" w:before="80"/>
      </w:pPr>
      <w:r>
        <w:t xml:space="preserve"/>
      </w:r>
    </w:p>
    <w:p>
      <w:r>
        <w:br w:type="page"/>
      </w:r>
    </w:p>
    <w:p>
      <w:pPr>
        <w:pStyle w:val="Heading1"/>
        <w:pBdr>
          <w:bottom w:val="single" w:color="4A2472" w:sz="8" w:space="4"/>
        </w:pBdr>
        <w:spacing w:after="120" w:before="360"/>
      </w:pPr>
      <w:r>
        <w:rPr>
          <w:rFonts w:ascii="Arial" w:cs="Arial" w:eastAsia="Arial" w:hAnsi="Arial"/>
          <w:b/>
          <w:bCs/>
          <w:color w:val="4A2472"/>
          <w:sz w:val="32"/>
          <w:szCs w:val="32"/>
        </w:rPr>
        <w:t xml:space="preserve">PART C — AWS DataSync</w:t>
      </w:r>
    </w:p>
    <w:p>
      <w:pPr>
        <w:pStyle w:val="Heading2"/>
        <w:spacing w:after="80" w:before="240"/>
      </w:pPr>
      <w:r>
        <w:rPr>
          <w:rFonts w:ascii="Arial" w:cs="Arial" w:eastAsia="Arial" w:hAnsi="Arial"/>
          <w:b/>
          <w:bCs/>
          <w:color w:val="2E75B6"/>
          <w:sz w:val="26"/>
          <w:szCs w:val="26"/>
        </w:rPr>
        <w:t xml:space="preserve">C.1 How DataSync Works — Key Concepts</w:t>
      </w:r>
    </w:p>
    <w:p>
      <w:pPr>
        <w:spacing w:after="60" w:before="60"/>
        <w:jc w:val="both"/>
      </w:pPr>
      <w:r>
        <w:rPr>
          <w:rFonts w:ascii="Arial" w:cs="Arial" w:eastAsia="Arial" w:hAnsi="Arial"/>
          <w:color w:val="404040"/>
          <w:sz w:val="22"/>
          <w:szCs w:val="22"/>
        </w:rPr>
        <w:t xml:space="preserve">AWS DataSync is a managed online data transfer service that moves file and object data between on-premises storage and AWS storage services. It uses a purpose-built network protocol and parallel, multi-threaded architecture to maximise transfer throughput. DataSync automatically handles task management, data integrity verification, bandwidth throttling, and scheduling.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Concept</w:t>
            </w:r>
          </w:p>
        </w:tc>
        <w:tc>
          <w:tcPr>
            <w:tcW w:type="dxa" w:w="6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Description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DataSync Agent</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 VMware OVA or Amazon EC2 AMI deployed in or near the source storage environment. The agent connects to source NFS/SMB/HDFS shares and transfers data to AWS. For on-premises sources, the agent VM runs on your hypervisor.</w:t>
            </w:r>
          </w:p>
        </w:tc>
      </w:tr>
      <w:tr>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Location</w:t>
            </w:r>
          </w:p>
        </w:tc>
        <w:tc>
          <w:tcPr>
            <w:tcW w:type="dxa" w:w="69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A DataSync resource representing a storage endpoint — either source or destination. Types: NFS, SMB, HDFS, Amazon S3, Amazon EFS, Amazon FSx, Azure Blob (cross-cloud).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Task</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Defines a transfer: source location → destination location, with settings for verification, filtering, metadata preservation, scheduling, and bandwidth throttling.</w:t>
            </w:r>
          </w:p>
        </w:tc>
      </w:tr>
      <w:tr>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Task Execution</w:t>
            </w:r>
          </w:p>
        </w:tc>
        <w:tc>
          <w:tcPr>
            <w:tcW w:type="dxa" w:w="69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A single run of a DataSync task. Each execution generates a detailed report: files examined, files transferred, files verified, bytes transferred, files skipped, and any errors.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Incremental Transfer</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After the first full transfer, subsequent executions only transfer files that are new, modified (based on mtime or checksum), or deleted (if delete-at-destination is enabled).</w:t>
            </w:r>
          </w:p>
        </w:tc>
      </w:tr>
      <w:tr>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Data Integrity Verification</w:t>
            </w:r>
          </w:p>
        </w:tc>
        <w:tc>
          <w:tcPr>
            <w:tcW w:type="dxa" w:w="69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DataSync verifies transferred data by comparing checksums between source and destination. Options: BEST_EFFORT (verifies during transfer), ONLY_FILES_TRANSFERRED (verifies only transferred files), NONE.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Metadata Preservation</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DataSync preserves file metadata: POSIX permissions (uid, gid, mode) for NFS, NTFS ACLs and timestamps for SMB, and file timestamps (atime, mtime).</w:t>
            </w:r>
          </w:p>
        </w:tc>
      </w:tr>
      <w:tr>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Bandwidth Throttling</w:t>
            </w:r>
          </w:p>
        </w:tc>
        <w:tc>
          <w:tcPr>
            <w:tcW w:type="dxa" w:w="69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DataSync can limit transfer throughput to a specified Mbps value during scheduled windows — prevents overwhelming network links during business hours.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VPC Endpoint</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DataSync can use a VPC Interface Endpoint so all transfer traffic stays on the AWS private network and does not traverse the public internet. Essential when using Direct Connect.</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C.2 DataSync Setup — Step-by-Step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Step</w:t>
            </w:r>
          </w:p>
        </w:tc>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Stage</w:t>
            </w:r>
          </w:p>
        </w:tc>
        <w:tc>
          <w:tcPr>
            <w:tcW w:type="dxa" w:w="6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Detail &amp; Commands</w:t>
            </w:r>
          </w:p>
        </w:tc>
      </w:tr>
      <w:tr>
        <w:tc>
          <w:tcPr>
            <w:tcW w:type="dxa" w:w="600"/>
            <w:tcBorders>
              <w:top w:val="single" w:color="BFBFBF" w:sz="1"/>
              <w:left w:val="single" w:color="BFBFBF" w:sz="1"/>
              <w:bottom w:val="single" w:color="BFBFBF" w:sz="1"/>
              <w:right w:val="single" w:color="BFBFBF" w:sz="1"/>
            </w:tcBorders>
            <w:shd w:fill="EDF2FA"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1</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Deploy DataSync Agent VM</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Download the DataSync agent OVA from the AWS console. Deploy in VMware vCenter on the same network as the source storage. Assign: 4 vCPU, 32 GB RAM, 80 GB disk. Configure network adapter on the LAN VLAN with access to NFS/SMB storage and outbound TCP 443 to AWS.</w:t>
            </w:r>
          </w:p>
          <w:p>
            <w:pPr>
              <w:spacing w:before="40"/>
            </w:pPr>
            <w:r>
              <w:rPr>
                <w:rFonts w:ascii="Courier New" w:cs="Courier New" w:eastAsia="Courier New" w:hAnsi="Courier New"/>
                <w:color w:val="1A3A5C"/>
                <w:sz w:val="19"/>
                <w:szCs w:val="19"/>
              </w:rPr>
              <w:t xml:space="preserve">AWS Console → DataSync → Agents → Create Agent → Download VMware ESXi OVA</w:t>
            </w:r>
          </w:p>
        </w:tc>
      </w:tr>
      <w:tr>
        <w:tc>
          <w:tcPr>
            <w:tcW w:type="dxa" w:w="600"/>
            <w:tcBorders>
              <w:top w:val="single" w:color="BFBFBF" w:sz="1"/>
              <w:left w:val="single" w:color="BFBFBF" w:sz="1"/>
              <w:bottom w:val="single" w:color="BFBFBF" w:sz="1"/>
              <w:right w:val="single" w:color="BFBFBF" w:sz="1"/>
            </w:tcBorders>
            <w:shd w:fill="D9E2F3"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2</w:t>
            </w:r>
          </w:p>
        </w:tc>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b/>
                <w:bCs/>
                <w:color w:val="404040"/>
                <w:sz w:val="20"/>
                <w:szCs w:val="20"/>
              </w:rPr>
              <w:t xml:space="preserve">Activate DataSync Agent</w:t>
            </w:r>
          </w:p>
        </w:tc>
        <w:tc>
          <w:tcPr>
            <w:tcW w:type="dxa" w:w="63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Power on the agent VM. Connect to the agent's local console (HTTPS on port 80) or via the VM console in vCenter. Copy the agent's activation key. In the AWS console, create the agent using the activation key and assign to ap-south-1.</w:t>
            </w:r>
          </w:p>
          <w:p>
            <w:pPr>
              <w:spacing w:before="40"/>
            </w:pPr>
            <w:r>
              <w:rPr>
                <w:rFonts w:ascii="Courier New" w:cs="Courier New" w:eastAsia="Courier New" w:hAnsi="Courier New"/>
                <w:color w:val="1A3A5C"/>
                <w:sz w:val="19"/>
                <w:szCs w:val="19"/>
              </w:rPr>
              <w:t xml:space="preserve">DataSync Console → Agents → Create Agent → Enter activation key from agent console URL</w:t>
            </w:r>
          </w:p>
        </w:tc>
      </w:tr>
      <w:tr>
        <w:tc>
          <w:tcPr>
            <w:tcW w:type="dxa" w:w="600"/>
            <w:tcBorders>
              <w:top w:val="single" w:color="BFBFBF" w:sz="1"/>
              <w:left w:val="single" w:color="BFBFBF" w:sz="1"/>
              <w:bottom w:val="single" w:color="BFBFBF" w:sz="1"/>
              <w:right w:val="single" w:color="BFBFBF" w:sz="1"/>
            </w:tcBorders>
            <w:shd w:fill="EDF2FA"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3</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Create VPC Endpoint for DataSync</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Create a VPC Interface Endpoint for DataSync in the migration VPC private subnets. Update the DataSync agent's Service Endpoint setting to use the VPC endpoint DNS name.</w:t>
            </w:r>
          </w:p>
          <w:p>
            <w:pPr>
              <w:spacing w:before="40"/>
            </w:pPr>
            <w:r>
              <w:rPr>
                <w:rFonts w:ascii="Courier New" w:cs="Courier New" w:eastAsia="Courier New" w:hAnsi="Courier New"/>
                <w:color w:val="1A3A5C"/>
                <w:sz w:val="19"/>
                <w:szCs w:val="19"/>
              </w:rPr>
              <w:t xml:space="preserve">VPC → Endpoints → Create → Service: com.amazonaws.ap-south-1.datasync → Select private subnets</w:t>
            </w:r>
          </w:p>
        </w:tc>
      </w:tr>
      <w:tr>
        <w:tc>
          <w:tcPr>
            <w:tcW w:type="dxa" w:w="600"/>
            <w:tcBorders>
              <w:top w:val="single" w:color="BFBFBF" w:sz="1"/>
              <w:left w:val="single" w:color="BFBFBF" w:sz="1"/>
              <w:bottom w:val="single" w:color="BFBFBF" w:sz="1"/>
              <w:right w:val="single" w:color="BFBFBF" w:sz="1"/>
            </w:tcBorders>
            <w:shd w:fill="D9E2F3"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4</w:t>
            </w:r>
          </w:p>
        </w:tc>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b/>
                <w:bCs/>
                <w:color w:val="404040"/>
                <w:sz w:val="20"/>
                <w:szCs w:val="20"/>
              </w:rPr>
              <w:t xml:space="preserve">Create NFS Source Location</w:t>
            </w:r>
          </w:p>
        </w:tc>
        <w:tc>
          <w:tcPr>
            <w:tcW w:type="dxa" w:w="63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Define the NFS source location: agent, NFS server hostname/IP, mount path, NFS version (v3 or v4). DataSync mounts the NFS share from the agent.</w:t>
            </w:r>
          </w:p>
          <w:p>
            <w:pPr>
              <w:spacing w:before="40"/>
            </w:pPr>
            <w:r>
              <w:rPr>
                <w:rFonts w:ascii="Courier New" w:cs="Courier New" w:eastAsia="Courier New" w:hAnsi="Courier New"/>
                <w:color w:val="1A3A5C"/>
                <w:sz w:val="19"/>
                <w:szCs w:val="19"/>
              </w:rPr>
              <w:t xml:space="preserve">DataSync → Locations → Create → Type: NFS → Server: netapp-01, Mount path: /data/finreports, NFS version: NFSv3</w:t>
            </w:r>
          </w:p>
        </w:tc>
      </w:tr>
      <w:tr>
        <w:tc>
          <w:tcPr>
            <w:tcW w:type="dxa" w:w="600"/>
            <w:tcBorders>
              <w:top w:val="single" w:color="BFBFBF" w:sz="1"/>
              <w:left w:val="single" w:color="BFBFBF" w:sz="1"/>
              <w:bottom w:val="single" w:color="BFBFBF" w:sz="1"/>
              <w:right w:val="single" w:color="BFBFBF" w:sz="1"/>
            </w:tcBorders>
            <w:shd w:fill="EDF2FA"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5</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Create SMB Source Location</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Define the SMB source location: agent, SMB server hostname, share name, domain, username/password.</w:t>
            </w:r>
          </w:p>
          <w:p>
            <w:pPr>
              <w:spacing w:before="40"/>
            </w:pPr>
            <w:r>
              <w:rPr>
                <w:rFonts w:ascii="Courier New" w:cs="Courier New" w:eastAsia="Courier New" w:hAnsi="Courier New"/>
                <w:color w:val="1A3A5C"/>
                <w:sz w:val="19"/>
                <w:szCs w:val="19"/>
              </w:rPr>
              <w:t xml:space="preserve">DataSync → Locations → Create → Type: SMB → Server: filsrv01, Share: customerdata, Domain: CORP, User: datasync_svc</w:t>
            </w:r>
          </w:p>
        </w:tc>
      </w:tr>
      <w:tr>
        <w:tc>
          <w:tcPr>
            <w:tcW w:type="dxa" w:w="600"/>
            <w:tcBorders>
              <w:top w:val="single" w:color="BFBFBF" w:sz="1"/>
              <w:left w:val="single" w:color="BFBFBF" w:sz="1"/>
              <w:bottom w:val="single" w:color="BFBFBF" w:sz="1"/>
              <w:right w:val="single" w:color="BFBFBF" w:sz="1"/>
            </w:tcBorders>
            <w:shd w:fill="D9E2F3"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6</w:t>
            </w:r>
          </w:p>
        </w:tc>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b/>
                <w:bCs/>
                <w:color w:val="404040"/>
                <w:sz w:val="20"/>
                <w:szCs w:val="20"/>
              </w:rPr>
              <w:t xml:space="preserve">Create EFS Target Location</w:t>
            </w:r>
          </w:p>
        </w:tc>
        <w:tc>
          <w:tcPr>
            <w:tcW w:type="dxa" w:w="63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Create the destination Amazon EFS location. Select the EFS file system ID, specify mount path (/ for root). DataSync uses the EFS mount target in the same VPC.</w:t>
            </w:r>
          </w:p>
          <w:p>
            <w:pPr>
              <w:spacing w:before="40"/>
            </w:pPr>
            <w:r>
              <w:rPr>
                <w:rFonts w:ascii="Courier New" w:cs="Courier New" w:eastAsia="Courier New" w:hAnsi="Courier New"/>
                <w:color w:val="1A3A5C"/>
                <w:sz w:val="19"/>
                <w:szCs w:val="19"/>
              </w:rPr>
              <w:t xml:space="preserve">DataSync → Locations → Create → Type: Amazon EFS → File system: fs-xxxxx, Mount path: /</w:t>
            </w:r>
          </w:p>
        </w:tc>
      </w:tr>
      <w:tr>
        <w:tc>
          <w:tcPr>
            <w:tcW w:type="dxa" w:w="600"/>
            <w:tcBorders>
              <w:top w:val="single" w:color="BFBFBF" w:sz="1"/>
              <w:left w:val="single" w:color="BFBFBF" w:sz="1"/>
              <w:bottom w:val="single" w:color="BFBFBF" w:sz="1"/>
              <w:right w:val="single" w:color="BFBFBF" w:sz="1"/>
            </w:tcBorders>
            <w:shd w:fill="EDF2FA"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7</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Create FSx Target Location</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Create the destination Amazon FSx for Windows location. Provide FSx DNS name, share name (the FSx share), domain credentials with write access.</w:t>
            </w:r>
          </w:p>
          <w:p>
            <w:pPr>
              <w:spacing w:before="40"/>
            </w:pPr>
            <w:r>
              <w:rPr>
                <w:rFonts w:ascii="Courier New" w:cs="Courier New" w:eastAsia="Courier New" w:hAnsi="Courier New"/>
                <w:color w:val="1A3A5C"/>
                <w:sz w:val="19"/>
                <w:szCs w:val="19"/>
              </w:rPr>
              <w:t xml:space="preserve">DataSync → Locations → Create → Type: Amazon FSx for Windows → DNS name: amznfsxxxxxXX.corp.corp, Share: customerdata</w:t>
            </w:r>
          </w:p>
        </w:tc>
      </w:tr>
      <w:tr>
        <w:tc>
          <w:tcPr>
            <w:tcW w:type="dxa" w:w="600"/>
            <w:tcBorders>
              <w:top w:val="single" w:color="BFBFBF" w:sz="1"/>
              <w:left w:val="single" w:color="BFBFBF" w:sz="1"/>
              <w:bottom w:val="single" w:color="BFBFBF" w:sz="1"/>
              <w:right w:val="single" w:color="BFBFBF" w:sz="1"/>
            </w:tcBorders>
            <w:shd w:fill="D9E2F3"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8</w:t>
            </w:r>
          </w:p>
        </w:tc>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b/>
                <w:bCs/>
                <w:color w:val="404040"/>
                <w:sz w:val="20"/>
                <w:szCs w:val="20"/>
              </w:rPr>
              <w:t xml:space="preserve">Create DataSync Tasks</w:t>
            </w:r>
          </w:p>
        </w:tc>
        <w:tc>
          <w:tcPr>
            <w:tcW w:type="dxa" w:w="63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Create a task for each file share: source location, destination location, set options: verification (BEST_EFFORT), preserved metadata, overwrite mode (ALWAYS for initial, NEVER for subsequent). Set bandwidth limit for business hours.</w:t>
            </w:r>
          </w:p>
          <w:p>
            <w:pPr>
              <w:spacing w:before="40"/>
            </w:pPr>
            <w:r>
              <w:rPr>
                <w:rFonts w:ascii="Courier New" w:cs="Courier New" w:eastAsia="Courier New" w:hAnsi="Courier New"/>
                <w:color w:val="1A3A5C"/>
                <w:sz w:val="19"/>
                <w:szCs w:val="19"/>
              </w:rPr>
              <w:t xml:space="preserve">DataSync → Tasks → Create → Source: NFS location, Destination: EFS location, Verify data: BEST_EFFORT</w:t>
            </w:r>
          </w:p>
        </w:tc>
      </w:tr>
      <w:tr>
        <w:tc>
          <w:tcPr>
            <w:tcW w:type="dxa" w:w="600"/>
            <w:tcBorders>
              <w:top w:val="single" w:color="BFBFBF" w:sz="1"/>
              <w:left w:val="single" w:color="BFBFBF" w:sz="1"/>
              <w:bottom w:val="single" w:color="BFBFBF" w:sz="1"/>
              <w:right w:val="single" w:color="BFBFBF" w:sz="1"/>
            </w:tcBorders>
            <w:shd w:fill="EDF2FA"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9</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Configure Task Schedule</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Add a recurring schedule to the task for daily incremental syncs during the run-up to cutover. Cron expression for 02:00 IST daily (20:30 UTC).</w:t>
            </w:r>
          </w:p>
          <w:p>
            <w:pPr>
              <w:spacing w:before="40"/>
            </w:pPr>
            <w:r>
              <w:rPr>
                <w:rFonts w:ascii="Courier New" w:cs="Courier New" w:eastAsia="Courier New" w:hAnsi="Courier New"/>
                <w:color w:val="1A3A5C"/>
                <w:sz w:val="19"/>
                <w:szCs w:val="19"/>
              </w:rPr>
              <w:t xml:space="preserve">DataSync → Tasks → Select task → Schedule tab → Add schedule: cron(30 20 * * ? *)</w:t>
            </w:r>
          </w:p>
        </w:tc>
      </w:tr>
      <w:tr>
        <w:tc>
          <w:tcPr>
            <w:tcW w:type="dxa" w:w="600"/>
            <w:tcBorders>
              <w:top w:val="single" w:color="BFBFBF" w:sz="1"/>
              <w:left w:val="single" w:color="BFBFBF" w:sz="1"/>
              <w:bottom w:val="single" w:color="BFBFBF" w:sz="1"/>
              <w:right w:val="single" w:color="BFBFBF" w:sz="1"/>
            </w:tcBorders>
            <w:shd w:fill="D9E2F3"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10</w:t>
            </w:r>
          </w:p>
        </w:tc>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b/>
                <w:bCs/>
                <w:color w:val="404040"/>
                <w:sz w:val="20"/>
                <w:szCs w:val="20"/>
              </w:rPr>
              <w:t xml:space="preserve">Start Initial Transfer</w:t>
            </w:r>
          </w:p>
        </w:tc>
        <w:tc>
          <w:tcPr>
            <w:tcW w:type="dxa" w:w="63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Start the task manually for the first full transfer. Monitor the task execution in the DataSync console: Files Prepared, Files Transferred, Files Verified, Bytes Transferred.</w:t>
            </w:r>
          </w:p>
          <w:p>
            <w:pPr>
              <w:spacing w:before="40"/>
            </w:pPr>
            <w:r>
              <w:rPr>
                <w:rFonts w:ascii="Courier New" w:cs="Courier New" w:eastAsia="Courier New" w:hAnsi="Courier New"/>
                <w:color w:val="1A3A5C"/>
                <w:sz w:val="19"/>
                <w:szCs w:val="19"/>
              </w:rPr>
              <w:t xml:space="preserve">DataSync → Tasks → Select task → Start with Overrides (optional) → Start</w:t>
            </w:r>
          </w:p>
        </w:tc>
      </w:tr>
      <w:tr>
        <w:tc>
          <w:tcPr>
            <w:tcW w:type="dxa" w:w="600"/>
            <w:tcBorders>
              <w:top w:val="single" w:color="BFBFBF" w:sz="1"/>
              <w:left w:val="single" w:color="BFBFBF" w:sz="1"/>
              <w:bottom w:val="single" w:color="BFBFBF" w:sz="1"/>
              <w:right w:val="single" w:color="BFBFBF" w:sz="1"/>
            </w:tcBorders>
            <w:shd w:fill="EDF2FA"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11</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Validate Integrity</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After execution completes, check the task execution report: Files Transferred = Files Verified (for BEST_EFFORT). Download the execution report for audit evidence.</w:t>
            </w:r>
          </w:p>
          <w:p>
            <w:pPr>
              <w:spacing w:before="40"/>
            </w:pPr>
            <w:r>
              <w:rPr>
                <w:rFonts w:ascii="Courier New" w:cs="Courier New" w:eastAsia="Courier New" w:hAnsi="Courier New"/>
                <w:color w:val="1A3A5C"/>
                <w:sz w:val="19"/>
                <w:szCs w:val="19"/>
              </w:rPr>
              <w:t xml:space="preserve">DataSync Console → Tasks → Executions → Select execution → View Report</w:t>
            </w:r>
          </w:p>
        </w:tc>
      </w:tr>
      <w:tr>
        <w:tc>
          <w:tcPr>
            <w:tcW w:type="dxa" w:w="600"/>
            <w:tcBorders>
              <w:top w:val="single" w:color="BFBFBF" w:sz="1"/>
              <w:left w:val="single" w:color="BFBFBF" w:sz="1"/>
              <w:bottom w:val="single" w:color="BFBFBF" w:sz="1"/>
              <w:right w:val="single" w:color="BFBFBF" w:sz="1"/>
            </w:tcBorders>
            <w:shd w:fill="D9E2F3" w:val="clear"/>
            <w:tcMar>
              <w:top w:type="dxa" w:w="80"/>
              <w:left w:type="dxa" w:w="100"/>
              <w:bottom w:type="dxa" w:w="80"/>
              <w:right w:type="dxa" w:w="100"/>
            </w:tcMar>
          </w:tcPr>
          <w:p>
            <w:pPr>
              <w:jc w:val="center"/>
            </w:pPr>
            <w:r>
              <w:rPr>
                <w:rFonts w:ascii="Arial" w:cs="Arial" w:eastAsia="Arial" w:hAnsi="Arial"/>
                <w:b/>
                <w:bCs/>
                <w:color w:val="1F3864"/>
                <w:sz w:val="22"/>
                <w:szCs w:val="22"/>
              </w:rPr>
              <w:t xml:space="preserve">12</w:t>
            </w:r>
          </w:p>
        </w:tc>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b/>
                <w:bCs/>
                <w:color w:val="404040"/>
                <w:sz w:val="20"/>
                <w:szCs w:val="20"/>
              </w:rPr>
              <w:t xml:space="preserve">Final Cutover Sync</w:t>
            </w:r>
          </w:p>
        </w:tc>
        <w:tc>
          <w:tcPr>
            <w:tcW w:type="dxa" w:w="63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On cutover day: run a final task execution to transfer the last delta. Once complete, freeze writes to the source share. Verify file counts match. Update application mount points to EFS/FSx. Disable task schedule.</w:t>
            </w:r>
          </w:p>
          <w:p>
            <w:pPr>
              <w:spacing w:before="40"/>
            </w:pPr>
            <w:r>
              <w:rPr>
                <w:rFonts w:ascii="Courier New" w:cs="Courier New" w:eastAsia="Courier New" w:hAnsi="Courier New"/>
                <w:color w:val="1A3A5C"/>
                <w:sz w:val="19"/>
                <w:szCs w:val="19"/>
              </w:rPr>
              <w:t xml:space="preserve">Final sync should transfer only files modified since last daily sync — expect &lt; 2 hour runtime.</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C.3 DataSync Task Options — Reference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960"/>
        <w:gridCol w:w="2800"/>
      </w:tblGrid>
      <w:tr>
        <w:trPr>
          <w:tblHeader/>
        </w:trPr>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Option</w:t>
            </w:r>
          </w:p>
        </w:tc>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Values</w:t>
            </w:r>
          </w:p>
        </w:tc>
        <w:tc>
          <w:tcPr>
            <w:tcW w:type="dxa" w:w="1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Recommended Setting</w:t>
            </w:r>
          </w:p>
        </w:tc>
        <w:tc>
          <w:tcPr>
            <w:tcW w:type="dxa" w:w="2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Notes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VerifyMode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BEST_EFFORT / ONLY_FILES_TRANSFERRED / NONE</w:t>
            </w:r>
          </w:p>
        </w:tc>
        <w:tc>
          <w:tcPr>
            <w:tcW w:type="dxa" w:w="1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BEST_EFFORT for critical data</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ONLY_FILES_TRANSFERRED is faster for large shares (&gt;10 TB).</w:t>
            </w:r>
          </w:p>
        </w:tc>
      </w:tr>
      <w:tr>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OverwriteMode</w:t>
            </w:r>
          </w:p>
        </w:tc>
        <w:tc>
          <w:tcPr>
            <w:tcW w:type="dxa" w:w="20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ALWAYS / NEVER</w:t>
            </w:r>
          </w:p>
        </w:tc>
        <w:tc>
          <w:tcPr>
            <w:tcW w:type="dxa" w:w="19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ALWAYS for initial; NEVER post-cutover</w:t>
            </w:r>
          </w:p>
        </w:tc>
        <w:tc>
          <w:tcPr>
            <w:tcW w:type="dxa" w:w="28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NEVER prevents overwriting newer files at destination.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PreserveMtimes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PRESERVE / NONE</w:t>
            </w:r>
          </w:p>
        </w:tc>
        <w:tc>
          <w:tcPr>
            <w:tcW w:type="dxa" w:w="1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PRESERVE</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Critical for applications that rely on file modification timestamps.</w:t>
            </w:r>
          </w:p>
        </w:tc>
      </w:tr>
      <w:tr>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PreserveDeletedFiles</w:t>
            </w:r>
          </w:p>
        </w:tc>
        <w:tc>
          <w:tcPr>
            <w:tcW w:type="dxa" w:w="20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PRESERVE / REMOVE</w:t>
            </w:r>
          </w:p>
        </w:tc>
        <w:tc>
          <w:tcPr>
            <w:tcW w:type="dxa" w:w="19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REMOVE (for migration)</w:t>
            </w:r>
          </w:p>
        </w:tc>
        <w:tc>
          <w:tcPr>
            <w:tcW w:type="dxa" w:w="28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REMOVE deletes files at destination that no longer exist at source.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PosixPermissions (NFS)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PRESERVE / NONE</w:t>
            </w:r>
          </w:p>
        </w:tc>
        <w:tc>
          <w:tcPr>
            <w:tcW w:type="dxa" w:w="1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PRESERVE</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Required to maintain Linux file permissions.</w:t>
            </w:r>
          </w:p>
        </w:tc>
      </w:tr>
      <w:tr>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Mtime (NFS)</w:t>
            </w:r>
          </w:p>
        </w:tc>
        <w:tc>
          <w:tcPr>
            <w:tcW w:type="dxa" w:w="20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PRESERVE / NONE</w:t>
            </w:r>
          </w:p>
        </w:tc>
        <w:tc>
          <w:tcPr>
            <w:tcW w:type="dxa" w:w="19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PRESERVE</w:t>
            </w:r>
          </w:p>
        </w:tc>
        <w:tc>
          <w:tcPr>
            <w:tcW w:type="dxa" w:w="28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Preserves file modification time.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SmbAcls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BEST_EFFORT / NONE</w:t>
            </w:r>
          </w:p>
        </w:tc>
        <w:tc>
          <w:tcPr>
            <w:tcW w:type="dxa" w:w="1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BEST_EFFORT</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Preserves Windows NTFS ACLs on FSx for Windows target.</w:t>
            </w:r>
          </w:p>
        </w:tc>
      </w:tr>
      <w:tr>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LogLevel</w:t>
            </w:r>
          </w:p>
        </w:tc>
        <w:tc>
          <w:tcPr>
            <w:tcW w:type="dxa" w:w="20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TRANSFER / BASIC / OFF</w:t>
            </w:r>
          </w:p>
        </w:tc>
        <w:tc>
          <w:tcPr>
            <w:tcW w:type="dxa" w:w="19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TRANSFER (initial); BASIC (ongoing)</w:t>
            </w:r>
          </w:p>
        </w:tc>
        <w:tc>
          <w:tcPr>
            <w:tcW w:type="dxa" w:w="28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TRANSFER logs every file transferred — useful for initial validation.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BandwidthLimit</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 to max Mbps</w:t>
            </w:r>
          </w:p>
        </w:tc>
        <w:tc>
          <w:tcPr>
            <w:tcW w:type="dxa" w:w="1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 off-peak; 500 business hours</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Prevents transfer from saturating Direct Connect during business hours.</w:t>
            </w:r>
          </w:p>
        </w:tc>
      </w:tr>
      <w:tr>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TaskQueueing</w:t>
            </w:r>
          </w:p>
        </w:tc>
        <w:tc>
          <w:tcPr>
            <w:tcW w:type="dxa" w:w="20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ENABLED / DISABLED</w:t>
            </w:r>
          </w:p>
        </w:tc>
        <w:tc>
          <w:tcPr>
            <w:tcW w:type="dxa" w:w="19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ENABLED</w:t>
            </w:r>
          </w:p>
        </w:tc>
        <w:tc>
          <w:tcPr>
            <w:tcW w:type="dxa" w:w="28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Allows task executions to queue if previous execution still running.</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C.4 DataSync Troubleshooting — 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Issue</w:t>
            </w:r>
          </w:p>
        </w:tc>
        <w:tc>
          <w:tcPr>
            <w:tcW w:type="dxa" w:w="3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Cause</w:t>
            </w:r>
          </w:p>
        </w:tc>
        <w:tc>
          <w:tcPr>
            <w:tcW w:type="dxa" w:w="37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Resolution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Agent not appearing online</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Agent VM cannot reach DataSync VPC endpoint on TCP 443</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Check agent VM firewall / vCenter port group. Verify VPC endpoint SG allows TCP 443 from agent IP.</w:t>
            </w:r>
          </w:p>
        </w:tc>
      </w:tr>
      <w:tr>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NFS mount fails</w:t>
            </w:r>
          </w:p>
        </w:tc>
        <w:tc>
          <w:tcPr>
            <w:tcW w:type="dxa" w:w="32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NFS server export permissions not allowing agent IP</w:t>
            </w:r>
          </w:p>
        </w:tc>
        <w:tc>
          <w:tcPr>
            <w:tcW w:type="dxa" w:w="37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Add agent VM IP to NFS export rule: /etc/exports entry or NetApp export policy.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SMB authentication failure</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Wrong credentials or domain join issue</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Use service account in format DOMAIN\user. Confirm account has read access to share.</w:t>
            </w:r>
          </w:p>
        </w:tc>
      </w:tr>
      <w:tr>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Transfer slower than expected</w:t>
            </w:r>
          </w:p>
        </w:tc>
        <w:tc>
          <w:tcPr>
            <w:tcW w:type="dxa" w:w="32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Insufficient agent resources or throttled bandwidth</w:t>
            </w:r>
          </w:p>
        </w:tc>
        <w:tc>
          <w:tcPr>
            <w:tcW w:type="dxa" w:w="37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Check agent VM CPU/RAM utilisation. Increase to 4 vCPU / 32 GB if needed. Remove bandwidth limit.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Verification failures</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Files modified during transfer (active shares)</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Normal for active shares. Schedule transfers during low-activity windows. Use incremental syncs.</w:t>
            </w:r>
          </w:p>
        </w:tc>
      </w:tr>
      <w:tr>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Files skipped — permission denied</w:t>
            </w:r>
          </w:p>
        </w:tc>
        <w:tc>
          <w:tcPr>
            <w:tcW w:type="dxa" w:w="32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DataSync agent lacks read permission on some files/directories</w:t>
            </w:r>
          </w:p>
        </w:tc>
        <w:tc>
          <w:tcPr>
            <w:tcW w:type="dxa" w:w="37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Grant read permissions to DataSync NFS/SMB service account on all subdirectories.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EFS mount target unreachable</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Security group on EFS mount target not allowing NFS from DataSync</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Add inbound NFS (TCP 2049) rule to EFS SG from the migration VPC CIDR.</w:t>
            </w:r>
          </w:p>
        </w:tc>
      </w:tr>
    </w:tbl>
    <w:p>
      <w:pPr>
        <w:spacing w:after="80" w:before="80"/>
      </w:pPr>
      <w:r>
        <w:t xml:space="preserve"/>
      </w:r>
    </w:p>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PART D — Pilot Migration Execution Summary</w:t>
      </w:r>
    </w:p>
    <w:p>
      <w:pPr>
        <w:pStyle w:val="Heading2"/>
        <w:spacing w:after="80" w:before="240"/>
      </w:pPr>
      <w:r>
        <w:rPr>
          <w:rFonts w:ascii="Arial" w:cs="Arial" w:eastAsia="Arial" w:hAnsi="Arial"/>
          <w:b/>
          <w:bCs/>
          <w:color w:val="2E75B6"/>
          <w:sz w:val="26"/>
          <w:szCs w:val="26"/>
        </w:rPr>
        <w:t xml:space="preserve">D.1 What Was Delivered</w:t>
      </w:r>
    </w:p>
    <w:p>
      <w:pPr>
        <w:spacing w:after="60" w:before="60"/>
        <w:jc w:val="both"/>
      </w:pPr>
      <w:r>
        <w:rPr>
          <w:rFonts w:ascii="Arial" w:cs="Arial" w:eastAsia="Arial" w:hAnsi="Arial"/>
          <w:color w:val="404040"/>
          <w:sz w:val="22"/>
          <w:szCs w:val="22"/>
        </w:rPr>
        <w:t xml:space="preserve">The following table summarises the actual pilot migration outcomes achieved during the engagement. All three migration streams ran concurrently during the 7-week pilot phase.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600"/>
        <w:gridCol w:w="2760"/>
      </w:tblGrid>
      <w:tr>
        <w:trPr>
          <w:tblHeader/>
        </w:trPr>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Migration Stream</w:t>
            </w:r>
          </w:p>
        </w:tc>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Scope</w:t>
            </w:r>
          </w:p>
        </w:tc>
        <w:tc>
          <w:tcPr>
            <w:tcW w:type="dxa" w:w="1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Duration</w:t>
            </w:r>
          </w:p>
        </w:tc>
        <w:tc>
          <w:tcPr>
            <w:tcW w:type="dxa" w:w="27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Outcome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MGN — Server Migration</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10 servers (5 Linux, 5 Windows)</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 weeks replication + 2 days cutover</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 10 servers running on EC2. Zero P1 incidents in 48-hour hypercare.</w:t>
            </w:r>
          </w:p>
        </w:tc>
      </w:tr>
      <w:tr>
        <w:tc>
          <w:tcPr>
            <w:tcW w:type="dxa" w:w="20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DMS — Database Migration</w:t>
            </w:r>
          </w:p>
        </w:tc>
        <w:tc>
          <w:tcPr>
            <w:tcW w:type="dxa" w:w="30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5 databases (Oracle, SQL Server ×2, MySQL ×2)</w:t>
            </w:r>
          </w:p>
        </w:tc>
        <w:tc>
          <w:tcPr>
            <w:tcW w:type="dxa" w:w="16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Full load: 3–10 hours per DB; CDC: 3 weeks sustained</w:t>
            </w:r>
          </w:p>
        </w:tc>
        <w:tc>
          <w:tcPr>
            <w:tcW w:type="dxa" w:w="27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Zero data loss. DMS validation: 100% rows validated. CDC lag sustained &lt; 15 seconds.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DataSync — File Shares</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 shares: 5 TB NFS + 3 TB SMB</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Initial: NFS 14 hrs, SMB 9 hrs; Final delta: &lt; 90 mins</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File count and bytes matched. POSIX and NTFS permissions preserved. Integrity verified.</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D.2 Cutover Sequence — Coordinated Across All Three Tools</w:t>
      </w:r>
    </w:p>
    <w:p>
      <w:pPr>
        <w:spacing w:after="60" w:before="60"/>
        <w:jc w:val="both"/>
      </w:pPr>
      <w:r>
        <w:rPr>
          <w:rFonts w:ascii="Arial" w:cs="Arial" w:eastAsia="Arial" w:hAnsi="Arial"/>
          <w:color w:val="404040"/>
          <w:sz w:val="22"/>
          <w:szCs w:val="22"/>
        </w:rPr>
        <w:t xml:space="preserve">The application, database, and file share cutovers must be coordinated to occur within the same maintenance window. The following sequence was used for the pilot: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800"/>
        <w:gridCol w:w="1600"/>
        <w:gridCol w:w="2160"/>
      </w:tblGrid>
      <w:tr>
        <w:trPr>
          <w:tblHeader/>
        </w:trPr>
        <w:tc>
          <w:tcPr>
            <w:tcW w:type="dxa" w:w="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Time</w:t>
            </w:r>
          </w:p>
        </w:tc>
        <w:tc>
          <w:tcPr>
            <w:tcW w:type="dxa" w:w="4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Action</w:t>
            </w:r>
          </w:p>
        </w:tc>
        <w:tc>
          <w:tcPr>
            <w:tcW w:type="dxa" w:w="1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Tool</w:t>
            </w:r>
          </w:p>
        </w:tc>
        <w:tc>
          <w:tcPr>
            <w:tcW w:type="dxa" w:w="21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Owner</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T-7 days</w:t>
            </w:r>
          </w:p>
        </w:tc>
        <w:tc>
          <w:tcPr>
            <w:tcW w:type="dxa" w:w="4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Final MGN test instances launched, validated, and terminated. DMS CDC lag &lt; 30s confirmed for 24 hrs.</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MGN + DMS</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Migration Lead</w:t>
            </w:r>
          </w:p>
        </w:tc>
      </w:tr>
      <w:tr>
        <w:tc>
          <w:tcPr>
            <w:tcW w:type="dxa" w:w="8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T-1 day</w:t>
            </w:r>
          </w:p>
        </w:tc>
        <w:tc>
          <w:tcPr>
            <w:tcW w:type="dxa" w:w="48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DataSync final pre-cutover sync executed. File count baseline captured.</w:t>
            </w:r>
          </w:p>
        </w:tc>
        <w:tc>
          <w:tcPr>
            <w:tcW w:type="dxa" w:w="16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DataSync</w:t>
            </w:r>
          </w:p>
        </w:tc>
        <w:tc>
          <w:tcPr>
            <w:tcW w:type="dxa" w:w="21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Storage Lead</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T-0: 00:00</w:t>
            </w:r>
          </w:p>
        </w:tc>
        <w:tc>
          <w:tcPr>
            <w:tcW w:type="dxa" w:w="4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Maintenance window opens. User communication sent. Application load balancer drained.</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ALB</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App Owner</w:t>
            </w:r>
          </w:p>
        </w:tc>
      </w:tr>
      <w:tr>
        <w:tc>
          <w:tcPr>
            <w:tcW w:type="dxa" w:w="8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T-0: 00:05</w:t>
            </w:r>
          </w:p>
        </w:tc>
        <w:tc>
          <w:tcPr>
            <w:tcW w:type="dxa" w:w="48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Application services stopped on source servers. Database write freeze confirmed.</w:t>
            </w:r>
          </w:p>
        </w:tc>
        <w:tc>
          <w:tcPr>
            <w:tcW w:type="dxa" w:w="16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MGN + DMS</w:t>
            </w:r>
          </w:p>
        </w:tc>
        <w:tc>
          <w:tcPr>
            <w:tcW w:type="dxa" w:w="21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App &amp; DBA</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T-0: 00:10</w:t>
            </w:r>
          </w:p>
        </w:tc>
        <w:tc>
          <w:tcPr>
            <w:tcW w:type="dxa" w:w="4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DMS CDC lag confirmed = 0 seconds. DMS tasks stopped.</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DMS</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DBA Lead</w:t>
            </w:r>
          </w:p>
        </w:tc>
      </w:tr>
      <w:tr>
        <w:tc>
          <w:tcPr>
            <w:tcW w:type="dxa" w:w="8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T-0: 00:15</w:t>
            </w:r>
          </w:p>
        </w:tc>
        <w:tc>
          <w:tcPr>
            <w:tcW w:type="dxa" w:w="48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DataSync final delta sync started. Transfers only files modified after T-1 day sync.</w:t>
            </w:r>
          </w:p>
        </w:tc>
        <w:tc>
          <w:tcPr>
            <w:tcW w:type="dxa" w:w="16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DataSync</w:t>
            </w:r>
          </w:p>
        </w:tc>
        <w:tc>
          <w:tcPr>
            <w:tcW w:type="dxa" w:w="21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Storage Lead</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T-0: 00:20</w:t>
            </w:r>
          </w:p>
        </w:tc>
        <w:tc>
          <w:tcPr>
            <w:tcW w:type="dxa" w:w="4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MGN: replication lag = 0 confirmed for all 10 servers. Cutover instances launched.</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MGN</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Migration Lead</w:t>
            </w:r>
          </w:p>
        </w:tc>
      </w:tr>
      <w:tr>
        <w:tc>
          <w:tcPr>
            <w:tcW w:type="dxa" w:w="8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T-0: 00:45</w:t>
            </w:r>
          </w:p>
        </w:tc>
        <w:tc>
          <w:tcPr>
            <w:tcW w:type="dxa" w:w="48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MGN cutover instances healthy. Post-launch actions complete. Application services started.</w:t>
            </w:r>
          </w:p>
        </w:tc>
        <w:tc>
          <w:tcPr>
            <w:tcW w:type="dxa" w:w="16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MGN</w:t>
            </w:r>
          </w:p>
        </w:tc>
        <w:tc>
          <w:tcPr>
            <w:tcW w:type="dxa" w:w="21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App Owner</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T-0: 01:00</w:t>
            </w:r>
          </w:p>
        </w:tc>
        <w:tc>
          <w:tcPr>
            <w:tcW w:type="dxa" w:w="4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DataSync final sync complete. File counts verified on EFS/FSx.</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DataSync</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Storage Lead</w:t>
            </w:r>
          </w:p>
        </w:tc>
      </w:tr>
      <w:tr>
        <w:tc>
          <w:tcPr>
            <w:tcW w:type="dxa" w:w="8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T-0: 01:10</w:t>
            </w:r>
          </w:p>
        </w:tc>
        <w:tc>
          <w:tcPr>
            <w:tcW w:type="dxa" w:w="48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DNS records updated to point to new EC2 IPs and RDS/Aurora endpoints.</w:t>
            </w:r>
          </w:p>
        </w:tc>
        <w:tc>
          <w:tcPr>
            <w:tcW w:type="dxa" w:w="16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Route 53</w:t>
            </w:r>
          </w:p>
        </w:tc>
        <w:tc>
          <w:tcPr>
            <w:tcW w:type="dxa" w:w="21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Network Lead</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T-0: 01:30</w:t>
            </w:r>
          </w:p>
        </w:tc>
        <w:tc>
          <w:tcPr>
            <w:tcW w:type="dxa" w:w="4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Application smoke tests run and passed. Load balancer re-opened to production traffic.</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App Owner</w:t>
            </w:r>
          </w:p>
        </w:tc>
      </w:tr>
      <w:tr>
        <w:tc>
          <w:tcPr>
            <w:tcW w:type="dxa" w:w="8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T+48 hrs</w:t>
            </w:r>
          </w:p>
        </w:tc>
        <w:tc>
          <w:tcPr>
            <w:tcW w:type="dxa" w:w="48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Hypercare complete. No P1 issues. MGN source servers archived. DMS tasks deleted.</w:t>
            </w:r>
          </w:p>
        </w:tc>
        <w:tc>
          <w:tcPr>
            <w:tcW w:type="dxa" w:w="16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All</w:t>
            </w:r>
          </w:p>
        </w:tc>
        <w:tc>
          <w:tcPr>
            <w:tcW w:type="dxa" w:w="21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Migration Lead</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D.3 Lessons Learned</w:t>
      </w:r>
    </w:p>
    <w:p>
      <w:pPr>
        <w:pStyle w:val="ListParagraph"/>
        <w:numPr>
          <w:ilvl w:val="0"/>
          <w:numId w:val="2"/>
        </w:numPr>
        <w:spacing w:after="40" w:before="40"/>
      </w:pPr>
      <w:r>
        <w:rPr>
          <w:rFonts w:ascii="Arial" w:cs="Arial" w:eastAsia="Arial" w:hAnsi="Arial"/>
          <w:color w:val="404040"/>
          <w:sz w:val="22"/>
          <w:szCs w:val="22"/>
        </w:rPr>
        <w:t xml:space="preserve">Bandwidth throttling on MGN replication during business hours is essential — without it, the 1 Gbps Direct Connect was saturated during initial sync, causing latency issues for production workloads still using the on-prem data centre.</w:t>
      </w:r>
    </w:p>
    <w:p>
      <w:pPr>
        <w:pStyle w:val="ListParagraph"/>
        <w:numPr>
          <w:ilvl w:val="0"/>
          <w:numId w:val="2"/>
        </w:numPr>
        <w:spacing w:after="40" w:before="40"/>
      </w:pPr>
      <w:r>
        <w:rPr>
          <w:rFonts w:ascii="Arial" w:cs="Arial" w:eastAsia="Arial" w:hAnsi="Arial"/>
          <w:color w:val="404040"/>
          <w:sz w:val="22"/>
          <w:szCs w:val="22"/>
        </w:rPr>
        <w:t xml:space="preserve">DMS LOB settings for Oracle CLOB columns must be tested in staging first — the default Limited LOB size of 32 KB truncated several CLOB columns in COREBANKING_DB. Increasing to 128 KB resolved all validation mismatches.</w:t>
      </w:r>
    </w:p>
    <w:p>
      <w:pPr>
        <w:pStyle w:val="ListParagraph"/>
        <w:numPr>
          <w:ilvl w:val="0"/>
          <w:numId w:val="2"/>
        </w:numPr>
        <w:spacing w:after="40" w:before="40"/>
      </w:pPr>
      <w:r>
        <w:rPr>
          <w:rFonts w:ascii="Arial" w:cs="Arial" w:eastAsia="Arial" w:hAnsi="Arial"/>
          <w:color w:val="404040"/>
          <w:sz w:val="22"/>
          <w:szCs w:val="22"/>
        </w:rPr>
        <w:t xml:space="preserve">DataSync agent sizing matters: the initial agent was deployed with 2 vCPU / 8 GB RAM. Transfer speed plateaued at 200 Mbps. Resizing to 4 vCPU / 32 GB increased throughput to 750 Mbps, meeting the 70% Direct Connect utilisation target.</w:t>
      </w:r>
    </w:p>
    <w:p>
      <w:pPr>
        <w:pStyle w:val="ListParagraph"/>
        <w:numPr>
          <w:ilvl w:val="0"/>
          <w:numId w:val="2"/>
        </w:numPr>
        <w:spacing w:after="40" w:before="40"/>
      </w:pPr>
      <w:r>
        <w:rPr>
          <w:rFonts w:ascii="Arial" w:cs="Arial" w:eastAsia="Arial" w:hAnsi="Arial"/>
          <w:color w:val="404040"/>
          <w:sz w:val="22"/>
          <w:szCs w:val="22"/>
        </w:rPr>
        <w:t xml:space="preserve">Post-launch actions for Windows servers should include a DNS registration delay — Windows servers attempt DNS registration before the VPC DNS has propagated, causing initial connectivity failures. Adding a 30-second sleep before the domain join command resolved this.</w:t>
      </w:r>
    </w:p>
    <w:p>
      <w:pPr>
        <w:pStyle w:val="ListParagraph"/>
        <w:numPr>
          <w:ilvl w:val="0"/>
          <w:numId w:val="2"/>
        </w:numPr>
        <w:spacing w:after="40" w:before="40"/>
      </w:pPr>
      <w:r>
        <w:rPr>
          <w:rFonts w:ascii="Arial" w:cs="Arial" w:eastAsia="Arial" w:hAnsi="Arial"/>
          <w:color w:val="404040"/>
          <w:sz w:val="22"/>
          <w:szCs w:val="22"/>
        </w:rPr>
        <w:t xml:space="preserve">DMS Multi-AZ replication instance adds ~40% cost but is essential for production migrations — a replication instance failure during full load without Multi-AZ would require restarting the full load from scratch.</w:t>
      </w:r>
    </w:p>
    <w:p>
      <w:pPr>
        <w:pStyle w:val="ListParagraph"/>
        <w:numPr>
          <w:ilvl w:val="0"/>
          <w:numId w:val="2"/>
        </w:numPr>
        <w:spacing w:after="40" w:before="40"/>
      </w:pPr>
      <w:r>
        <w:rPr>
          <w:rFonts w:ascii="Arial" w:cs="Arial" w:eastAsia="Arial" w:hAnsi="Arial"/>
          <w:color w:val="404040"/>
          <w:sz w:val="22"/>
          <w:szCs w:val="22"/>
        </w:rPr>
        <w:t xml:space="preserve">DataSync BEST_EFFORT verification is sufficient for most migrations but increases transfer time by ~15%. For shares &gt; 10 TB, switch to ONLY_FILES_TRANSFERRED to meet transfer windows.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D.4 Reusable Artefacts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Artefact</w:t>
            </w:r>
          </w:p>
        </w:tc>
        <w:tc>
          <w:tcPr>
            <w:tcW w:type="dxa" w:w="1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Type</w:t>
            </w:r>
          </w:p>
        </w:tc>
        <w:tc>
          <w:tcPr>
            <w:tcW w:type="dxa" w:w="51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rFonts w:ascii="Arial" w:cs="Arial" w:eastAsia="Arial" w:hAnsi="Arial"/>
                <w:b/>
                <w:bCs/>
                <w:color w:val="1F3864"/>
                <w:sz w:val="20"/>
                <w:szCs w:val="20"/>
              </w:rPr>
              <w:t xml:space="preserve">Usage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MGN agent installation script (Linux + Windows)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Shell / PowerShell</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Reuse for all subsequent wave server agent installations.</w:t>
            </w:r>
          </w:p>
        </w:tc>
      </w:tr>
      <w:tr>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DMS table mapping JSON templates</w:t>
            </w:r>
          </w:p>
        </w:tc>
        <w:tc>
          <w:tcPr>
            <w:tcW w:type="dxa" w:w="18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JSON</w:t>
            </w:r>
          </w:p>
        </w:tc>
        <w:tc>
          <w:tcPr>
            <w:tcW w:type="dxa" w:w="51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Parameterised templates for Oracle, SQL Server, MySQL table mapping rules.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SCT migration assessment report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PDF</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Oracle→Aurora PostgreSQL conversion. Action item resolution log.</w:t>
            </w:r>
          </w:p>
        </w:tc>
      </w:tr>
      <w:tr>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DataSync Terraform module</w:t>
            </w:r>
          </w:p>
        </w:tc>
        <w:tc>
          <w:tcPr>
            <w:tcW w:type="dxa" w:w="18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Terraform HCL</w:t>
            </w:r>
          </w:p>
        </w:tc>
        <w:tc>
          <w:tcPr>
            <w:tcW w:type="dxa" w:w="51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Provisions agent location, task, and schedule for any NFS or SMB source.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Cutover runbook (per server)</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Word doc / SSM Runbook</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Used for each server cutover. Includes pre-checks, steps, rollback procedure.</w:t>
            </w:r>
          </w:p>
        </w:tc>
      </w:tr>
      <w:tr>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CloudWatch dashboard JSON</w:t>
            </w:r>
          </w:p>
        </w:tc>
        <w:tc>
          <w:tcPr>
            <w:tcW w:type="dxa" w:w="18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JSON</w:t>
            </w:r>
          </w:p>
        </w:tc>
        <w:tc>
          <w:tcPr>
            <w:tcW w:type="dxa" w:w="51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Migration monitoring dashboard — MGN lag, DMS latency, DataSync throughput.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DMS endpoint creation script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Python/boto3</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Creates all DMS endpoints and runs connection tests programmatically.</w:t>
            </w:r>
          </w:p>
        </w:tc>
      </w:tr>
      <w:tr>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Post-migration validation checklist</w:t>
            </w:r>
          </w:p>
        </w:tc>
        <w:tc>
          <w:tcPr>
            <w:tcW w:type="dxa" w:w="18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Excel / Confluence</w:t>
            </w:r>
          </w:p>
        </w:tc>
        <w:tc>
          <w:tcPr>
            <w:tcW w:type="dxa" w:w="51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rFonts w:ascii="Arial" w:cs="Arial" w:eastAsia="Arial" w:hAnsi="Arial"/>
                <w:color w:val="404040"/>
                <w:sz w:val="20"/>
                <w:szCs w:val="20"/>
              </w:rPr>
              <w:t xml:space="preserve">Application smoke tests, DB row count comparison, file count verification.</w:t>
            </w:r>
          </w:p>
        </w:tc>
      </w:tr>
    </w:tbl>
    <w:p>
      <w:pPr>
        <w:spacing w:after="100" w:before="100"/>
      </w:pPr>
      <w:r>
        <w:t xml:space="preserve"/>
      </w:r>
    </w:p>
    <w:p>
      <w:pPr>
        <w:pBdr>
          <w:top w:val="single" w:color="2E75B6" w:sz="4" w:space="4"/>
        </w:pBdr>
        <w:spacing w:before="160"/>
        <w:jc w:val="center"/>
      </w:pPr>
      <w:r>
        <w:rPr>
          <w:rFonts w:ascii="Arial" w:cs="Arial" w:eastAsia="Arial" w:hAnsi="Arial"/>
          <w:i/>
          <w:iCs/>
          <w:color w:val="595959"/>
          <w:sz w:val="18"/>
          <w:szCs w:val="18"/>
        </w:rPr>
        <w:t xml:space="preserve">Vikas Jain  |  Senior Cloud Architect  |  AWS ProServe Partner  |  linkedin.com/in/vjain80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2026-05-28T05:29:12.393Z</dcterms:created>
  <dcterms:modified xsi:type="dcterms:W3CDTF">2026-05-28T05:29:12.394Z</dcterms:modified>
</cp:coreProperties>
</file>

<file path=docProps/custom.xml><?xml version="1.0" encoding="utf-8"?>
<Properties xmlns="http://schemas.openxmlformats.org/officeDocument/2006/custom-properties" xmlns:vt="http://schemas.openxmlformats.org/officeDocument/2006/docPropsVTypes"/>
</file>