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800"/>
      </w:pPr>
      <w:r>
        <w:t xml:space="preserve"/>
      </w:r>
    </w:p>
    <w:p>
      <w:pPr>
        <w:spacing w:after="40" w:before="0"/>
        <w:jc w:val="center"/>
      </w:pPr>
      <w:r>
        <w:rPr>
          <w:rFonts w:ascii="Arial" w:cs="Arial" w:eastAsia="Arial" w:hAnsi="Arial"/>
          <w:b/>
          <w:bCs/>
          <w:color w:val="7B2020"/>
          <w:sz w:val="22"/>
          <w:szCs w:val="22"/>
        </w:rPr>
        <w:t xml:space="preserve">CONFIDENTIAL</w:t>
      </w:r>
    </w:p>
    <w:p>
      <w:pPr>
        <w:spacing w:after="80" w:before="80"/>
      </w:pPr>
      <w:r>
        <w:t xml:space="preserve"/>
      </w:r>
    </w:p>
    <w:p>
      <w:pPr>
        <w:spacing w:after="80" w:before="0"/>
        <w:jc w:val="center"/>
      </w:pPr>
      <w:r>
        <w:rPr>
          <w:rFonts w:ascii="Arial" w:cs="Arial" w:eastAsia="Arial" w:hAnsi="Arial"/>
          <w:b/>
          <w:bCs/>
          <w:color w:val="1F3864"/>
          <w:sz w:val="44"/>
          <w:szCs w:val="44"/>
        </w:rPr>
        <w:t xml:space="preserve">AWS Well-Architected Framework Review</w:t>
      </w:r>
    </w:p>
    <w:p>
      <w:pPr>
        <w:spacing w:after="80" w:before="0"/>
        <w:jc w:val="center"/>
      </w:pPr>
      <w:r>
        <w:rPr>
          <w:rFonts w:ascii="Arial" w:cs="Arial" w:eastAsia="Arial" w:hAnsi="Arial"/>
          <w:b/>
          <w:bCs/>
          <w:color w:val="2E75B6"/>
          <w:sz w:val="38"/>
          <w:szCs w:val="38"/>
        </w:rPr>
        <w:t xml:space="preserve">Findings &amp; Recommendations Report</w:t>
      </w:r>
    </w:p>
    <w:p>
      <w:pPr>
        <w:spacing w:after="60" w:before="60"/>
      </w:pPr>
      <w:r>
        <w:t xml:space="preserve"/>
      </w:r>
    </w:p>
    <w:p>
      <w:pPr>
        <w:spacing w:after="60" w:before="0"/>
        <w:jc w:val="center"/>
      </w:pPr>
      <w:r>
        <w:rPr>
          <w:rFonts w:ascii="Arial" w:cs="Arial" w:eastAsia="Arial" w:hAnsi="Arial"/>
          <w:b/>
          <w:bCs/>
          <w:color w:val="404040"/>
          <w:sz w:val="28"/>
          <w:szCs w:val="28"/>
        </w:rPr>
        <w:t xml:space="preserve">Philip Morris International</w:t>
      </w:r>
    </w:p>
    <w:p>
      <w:pPr>
        <w:spacing w:after="60" w:before="0"/>
        <w:jc w:val="center"/>
      </w:pPr>
      <w:r>
        <w:rPr>
          <w:rFonts w:ascii="Arial" w:cs="Arial" w:eastAsia="Arial" w:hAnsi="Arial"/>
          <w:color w:val="707070"/>
          <w:sz w:val="26"/>
          <w:szCs w:val="26"/>
        </w:rPr>
        <w:t xml:space="preserve">ARAS Innovator PLM System on AWS</w:t>
      </w:r>
    </w:p>
    <w:p>
      <w:pPr>
        <w:spacing w:after="20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BFBF" w:sz="1"/>
              <w:left w:val="single" w:color="BFBFBF" w:sz="1"/>
              <w:bottom w:val="single" w:color="BFBFBF" w:sz="1"/>
              <w:right w:val="single" w:color="BFBFBF" w:sz="1"/>
            </w:tcBorders>
            <w:shd w:fill="D9E2F3" w:val="clear"/>
            <w:tcMar>
              <w:top w:type="dxa" w:w="100"/>
              <w:left w:type="dxa" w:w="140"/>
              <w:bottom w:type="dxa" w:w="100"/>
              <w:right w:type="dxa" w:w="140"/>
            </w:tcMar>
          </w:tcPr>
          <w:p>
            <w:r>
              <w:rPr>
                <w:rFonts w:ascii="Arial" w:cs="Arial" w:eastAsia="Arial" w:hAnsi="Arial"/>
                <w:b/>
                <w:bCs/>
                <w:color w:val="1F3864"/>
                <w:sz w:val="22"/>
                <w:szCs w:val="22"/>
              </w:rPr>
              <w:t xml:space="preserve">Review Date</w:t>
            </w:r>
          </w:p>
        </w:tc>
        <w:tc>
          <w:tcPr>
            <w:tcW w:type="dxa" w:w="6960"/>
            <w:tcBorders>
              <w:top w:val="single" w:color="BFBFBF" w:sz="1"/>
              <w:left w:val="single" w:color="BFBFBF" w:sz="1"/>
              <w:bottom w:val="single" w:color="BFBFBF" w:sz="1"/>
              <w:right w:val="single" w:color="BFBFBF" w:sz="1"/>
            </w:tcBorders>
            <w:shd w:fill="FFFFFF" w:val="clear"/>
            <w:tcMar>
              <w:top w:type="dxa" w:w="100"/>
              <w:left w:type="dxa" w:w="140"/>
              <w:bottom w:type="dxa" w:w="100"/>
              <w:right w:type="dxa" w:w="140"/>
            </w:tcMar>
          </w:tcPr>
          <w:p>
            <w:r>
              <w:rPr>
                <w:rFonts w:ascii="Arial" w:cs="Arial" w:eastAsia="Arial" w:hAnsi="Arial"/>
                <w:color w:val="404040"/>
                <w:sz w:val="22"/>
                <w:szCs w:val="22"/>
              </w:rPr>
              <w:t xml:space="preserve">March 2023</w:t>
            </w:r>
          </w:p>
        </w:tc>
      </w:tr>
      <w:tr>
        <w:tc>
          <w:tcPr>
            <w:tcW w:type="dxa" w:w="2400"/>
            <w:tcBorders>
              <w:top w:val="single" w:color="BFBFBF" w:sz="1"/>
              <w:left w:val="single" w:color="BFBFBF" w:sz="1"/>
              <w:bottom w:val="single" w:color="BFBFBF" w:sz="1"/>
              <w:right w:val="single" w:color="BFBFBF" w:sz="1"/>
            </w:tcBorders>
            <w:shd w:fill="D9E2F3" w:val="clear"/>
            <w:tcMar>
              <w:top w:type="dxa" w:w="100"/>
              <w:left w:type="dxa" w:w="140"/>
              <w:bottom w:type="dxa" w:w="100"/>
              <w:right w:type="dxa" w:w="140"/>
            </w:tcMar>
          </w:tcPr>
          <w:p>
            <w:r>
              <w:rPr>
                <w:rFonts w:ascii="Arial" w:cs="Arial" w:eastAsia="Arial" w:hAnsi="Arial"/>
                <w:b/>
                <w:bCs/>
                <w:color w:val="1F3864"/>
                <w:sz w:val="22"/>
                <w:szCs w:val="22"/>
              </w:rPr>
              <w:t xml:space="preserve">Reviewer</w:t>
            </w:r>
          </w:p>
        </w:tc>
        <w:tc>
          <w:tcPr>
            <w:tcW w:type="dxa" w:w="6960"/>
            <w:tcBorders>
              <w:top w:val="single" w:color="BFBFBF" w:sz="1"/>
              <w:left w:val="single" w:color="BFBFBF" w:sz="1"/>
              <w:bottom w:val="single" w:color="BFBFBF" w:sz="1"/>
              <w:right w:val="single" w:color="BFBFBF" w:sz="1"/>
            </w:tcBorders>
            <w:shd w:fill="FFFFFF" w:val="clear"/>
            <w:tcMar>
              <w:top w:type="dxa" w:w="100"/>
              <w:left w:type="dxa" w:w="140"/>
              <w:bottom w:type="dxa" w:w="100"/>
              <w:right w:type="dxa" w:w="140"/>
            </w:tcMar>
          </w:tcPr>
          <w:p>
            <w:r>
              <w:rPr>
                <w:rFonts w:ascii="Arial" w:cs="Arial" w:eastAsia="Arial" w:hAnsi="Arial"/>
                <w:color w:val="404040"/>
                <w:sz w:val="22"/>
                <w:szCs w:val="22"/>
              </w:rPr>
              <w:t xml:space="preserve">Vikas Jain, Cloud Architect — IBM India</w:t>
            </w:r>
          </w:p>
        </w:tc>
      </w:tr>
      <w:tr>
        <w:tc>
          <w:tcPr>
            <w:tcW w:type="dxa" w:w="2400"/>
            <w:tcBorders>
              <w:top w:val="single" w:color="BFBFBF" w:sz="1"/>
              <w:left w:val="single" w:color="BFBFBF" w:sz="1"/>
              <w:bottom w:val="single" w:color="BFBFBF" w:sz="1"/>
              <w:right w:val="single" w:color="BFBFBF" w:sz="1"/>
            </w:tcBorders>
            <w:shd w:fill="D9E2F3" w:val="clear"/>
            <w:tcMar>
              <w:top w:type="dxa" w:w="100"/>
              <w:left w:type="dxa" w:w="140"/>
              <w:bottom w:type="dxa" w:w="100"/>
              <w:right w:type="dxa" w:w="140"/>
            </w:tcMar>
          </w:tcPr>
          <w:p>
            <w:r>
              <w:rPr>
                <w:rFonts w:ascii="Arial" w:cs="Arial" w:eastAsia="Arial" w:hAnsi="Arial"/>
                <w:b/>
                <w:bCs/>
                <w:color w:val="1F3864"/>
                <w:sz w:val="22"/>
                <w:szCs w:val="22"/>
              </w:rPr>
              <w:t xml:space="preserve">Pillars Reviewed</w:t>
            </w:r>
          </w:p>
        </w:tc>
        <w:tc>
          <w:tcPr>
            <w:tcW w:type="dxa" w:w="6960"/>
            <w:tcBorders>
              <w:top w:val="single" w:color="BFBFBF" w:sz="1"/>
              <w:left w:val="single" w:color="BFBFBF" w:sz="1"/>
              <w:bottom w:val="single" w:color="BFBFBF" w:sz="1"/>
              <w:right w:val="single" w:color="BFBFBF" w:sz="1"/>
            </w:tcBorders>
            <w:shd w:fill="FFFFFF" w:val="clear"/>
            <w:tcMar>
              <w:top w:type="dxa" w:w="100"/>
              <w:left w:type="dxa" w:w="140"/>
              <w:bottom w:type="dxa" w:w="100"/>
              <w:right w:type="dxa" w:w="140"/>
            </w:tcMar>
          </w:tcPr>
          <w:p>
            <w:r>
              <w:rPr>
                <w:rFonts w:ascii="Arial" w:cs="Arial" w:eastAsia="Arial" w:hAnsi="Arial"/>
                <w:color w:val="404040"/>
                <w:sz w:val="22"/>
                <w:szCs w:val="22"/>
              </w:rPr>
              <w:t xml:space="preserve">Security  |  Reliability  |  Performance Efficiency  |  Cost Optimisation</w:t>
            </w:r>
          </w:p>
        </w:tc>
      </w:tr>
      <w:tr>
        <w:tc>
          <w:tcPr>
            <w:tcW w:type="dxa" w:w="2400"/>
            <w:tcBorders>
              <w:top w:val="single" w:color="BFBFBF" w:sz="1"/>
              <w:left w:val="single" w:color="BFBFBF" w:sz="1"/>
              <w:bottom w:val="single" w:color="BFBFBF" w:sz="1"/>
              <w:right w:val="single" w:color="BFBFBF" w:sz="1"/>
            </w:tcBorders>
            <w:shd w:fill="D9E2F3" w:val="clear"/>
            <w:tcMar>
              <w:top w:type="dxa" w:w="100"/>
              <w:left w:type="dxa" w:w="140"/>
              <w:bottom w:type="dxa" w:w="100"/>
              <w:right w:type="dxa" w:w="140"/>
            </w:tcMar>
          </w:tcPr>
          <w:p>
            <w:r>
              <w:rPr>
                <w:rFonts w:ascii="Arial" w:cs="Arial" w:eastAsia="Arial" w:hAnsi="Arial"/>
                <w:b/>
                <w:bCs/>
                <w:color w:val="1F3864"/>
                <w:sz w:val="22"/>
                <w:szCs w:val="22"/>
              </w:rPr>
              <w:t xml:space="preserve">AWS Account</w:t>
            </w:r>
          </w:p>
        </w:tc>
        <w:tc>
          <w:tcPr>
            <w:tcW w:type="dxa" w:w="6960"/>
            <w:tcBorders>
              <w:top w:val="single" w:color="BFBFBF" w:sz="1"/>
              <w:left w:val="single" w:color="BFBFBF" w:sz="1"/>
              <w:bottom w:val="single" w:color="BFBFBF" w:sz="1"/>
              <w:right w:val="single" w:color="BFBFBF" w:sz="1"/>
            </w:tcBorders>
            <w:shd w:fill="FFFFFF" w:val="clear"/>
            <w:tcMar>
              <w:top w:type="dxa" w:w="100"/>
              <w:left w:type="dxa" w:w="140"/>
              <w:bottom w:type="dxa" w:w="100"/>
              <w:right w:type="dxa" w:w="140"/>
            </w:tcMar>
          </w:tcPr>
          <w:p>
            <w:r>
              <w:rPr>
                <w:rFonts w:ascii="Arial" w:cs="Arial" w:eastAsia="Arial" w:hAnsi="Arial"/>
                <w:color w:val="404040"/>
                <w:sz w:val="22"/>
                <w:szCs w:val="22"/>
              </w:rPr>
              <w:t xml:space="preserve">PMI-PLM-PROD  |  Region: eu-west-1</w:t>
            </w:r>
          </w:p>
        </w:tc>
      </w:tr>
      <w:tr>
        <w:tc>
          <w:tcPr>
            <w:tcW w:type="dxa" w:w="2400"/>
            <w:tcBorders>
              <w:top w:val="single" w:color="BFBFBF" w:sz="1"/>
              <w:left w:val="single" w:color="BFBFBF" w:sz="1"/>
              <w:bottom w:val="single" w:color="BFBFBF" w:sz="1"/>
              <w:right w:val="single" w:color="BFBFBF" w:sz="1"/>
            </w:tcBorders>
            <w:shd w:fill="D9E2F3" w:val="clear"/>
            <w:tcMar>
              <w:top w:type="dxa" w:w="100"/>
              <w:left w:type="dxa" w:w="140"/>
              <w:bottom w:type="dxa" w:w="100"/>
              <w:right w:type="dxa" w:w="140"/>
            </w:tcMar>
          </w:tcPr>
          <w:p>
            <w:r>
              <w:rPr>
                <w:rFonts w:ascii="Arial" w:cs="Arial" w:eastAsia="Arial" w:hAnsi="Arial"/>
                <w:b/>
                <w:bCs/>
                <w:color w:val="1F3864"/>
                <w:sz w:val="22"/>
                <w:szCs w:val="22"/>
              </w:rPr>
              <w:t xml:space="preserve">Classification</w:t>
            </w:r>
          </w:p>
        </w:tc>
        <w:tc>
          <w:tcPr>
            <w:tcW w:type="dxa" w:w="6960"/>
            <w:tcBorders>
              <w:top w:val="single" w:color="BFBFBF" w:sz="1"/>
              <w:left w:val="single" w:color="BFBFBF" w:sz="1"/>
              <w:bottom w:val="single" w:color="BFBFBF" w:sz="1"/>
              <w:right w:val="single" w:color="BFBFBF" w:sz="1"/>
            </w:tcBorders>
            <w:shd w:fill="FCE8E8" w:val="clear"/>
            <w:tcMar>
              <w:top w:type="dxa" w:w="100"/>
              <w:left w:type="dxa" w:w="140"/>
              <w:bottom w:type="dxa" w:w="100"/>
              <w:right w:type="dxa" w:w="140"/>
            </w:tcMar>
          </w:tcPr>
          <w:p>
            <w:r>
              <w:rPr>
                <w:rFonts w:ascii="Arial" w:cs="Arial" w:eastAsia="Arial" w:hAnsi="Arial"/>
                <w:b/>
                <w:bCs/>
                <w:color w:val="7B2020"/>
                <w:sz w:val="22"/>
                <w:szCs w:val="22"/>
              </w:rPr>
              <w:t xml:space="preserve">CONFIDENTIAL — PMI Internal Use Only</w:t>
            </w:r>
          </w:p>
        </w:tc>
      </w:tr>
    </w:tbl>
    <w:p>
      <w:r>
        <w:br w:type="page"/>
      </w:r>
    </w:p>
    <w:p>
      <w:pPr>
        <w:pStyle w:val="Heading1"/>
        <w:pBdr>
          <w:bottom w:val="single" w:color="2E75B6" w:sz="8" w:space="4"/>
        </w:pBdr>
        <w:spacing w:after="120" w:before="360"/>
      </w:pPr>
      <w:r>
        <w:rPr>
          <w:rFonts w:ascii="Arial" w:cs="Arial" w:eastAsia="Arial" w:hAnsi="Arial"/>
          <w:b/>
          <w:bCs/>
          <w:color w:val="1F3864"/>
          <w:sz w:val="32"/>
          <w:szCs w:val="32"/>
        </w:rPr>
        <w:t xml:space="preserve">Executive Summary</w:t>
      </w:r>
    </w:p>
    <w:p>
      <w:pPr>
        <w:spacing w:after="60" w:before="60"/>
        <w:jc w:val="both"/>
      </w:pPr>
      <w:r>
        <w:rPr>
          <w:rFonts w:ascii="Arial" w:cs="Arial" w:eastAsia="Arial" w:hAnsi="Arial"/>
          <w:color w:val="404040"/>
          <w:sz w:val="22"/>
          <w:szCs w:val="22"/>
        </w:rPr>
        <w:t xml:space="preserve">This report presents the findings and recommendations from an AWS Well-Architected Framework review of the ARAS Innovator PLM system deployed on AWS for Philip Morris International. The review was conducted in March 2023, covering the production environment that had been live for approximately three months following the first module cutover.</w:t>
      </w:r>
    </w:p>
    <w:p>
      <w:pPr>
        <w:spacing w:after="60" w:before="60"/>
        <w:jc w:val="both"/>
      </w:pPr>
      <w:r>
        <w:rPr>
          <w:rFonts w:ascii="Arial" w:cs="Arial" w:eastAsia="Arial" w:hAnsi="Arial"/>
          <w:color w:val="404040"/>
          <w:sz w:val="22"/>
          <w:szCs w:val="22"/>
        </w:rPr>
        <w:t xml:space="preserve">The review identified 27 findings across four pillars — Security, Reliability, Performance Efficiency, and Cost Optimisation. Nine findings were rated HIGH risk and have been prioritised for immediate remediation before the next module cutover. The remaining findings are rated MEDIUM or LOW and are scheduled across the following two sprints.</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Pillar Scores</w:t>
      </w:r>
    </w:p>
    <w:p>
      <w:pPr>
        <w:spacing w:after="60" w:before="60"/>
        <w:jc w:val="both"/>
      </w:pPr>
      <w:r>
        <w:rPr>
          <w:rFonts w:ascii="Arial" w:cs="Arial" w:eastAsia="Arial" w:hAnsi="Arial"/>
          <w:color w:val="404040"/>
          <w:sz w:val="22"/>
          <w:szCs w:val="22"/>
        </w:rPr>
        <w:t xml:space="preserve">Each pillar is scored against the WAF questionnaire on a scale of 0–100, where 100 represents full alignment with all best practices. Scores are based on the state of the environment at the time of review.</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800"/>
        <w:gridCol w:w="1760"/>
      </w:tblGrid>
      <w:tr>
        <w:trPr>
          <w:tblHeader/>
        </w:trPr>
        <w:tc>
          <w:tcPr>
            <w:tcW w:type="dxa" w:w="26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16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Score at Review</w:t>
            </w:r>
          </w:p>
        </w:tc>
        <w:tc>
          <w:tcPr>
            <w:tcW w:type="dxa" w:w="16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Target Score</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Findings Count</w:t>
            </w:r>
          </w:p>
        </w:tc>
        <w:tc>
          <w:tcPr>
            <w:tcW w:type="dxa" w:w="176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High Risk</w:t>
            </w:r>
          </w:p>
        </w:tc>
      </w:tr>
      <w:tr>
        <w:tc>
          <w:tcPr>
            <w:tcW w:type="dxa" w:w="2600"/>
            <w:tcBorders>
              <w:top w:val="single" w:color="BFBFBF" w:sz="1"/>
              <w:left w:val="single" w:color="BFBFBF" w:sz="1"/>
              <w:bottom w:val="single" w:color="BFBFBF" w:sz="1"/>
              <w:right w:val="single" w:color="BFBFBF" w:sz="1"/>
            </w:tcBorders>
            <w:shd w:fill="FCE8E8" w:val="clear"/>
            <w:tcMar>
              <w:top w:type="dxa" w:w="80"/>
              <w:left w:type="dxa" w:w="120"/>
              <w:bottom w:type="dxa" w:w="80"/>
              <w:right w:type="dxa" w:w="120"/>
            </w:tcMar>
          </w:tcPr>
          <w:p>
            <w:r>
              <w:rPr>
                <w:rFonts w:ascii="Arial" w:cs="Arial" w:eastAsia="Arial" w:hAnsi="Arial"/>
                <w:color w:val="7B2020"/>
                <w:sz w:val="20"/>
                <w:szCs w:val="20"/>
              </w:rPr>
              <w:t xml:space="preserve">Security</w:t>
            </w:r>
          </w:p>
        </w:tc>
        <w:tc>
          <w:tcPr>
            <w:tcW w:type="dxa" w:w="1600"/>
            <w:tcBorders>
              <w:top w:val="single" w:color="BFBFBF" w:sz="1"/>
              <w:left w:val="single" w:color="BFBFBF" w:sz="1"/>
              <w:bottom w:val="single" w:color="BFBFBF" w:sz="1"/>
              <w:right w:val="single" w:color="BFBFBF" w:sz="1"/>
            </w:tcBorders>
            <w:shd w:fill="FCE8E8" w:val="clear"/>
            <w:tcMar>
              <w:top w:type="dxa" w:w="80"/>
              <w:left w:type="dxa" w:w="120"/>
              <w:bottom w:type="dxa" w:w="80"/>
              <w:right w:type="dxa" w:w="120"/>
            </w:tcMar>
          </w:tcPr>
          <w:p>
            <w:r>
              <w:rPr>
                <w:rFonts w:ascii="Arial" w:cs="Arial" w:eastAsia="Arial" w:hAnsi="Arial"/>
                <w:color w:val="7B2020"/>
                <w:sz w:val="20"/>
                <w:szCs w:val="20"/>
              </w:rPr>
              <w:t xml:space="preserve">52 / 100</w:t>
            </w:r>
          </w:p>
        </w:tc>
        <w:tc>
          <w:tcPr>
            <w:tcW w:type="dxa" w:w="1600"/>
            <w:tcBorders>
              <w:top w:val="single" w:color="BFBFBF" w:sz="1"/>
              <w:left w:val="single" w:color="BFBFBF" w:sz="1"/>
              <w:bottom w:val="single" w:color="BFBFBF" w:sz="1"/>
              <w:right w:val="single" w:color="BFBFBF" w:sz="1"/>
            </w:tcBorders>
            <w:shd w:fill="FCE8E8" w:val="clear"/>
            <w:tcMar>
              <w:top w:type="dxa" w:w="80"/>
              <w:left w:type="dxa" w:w="120"/>
              <w:bottom w:type="dxa" w:w="80"/>
              <w:right w:type="dxa" w:w="120"/>
            </w:tcMar>
          </w:tcPr>
          <w:p>
            <w:r>
              <w:rPr>
                <w:rFonts w:ascii="Arial" w:cs="Arial" w:eastAsia="Arial" w:hAnsi="Arial"/>
                <w:color w:val="7B2020"/>
                <w:sz w:val="20"/>
                <w:szCs w:val="20"/>
              </w:rPr>
              <w:t xml:space="preserve">85 / 100</w:t>
            </w:r>
          </w:p>
        </w:tc>
        <w:tc>
          <w:tcPr>
            <w:tcW w:type="dxa" w:w="1800"/>
            <w:tcBorders>
              <w:top w:val="single" w:color="BFBFBF" w:sz="1"/>
              <w:left w:val="single" w:color="BFBFBF" w:sz="1"/>
              <w:bottom w:val="single" w:color="BFBFBF" w:sz="1"/>
              <w:right w:val="single" w:color="BFBFBF" w:sz="1"/>
            </w:tcBorders>
            <w:shd w:fill="FCE8E8" w:val="clear"/>
            <w:tcMar>
              <w:top w:type="dxa" w:w="80"/>
              <w:left w:type="dxa" w:w="120"/>
              <w:bottom w:type="dxa" w:w="80"/>
              <w:right w:type="dxa" w:w="120"/>
            </w:tcMar>
          </w:tcPr>
          <w:p>
            <w:r>
              <w:rPr>
                <w:rFonts w:ascii="Arial" w:cs="Arial" w:eastAsia="Arial" w:hAnsi="Arial"/>
                <w:color w:val="7B2020"/>
                <w:sz w:val="20"/>
                <w:szCs w:val="20"/>
              </w:rPr>
              <w:t xml:space="preserve">7</w:t>
            </w:r>
          </w:p>
        </w:tc>
        <w:tc>
          <w:tcPr>
            <w:tcW w:type="dxa" w:w="1760"/>
            <w:tcBorders>
              <w:top w:val="single" w:color="BFBFBF" w:sz="1"/>
              <w:left w:val="single" w:color="BFBFBF" w:sz="1"/>
              <w:bottom w:val="single" w:color="BFBFBF" w:sz="1"/>
              <w:right w:val="single" w:color="BFBFBF" w:sz="1"/>
            </w:tcBorders>
            <w:shd w:fill="FCE8E8" w:val="clear"/>
            <w:tcMar>
              <w:top w:type="dxa" w:w="80"/>
              <w:left w:type="dxa" w:w="120"/>
              <w:bottom w:type="dxa" w:w="80"/>
              <w:right w:type="dxa" w:w="120"/>
            </w:tcMar>
          </w:tcPr>
          <w:p>
            <w:r>
              <w:rPr>
                <w:rFonts w:ascii="Arial" w:cs="Arial" w:eastAsia="Arial" w:hAnsi="Arial"/>
                <w:color w:val="7B2020"/>
                <w:sz w:val="20"/>
                <w:szCs w:val="20"/>
              </w:rPr>
              <w:t xml:space="preserve">4</w:t>
            </w:r>
          </w:p>
        </w:tc>
      </w:tr>
      <w:tr>
        <w:tc>
          <w:tcPr>
            <w:tcW w:type="dxa" w:w="260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color w:val="7B5800"/>
                <w:sz w:val="20"/>
                <w:szCs w:val="20"/>
              </w:rPr>
              <w:t xml:space="preserve">Reliability</w:t>
            </w:r>
          </w:p>
        </w:tc>
        <w:tc>
          <w:tcPr>
            <w:tcW w:type="dxa" w:w="160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color w:val="7B5800"/>
                <w:sz w:val="20"/>
                <w:szCs w:val="20"/>
              </w:rPr>
              <w:t xml:space="preserve">58 / 100</w:t>
            </w:r>
          </w:p>
        </w:tc>
        <w:tc>
          <w:tcPr>
            <w:tcW w:type="dxa" w:w="160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color w:val="7B5800"/>
                <w:sz w:val="20"/>
                <w:szCs w:val="20"/>
              </w:rPr>
              <w:t xml:space="preserve">88 / 100</w:t>
            </w:r>
          </w:p>
        </w:tc>
        <w:tc>
          <w:tcPr>
            <w:tcW w:type="dxa" w:w="180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color w:val="7B5800"/>
                <w:sz w:val="20"/>
                <w:szCs w:val="20"/>
              </w:rPr>
              <w:t xml:space="preserve">7</w:t>
            </w:r>
          </w:p>
        </w:tc>
        <w:tc>
          <w:tcPr>
            <w:tcW w:type="dxa" w:w="176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color w:val="7B5800"/>
                <w:sz w:val="20"/>
                <w:szCs w:val="20"/>
              </w:rPr>
              <w:t xml:space="preserve">2</w:t>
            </w:r>
          </w:p>
        </w:tc>
      </w:tr>
      <w:tr>
        <w:tc>
          <w:tcPr>
            <w:tcW w:type="dxa" w:w="260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color w:val="7B5800"/>
                <w:sz w:val="20"/>
                <w:szCs w:val="20"/>
              </w:rPr>
              <w:t xml:space="preserve">Performance Efficiency</w:t>
            </w:r>
          </w:p>
        </w:tc>
        <w:tc>
          <w:tcPr>
            <w:tcW w:type="dxa" w:w="160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color w:val="7B5800"/>
                <w:sz w:val="20"/>
                <w:szCs w:val="20"/>
              </w:rPr>
              <w:t xml:space="preserve">61 / 100</w:t>
            </w:r>
          </w:p>
        </w:tc>
        <w:tc>
          <w:tcPr>
            <w:tcW w:type="dxa" w:w="160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color w:val="7B5800"/>
                <w:sz w:val="20"/>
                <w:szCs w:val="20"/>
              </w:rPr>
              <w:t xml:space="preserve">85 / 100</w:t>
            </w:r>
          </w:p>
        </w:tc>
        <w:tc>
          <w:tcPr>
            <w:tcW w:type="dxa" w:w="180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color w:val="7B5800"/>
                <w:sz w:val="20"/>
                <w:szCs w:val="20"/>
              </w:rPr>
              <w:t xml:space="preserve">7</w:t>
            </w:r>
          </w:p>
        </w:tc>
        <w:tc>
          <w:tcPr>
            <w:tcW w:type="dxa" w:w="176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color w:val="7B5800"/>
                <w:sz w:val="20"/>
                <w:szCs w:val="20"/>
              </w:rPr>
              <w:t xml:space="preserve">2</w:t>
            </w:r>
          </w:p>
        </w:tc>
      </w:tr>
      <w:tr>
        <w:tc>
          <w:tcPr>
            <w:tcW w:type="dxa" w:w="2600"/>
            <w:tcBorders>
              <w:top w:val="single" w:color="BFBFBF" w:sz="1"/>
              <w:left w:val="single" w:color="BFBFBF" w:sz="1"/>
              <w:bottom w:val="single" w:color="BFBFBF" w:sz="1"/>
              <w:right w:val="single" w:color="BFBFBF" w:sz="1"/>
            </w:tcBorders>
            <w:shd w:fill="FCE8E8" w:val="clear"/>
            <w:tcMar>
              <w:top w:type="dxa" w:w="80"/>
              <w:left w:type="dxa" w:w="120"/>
              <w:bottom w:type="dxa" w:w="80"/>
              <w:right w:type="dxa" w:w="120"/>
            </w:tcMar>
          </w:tcPr>
          <w:p>
            <w:r>
              <w:rPr>
                <w:rFonts w:ascii="Arial" w:cs="Arial" w:eastAsia="Arial" w:hAnsi="Arial"/>
                <w:color w:val="7B2020"/>
                <w:sz w:val="20"/>
                <w:szCs w:val="20"/>
              </w:rPr>
              <w:t xml:space="preserve">Cost Optimisation</w:t>
            </w:r>
          </w:p>
        </w:tc>
        <w:tc>
          <w:tcPr>
            <w:tcW w:type="dxa" w:w="1600"/>
            <w:tcBorders>
              <w:top w:val="single" w:color="BFBFBF" w:sz="1"/>
              <w:left w:val="single" w:color="BFBFBF" w:sz="1"/>
              <w:bottom w:val="single" w:color="BFBFBF" w:sz="1"/>
              <w:right w:val="single" w:color="BFBFBF" w:sz="1"/>
            </w:tcBorders>
            <w:shd w:fill="FCE8E8" w:val="clear"/>
            <w:tcMar>
              <w:top w:type="dxa" w:w="80"/>
              <w:left w:type="dxa" w:w="120"/>
              <w:bottom w:type="dxa" w:w="80"/>
              <w:right w:type="dxa" w:w="120"/>
            </w:tcMar>
          </w:tcPr>
          <w:p>
            <w:r>
              <w:rPr>
                <w:rFonts w:ascii="Arial" w:cs="Arial" w:eastAsia="Arial" w:hAnsi="Arial"/>
                <w:color w:val="7B2020"/>
                <w:sz w:val="20"/>
                <w:szCs w:val="20"/>
              </w:rPr>
              <w:t xml:space="preserve">44 / 100</w:t>
            </w:r>
          </w:p>
        </w:tc>
        <w:tc>
          <w:tcPr>
            <w:tcW w:type="dxa" w:w="1600"/>
            <w:tcBorders>
              <w:top w:val="single" w:color="BFBFBF" w:sz="1"/>
              <w:left w:val="single" w:color="BFBFBF" w:sz="1"/>
              <w:bottom w:val="single" w:color="BFBFBF" w:sz="1"/>
              <w:right w:val="single" w:color="BFBFBF" w:sz="1"/>
            </w:tcBorders>
            <w:shd w:fill="FCE8E8" w:val="clear"/>
            <w:tcMar>
              <w:top w:type="dxa" w:w="80"/>
              <w:left w:type="dxa" w:w="120"/>
              <w:bottom w:type="dxa" w:w="80"/>
              <w:right w:type="dxa" w:w="120"/>
            </w:tcMar>
          </w:tcPr>
          <w:p>
            <w:r>
              <w:rPr>
                <w:rFonts w:ascii="Arial" w:cs="Arial" w:eastAsia="Arial" w:hAnsi="Arial"/>
                <w:color w:val="7B2020"/>
                <w:sz w:val="20"/>
                <w:szCs w:val="20"/>
              </w:rPr>
              <w:t xml:space="preserve">80 / 100</w:t>
            </w:r>
          </w:p>
        </w:tc>
        <w:tc>
          <w:tcPr>
            <w:tcW w:type="dxa" w:w="1800"/>
            <w:tcBorders>
              <w:top w:val="single" w:color="BFBFBF" w:sz="1"/>
              <w:left w:val="single" w:color="BFBFBF" w:sz="1"/>
              <w:bottom w:val="single" w:color="BFBFBF" w:sz="1"/>
              <w:right w:val="single" w:color="BFBFBF" w:sz="1"/>
            </w:tcBorders>
            <w:shd w:fill="FCE8E8" w:val="clear"/>
            <w:tcMar>
              <w:top w:type="dxa" w:w="80"/>
              <w:left w:type="dxa" w:w="120"/>
              <w:bottom w:type="dxa" w:w="80"/>
              <w:right w:type="dxa" w:w="120"/>
            </w:tcMar>
          </w:tcPr>
          <w:p>
            <w:r>
              <w:rPr>
                <w:rFonts w:ascii="Arial" w:cs="Arial" w:eastAsia="Arial" w:hAnsi="Arial"/>
                <w:color w:val="7B2020"/>
                <w:sz w:val="20"/>
                <w:szCs w:val="20"/>
              </w:rPr>
              <w:t xml:space="preserve">6</w:t>
            </w:r>
          </w:p>
        </w:tc>
        <w:tc>
          <w:tcPr>
            <w:tcW w:type="dxa" w:w="1760"/>
            <w:tcBorders>
              <w:top w:val="single" w:color="BFBFBF" w:sz="1"/>
              <w:left w:val="single" w:color="BFBFBF" w:sz="1"/>
              <w:bottom w:val="single" w:color="BFBFBF" w:sz="1"/>
              <w:right w:val="single" w:color="BFBFBF" w:sz="1"/>
            </w:tcBorders>
            <w:shd w:fill="FCE8E8" w:val="clear"/>
            <w:tcMar>
              <w:top w:type="dxa" w:w="80"/>
              <w:left w:type="dxa" w:w="120"/>
              <w:bottom w:type="dxa" w:w="80"/>
              <w:right w:type="dxa" w:w="120"/>
            </w:tcMar>
          </w:tcPr>
          <w:p>
            <w:r>
              <w:rPr>
                <w:rFonts w:ascii="Arial" w:cs="Arial" w:eastAsia="Arial" w:hAnsi="Arial"/>
                <w:color w:val="7B2020"/>
                <w:sz w:val="20"/>
                <w:szCs w:val="20"/>
              </w:rPr>
              <w:t xml:space="preserve">1</w:t>
            </w:r>
          </w:p>
        </w:tc>
      </w:tr>
    </w:tbl>
    <w:p>
      <w:pPr>
        <w:spacing w:after="80" w:before="80"/>
      </w:pPr>
      <w:r>
        <w:t xml:space="preserve"/>
      </w:r>
    </w:p>
    <w:p>
      <w:pPr>
        <w:pStyle w:val="Heading2"/>
        <w:spacing w:after="80" w:before="240"/>
      </w:pPr>
      <w:r>
        <w:rPr>
          <w:rFonts w:ascii="Arial" w:cs="Arial" w:eastAsia="Arial" w:hAnsi="Arial"/>
          <w:b/>
          <w:bCs/>
          <w:color w:val="2E75B6"/>
          <w:sz w:val="26"/>
          <w:szCs w:val="26"/>
        </w:rPr>
        <w:t xml:space="preserve">Key Risks Requiring Immediate Action</w:t>
      </w:r>
    </w:p>
    <w:p>
      <w:pPr>
        <w:pStyle w:val="ListParagraph"/>
        <w:numPr>
          <w:ilvl w:val="0"/>
          <w:numId w:val="2"/>
        </w:numPr>
        <w:spacing w:after="40" w:before="40"/>
      </w:pPr>
      <w:r>
        <w:rPr>
          <w:rFonts w:ascii="Arial" w:cs="Arial" w:eastAsia="Arial" w:hAnsi="Arial"/>
          <w:color w:val="404040"/>
          <w:sz w:val="22"/>
          <w:szCs w:val="22"/>
        </w:rPr>
        <w:t xml:space="preserve">RDS SQL Server running in Single-AZ — a single point of failure for the entire PLM application. Any AZ-level disruption will cause full application outage with 15–40 minute recovery time. (REL-01)</w:t>
      </w:r>
    </w:p>
    <w:p>
      <w:pPr>
        <w:pStyle w:val="ListParagraph"/>
        <w:numPr>
          <w:ilvl w:val="0"/>
          <w:numId w:val="2"/>
        </w:numPr>
        <w:spacing w:after="40" w:before="40"/>
      </w:pPr>
      <w:r>
        <w:rPr>
          <w:rFonts w:ascii="Arial" w:cs="Arial" w:eastAsia="Arial" w:hAnsi="Arial"/>
          <w:color w:val="404040"/>
          <w:sz w:val="22"/>
          <w:szCs w:val="22"/>
        </w:rPr>
        <w:t xml:space="preserve">EC2 instance profile granted PowerUserAccess — a compromised application server has unrestricted access to all account resources. Immediate least-privilege remediation required before next cutover. (SEC-01)</w:t>
      </w:r>
    </w:p>
    <w:p>
      <w:pPr>
        <w:pStyle w:val="ListParagraph"/>
        <w:numPr>
          <w:ilvl w:val="0"/>
          <w:numId w:val="2"/>
        </w:numPr>
        <w:spacing w:after="40" w:before="40"/>
      </w:pPr>
      <w:r>
        <w:rPr>
          <w:rFonts w:ascii="Arial" w:cs="Arial" w:eastAsia="Arial" w:hAnsi="Arial"/>
          <w:color w:val="404040"/>
          <w:sz w:val="22"/>
          <w:szCs w:val="22"/>
        </w:rPr>
        <w:t xml:space="preserve">RDS storage not encrypted — PMI's ISO 27001 certification and GDPR obligations require encryption at rest for all production data stores containing personal or proprietary data. (SEC-02)</w:t>
      </w:r>
    </w:p>
    <w:p>
      <w:pPr>
        <w:pStyle w:val="ListParagraph"/>
        <w:numPr>
          <w:ilvl w:val="0"/>
          <w:numId w:val="2"/>
        </w:numPr>
        <w:spacing w:after="40" w:before="40"/>
      </w:pPr>
      <w:r>
        <w:rPr>
          <w:rFonts w:ascii="Arial" w:cs="Arial" w:eastAsia="Arial" w:hAnsi="Arial"/>
          <w:color w:val="404040"/>
          <w:sz w:val="22"/>
          <w:szCs w:val="22"/>
        </w:rPr>
        <w:t xml:space="preserve">No AWS WAF on the internet-facing ALB — ARAS web interface exposed to OWASP Top 10 attacks without any layer-7 filtering. (SEC-04)</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Estimated Cost Optimisation Opportunity</w:t>
      </w:r>
    </w:p>
    <w:p>
      <w:pPr>
        <w:spacing w:after="60" w:before="60"/>
        <w:jc w:val="both"/>
      </w:pPr>
      <w:r>
        <w:rPr>
          <w:rFonts w:ascii="Arial" w:cs="Arial" w:eastAsia="Arial" w:hAnsi="Arial"/>
          <w:color w:val="404040"/>
          <w:sz w:val="22"/>
          <w:szCs w:val="22"/>
        </w:rPr>
        <w:t xml:space="preserve">The review identified approximately $2,100/month ($25,200/year) in addressable cost savings through rightsizing, Reserved Instance purchasing, S3 lifecycle policies, and VPC endpoint optimisation — achievable without any reduction in availability or performance.</w:t>
      </w:r>
    </w:p>
    <w:p>
      <w:pPr>
        <w:spacing w:after="80" w:before="80"/>
      </w:pPr>
      <w:r>
        <w:t xml:space="preserve"/>
      </w:r>
    </w:p>
    <w:p>
      <w:r>
        <w:br w:type="page"/>
      </w:r>
    </w:p>
    <w:p>
      <w:pPr>
        <w:pStyle w:val="Heading1"/>
        <w:pBdr>
          <w:bottom w:val="single" w:color="1A4D7C" w:sz="8" w:space="4"/>
        </w:pBdr>
        <w:spacing w:after="120" w:before="360"/>
      </w:pPr>
      <w:r>
        <w:rPr>
          <w:rFonts w:ascii="Arial" w:cs="Arial" w:eastAsia="Arial" w:hAnsi="Arial"/>
          <w:b/>
          <w:bCs/>
          <w:color w:val="1A4D7C"/>
          <w:sz w:val="32"/>
          <w:szCs w:val="32"/>
        </w:rPr>
        <w:t xml:space="preserve">Security Pillar — Detailed Findings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1A4D7C" w:val="clear"/>
            <w:tcMar>
              <w:top w:type="dxa" w:w="100"/>
              <w:left w:type="dxa" w:w="160"/>
              <w:bottom w:type="dxa" w:w="100"/>
              <w:right w:type="dxa" w:w="160"/>
            </w:tcMar>
          </w:tcPr>
          <w:p>
            <w:r>
              <w:rPr>
                <w:rFonts w:ascii="Arial" w:cs="Arial" w:eastAsia="Arial" w:hAnsi="Arial"/>
                <w:b/>
                <w:bCs/>
                <w:color w:val="FFFFFF"/>
                <w:sz w:val="24"/>
                <w:szCs w:val="24"/>
              </w:rPr>
              <w:t xml:space="preserve">SEC-01  —  IAM Over-Privileged Application Role</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Security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CE8E8" w:val="clear"/>
            <w:tcMar>
              <w:top w:type="dxa" w:w="80"/>
              <w:left w:type="dxa" w:w="120"/>
              <w:bottom w:type="dxa" w:w="80"/>
              <w:right w:type="dxa" w:w="120"/>
            </w:tcMar>
          </w:tcPr>
          <w:p>
            <w:r>
              <w:rPr>
                <w:rFonts w:ascii="Arial" w:cs="Arial" w:eastAsia="Arial" w:hAnsi="Arial"/>
                <w:b/>
                <w:bCs/>
                <w:color w:val="7B2020"/>
                <w:sz w:val="20"/>
                <w:szCs w:val="20"/>
              </w:rPr>
              <w:t xml:space="preserve">HIGH</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SEC 3 — Permissions Management: Grant least privilege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ARAS Innovator application-tier EC2 instances operate under an instance profile with the AWS-managed PowerUserAccess policy attached. This policy grants full access to all AWS services except IAM and AWS Organisations management functions.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PowerUserAccess was attached during the initial environment setup phase for convenience and was not replaced with a scoped policy before the environment went into production. The Terraform module used for EC2 provisioning did not enforce a least-privilege IAM policy pattern.</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A compromised application server has unrestricted access to create, modify, or delete any AWS resource in the account — including S3 data, RDS databases, EC2 instances, and Lambda functions. Lateral movement from a single exploited instance would have account-wide blast radius.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Replace PowerUserAccess with a custom IAM policy granting only the permissions the ARAS application has been observed using: s3:GetObject and s3:PutObject on the PLM document vault ARN, rds-db:connect on the ARAS RDS instance, ssm:GetParameter on the /aras/* parameter path, and logs:CreateLogGroup / PutLogEvents for CloudWatch.</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Run IAM Access Analyser with CloudTrail-based policy generation over a 30-day observation window. Review generated policy with ARAS application team. Test in staging for 1 week. Deploy to production via Terraform. Validate with ARAS smoke tests.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Medium (3–5 days)  |  Saving: N/A — risk reduction</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1A4D7C" w:val="clear"/>
            <w:tcMar>
              <w:top w:type="dxa" w:w="100"/>
              <w:left w:type="dxa" w:w="160"/>
              <w:bottom w:type="dxa" w:w="100"/>
              <w:right w:type="dxa" w:w="160"/>
            </w:tcMar>
          </w:tcPr>
          <w:p>
            <w:r>
              <w:rPr>
                <w:rFonts w:ascii="Arial" w:cs="Arial" w:eastAsia="Arial" w:hAnsi="Arial"/>
                <w:b/>
                <w:bCs/>
                <w:color w:val="FFFFFF"/>
                <w:sz w:val="24"/>
                <w:szCs w:val="24"/>
              </w:rPr>
              <w:t xml:space="preserve">SEC-02  —  RDS SQL Server Storage Not Encrypted</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Security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CE8E8" w:val="clear"/>
            <w:tcMar>
              <w:top w:type="dxa" w:w="80"/>
              <w:left w:type="dxa" w:w="120"/>
              <w:bottom w:type="dxa" w:w="80"/>
              <w:right w:type="dxa" w:w="120"/>
            </w:tcMar>
          </w:tcPr>
          <w:p>
            <w:r>
              <w:rPr>
                <w:rFonts w:ascii="Arial" w:cs="Arial" w:eastAsia="Arial" w:hAnsi="Arial"/>
                <w:b/>
                <w:bCs/>
                <w:color w:val="7B2020"/>
                <w:sz w:val="20"/>
                <w:szCs w:val="20"/>
              </w:rPr>
              <w:t xml:space="preserve">HIGH</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SEC 8 — Protecting Data at Rest: Encrypt all data stores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RDS SQL Server r5.2xlarge instance hosting the ARAS PLM database (~2 TB) was deployed without storage encryption. The database contains PMI product formulation data, regulatory submission records, and personnel-linked project data.</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Terraform resource block for the RDS instance omitted the storage_encrypted = true and kms_key_id parameters. RDS encryption cannot be enabled on a running instance — it must be configured at creation time. This gap was not caught during Terraform code review before initial deployment.</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All PLM data stored in plaintext on underlying EBS volumes. This is a compliance violation under PMI's ISO 27001 certification scope, constitutes a potential GDPR breach for any EU personal data in the PLM system, and would be reported as a critical finding in any external audit.</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Create a manual snapshot of the existing RDS instance. Copy the snapshot with encryption enabled (KMS CMK: aws/rds or a dedicated CMK). Restore the encrypted snapshot as a new RDS instance with the same parameter group and security group configuration. Update the ARAS application connection string. Execute cutover during a planned maintenance window. Decommission the original unencrypted instance after 48-hour validation period.</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Schedule a 4-hour maintenance window. Pre-validate that the restored encrypted instance passes ARAS application connectivity tests in staging. Update Terraform IaC to include storage_encrypted = true in the RDS module to prevent recurrence. Total elapsed time: 2–3 weeks (including scheduling and staging validation).</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Medium (2–3 weeks elapsed)  |  Saving: N/A — compliance obligation</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1A4D7C" w:val="clear"/>
            <w:tcMar>
              <w:top w:type="dxa" w:w="100"/>
              <w:left w:type="dxa" w:w="160"/>
              <w:bottom w:type="dxa" w:w="100"/>
              <w:right w:type="dxa" w:w="160"/>
            </w:tcMar>
          </w:tcPr>
          <w:p>
            <w:r>
              <w:rPr>
                <w:rFonts w:ascii="Arial" w:cs="Arial" w:eastAsia="Arial" w:hAnsi="Arial"/>
                <w:b/>
                <w:bCs/>
                <w:color w:val="FFFFFF"/>
                <w:sz w:val="24"/>
                <w:szCs w:val="24"/>
              </w:rPr>
              <w:t xml:space="preserve">SEC-03  —  S3 Document Vault — Bucket Policy Gap</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Security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CE8E8" w:val="clear"/>
            <w:tcMar>
              <w:top w:type="dxa" w:w="80"/>
              <w:left w:type="dxa" w:w="120"/>
              <w:bottom w:type="dxa" w:w="80"/>
              <w:right w:type="dxa" w:w="120"/>
            </w:tcMar>
          </w:tcPr>
          <w:p>
            <w:r>
              <w:rPr>
                <w:rFonts w:ascii="Arial" w:cs="Arial" w:eastAsia="Arial" w:hAnsi="Arial"/>
                <w:b/>
                <w:bCs/>
                <w:color w:val="7B2020"/>
                <w:sz w:val="20"/>
                <w:szCs w:val="20"/>
              </w:rPr>
              <w:t xml:space="preserve">HIGH</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SEC 8 — Protecting Data at Rest: Control access to data</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PLM document vault S3 bucket stores ~5.2 TB of PLM attachments including proprietary CAD design files, product specification documents, and regulatory submission packages. Block Public Access is correctly enabled, but no explicit bucket policy restricts access to authorised principals only.</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Access control relies on the absence of a permissive policy rather than an explicit allow-only policy. Any IAM principal in the AWS account with default permissions can access bucket objects. S3 Access Analyser was not enabled to detect this gap during normal operations.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Any account-level IAM role or user with S3 read permissions — including any future role created for other purposes — can access sensitive PLM documents without any explicit authorisation. The principle of least privilege is not enforced at the bucket boundary.</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Implement an explicit bucket policy with a default deny and explicit allow only for the ARAS application role ARN (GetObject, PutObject, DeleteObject on the documents/ prefix) and a backup service role (GetObject only). Enable S3 Access Analyser on the account. Enable S3 server access logging to a separate centralised logging bucket.</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Write and test bucket policy in staging environment. Validate that ARAS application document upload and retrieval functions correctly under the new policy. Apply to production. Enable Access Analyser and configure alert for any public access findings.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Low (1–2 days)  |  Saving: N/A — risk reduction</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1A4D7C" w:val="clear"/>
            <w:tcMar>
              <w:top w:type="dxa" w:w="100"/>
              <w:left w:type="dxa" w:w="160"/>
              <w:bottom w:type="dxa" w:w="100"/>
              <w:right w:type="dxa" w:w="160"/>
            </w:tcMar>
          </w:tcPr>
          <w:p>
            <w:r>
              <w:rPr>
                <w:rFonts w:ascii="Arial" w:cs="Arial" w:eastAsia="Arial" w:hAnsi="Arial"/>
                <w:b/>
                <w:bCs/>
                <w:color w:val="FFFFFF"/>
                <w:sz w:val="24"/>
                <w:szCs w:val="24"/>
              </w:rPr>
              <w:t xml:space="preserve">SEC-04  —  No AWS WAF on Internet-Facing ALB</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Security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CE8E8" w:val="clear"/>
            <w:tcMar>
              <w:top w:type="dxa" w:w="80"/>
              <w:left w:type="dxa" w:w="120"/>
              <w:bottom w:type="dxa" w:w="80"/>
              <w:right w:type="dxa" w:w="120"/>
            </w:tcMar>
          </w:tcPr>
          <w:p>
            <w:r>
              <w:rPr>
                <w:rFonts w:ascii="Arial" w:cs="Arial" w:eastAsia="Arial" w:hAnsi="Arial"/>
                <w:b/>
                <w:bCs/>
                <w:color w:val="7B2020"/>
                <w:sz w:val="20"/>
                <w:szCs w:val="20"/>
              </w:rPr>
              <w:t xml:space="preserve">HIGH</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SEC 6 — Network Protection: Implement inspection and protection</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internet-facing Application Load Balancer serving the ARAS web interface has no AWS WAF Web ACL associated. The ARAS Innovator application exposes a web UI (IIS/ASP.NET) and a REST API on port 443, receiving requests directly from PMI corporate network and ARAS partner users.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WAF was not included in the initial architecture design. The decision to add WAF was deferred to a 'hardening sprint' that was not yet scheduled at the time of review.</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ARAS application — like all web applications — is susceptible to SQL injection, cross-site scripting, and other OWASP Top 10 attacks. Given the sensitive PLM data accessible through the application, successful exploitation could result in data exfiltration or application compromise.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Create an AWS WAF Web ACL with the following managed rule groups: AWSManagedRulesCommonRuleSet (core OWASP rules), AWSManagedRulesSQLiRuleSet (SQL injection), AWSManagedRulesWindowsRuleSet (IIS/Windows-specific exploits), AWSManagedRulesKnownBadInputsRuleSet. Deploy all rules in COUNT mode for a 2-week baselining period, reviewing WAF logs to identify false positives before switching to BLOCK mode.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Associate WAF Web ACL with the ALB via Terraform. Configure WAF logging to S3 (centralised security log bucket). Review COUNT mode logs with ARAS application team to identify any legitimate traffic that matches rules. Switch to BLOCK mode rule by rule. Set CloudWatch alarm on WAF BlockedRequests &gt; 100/5min.</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Low (1–2 days)  |  Saving: N/A — risk reduction</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1A4D7C" w:val="clear"/>
            <w:tcMar>
              <w:top w:type="dxa" w:w="100"/>
              <w:left w:type="dxa" w:w="160"/>
              <w:bottom w:type="dxa" w:w="100"/>
              <w:right w:type="dxa" w:w="160"/>
            </w:tcMar>
          </w:tcPr>
          <w:p>
            <w:r>
              <w:rPr>
                <w:rFonts w:ascii="Arial" w:cs="Arial" w:eastAsia="Arial" w:hAnsi="Arial"/>
                <w:b/>
                <w:bCs/>
                <w:color w:val="FFFFFF"/>
                <w:sz w:val="24"/>
                <w:szCs w:val="24"/>
              </w:rPr>
              <w:t xml:space="preserve">SEC-05  —  EC2 Instances Not Enrolled in SSM Patch Manager</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Security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b/>
                <w:bCs/>
                <w:color w:val="7B5800"/>
                <w:sz w:val="20"/>
                <w:szCs w:val="20"/>
              </w:rPr>
              <w:t xml:space="preserve">MEDIUM</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SEC 7 — Infrastructure Protection: Patch OS and applications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four EC2 instances (2× web tier, 2× app tier) running Windows Server 2019 are not enrolled in AWS Systems Manager Patch Manager. OS patching is performed manually by the cloud engineering team on an ad hoc basis.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SSM Patch Manager was not part of the initial deployment design. Manual patching was accepted as a temporary measure during the migration phase but was not replaced with an automated process post-go-live.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Inconsistent patch levels across instances. Without automated patching, critical Windows OS security patches may be delayed weeks beyond their release, expanding the window of vulnerability exposure.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Enroll all EC2 instances in SSM Patch Manager. Create a patch baseline for Windows Server with CriticalUpdates and SecurityUpdates classification, auto-approval after 7-day testing delay. Create a maintenance window scheduled for Sunday 01:00–03:00 GMT. Associate the patch baseline with instances via SSM State Manager.</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Create SSM IAM role for EC2 instances (AmazonSSMManagedInstanceCore policy). Apply via Terraform. Create patch baseline, maintenance window, and association via Terraform SSM resources. Validate first automated patch cycle in staging.</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Medium (3–5 days)  |  Saving: N/A — risk reduction</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1A4D7C" w:val="clear"/>
            <w:tcMar>
              <w:top w:type="dxa" w:w="100"/>
              <w:left w:type="dxa" w:w="160"/>
              <w:bottom w:type="dxa" w:w="100"/>
              <w:right w:type="dxa" w:w="160"/>
            </w:tcMar>
          </w:tcPr>
          <w:p>
            <w:r>
              <w:rPr>
                <w:rFonts w:ascii="Arial" w:cs="Arial" w:eastAsia="Arial" w:hAnsi="Arial"/>
                <w:b/>
                <w:bCs/>
                <w:color w:val="FFFFFF"/>
                <w:sz w:val="24"/>
                <w:szCs w:val="24"/>
              </w:rPr>
              <w:t xml:space="preserve">SEC-06  —  CloudTrail Not Forwarded to SIEM</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Security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b/>
                <w:bCs/>
                <w:color w:val="7B5800"/>
                <w:sz w:val="20"/>
                <w:szCs w:val="20"/>
              </w:rPr>
              <w:t xml:space="preserve">MEDIUM</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SEC 4 — Detection: Configure service and application logging</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AWS CloudTrail is correctly enabled across the account, logging all API activity to an S3 bucket. However, CloudTrail logs are not forwarded to PMI's centralised SIEM (Splunk), meaning security events in the PLM AWS account are not correlated with the broader PMI security monitoring environment.</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CloudTrail-to-SIEM integration requires a Splunk AWS Add-on configuration and network connectivity from the Splunk indexer to the CloudTrail S3 bucket via VPC Endpoint or internet. This cross-team integration had not been completed at the time of review.</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AWS account security events are siloed. A credential compromise, privilege escalation, or data exfiltration event in the PLM account would not trigger PMI's centralised security alerting. Investigation following a security incident would require manual log extraction from S3.</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Configure CloudTrail to publish events to a CloudWatch Logs group. Set up a subscription filter to forward high-severity events to a Kinesis Firehose delivery stream targeting the Splunk HTTP Event Collector (HEC) endpoint. Alternatively, configure the Splunk AWS Add-on to pull from the CloudTrail S3 bucket via SQS notification.</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Coordinate with PMI SOC team to obtain Splunk HEC endpoint and token. Configure EventBridge rule for high-severity Config changes to also trigger a Lambda that formats and sends to Splunk. Estimated coordination effort is the long pole — 3–4 weeks elapsed including PMI IT change management.</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High (3–4 weeks elapsed due to PMI IT coordination)  |  Saving: N/A — risk reduction</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1A4D7C" w:val="clear"/>
            <w:tcMar>
              <w:top w:type="dxa" w:w="100"/>
              <w:left w:type="dxa" w:w="160"/>
              <w:bottom w:type="dxa" w:w="100"/>
              <w:right w:type="dxa" w:w="160"/>
            </w:tcMar>
          </w:tcPr>
          <w:p>
            <w:r>
              <w:rPr>
                <w:rFonts w:ascii="Arial" w:cs="Arial" w:eastAsia="Arial" w:hAnsi="Arial"/>
                <w:b/>
                <w:bCs/>
                <w:color w:val="FFFFFF"/>
                <w:sz w:val="24"/>
                <w:szCs w:val="24"/>
              </w:rPr>
              <w:t xml:space="preserve">SEC-07  —  No Cloud Incident Response Runbook</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Security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b/>
                <w:bCs/>
                <w:color w:val="7B5800"/>
                <w:sz w:val="20"/>
                <w:szCs w:val="20"/>
              </w:rPr>
              <w:t xml:space="preserve">MEDIUM</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SEC 10 — Incident Response: Prepare for and investigate security events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There is no documented incident response runbook specific to the PLM AWS environment. In the event of a security incident (account compromise, data exfiltration, ransomware), the response team would have no predefined steps, escalation paths, or contact list for AWS-specific actions.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IR runbook development was not included in the project scope. The IBM delivery team assumed PMI had existing IR procedures, but PMI's existing runbooks cover on-premise incidents and do not address AWS-specific response actions (isolating EC2 instances, revoking IAM credentials, enabling S3 legal hold).</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Delayed and inconsistent incident response increases the blast radius of any security event. First-responders may take destructive actions (terminating instances before memory capture, deleting logs) that destroy forensic evidence.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Develop a cloud-specific IR runbook covering: (1) Initial containment — isolating compromised EC2 instances using security group quarantine, (2) Credential revocation — revoking IAM access keys and rotating affected roles, (3) Evidence preservation — creating EC2 AMI snapshot, enabling S3 legal hold, preserving CloudTrail logs, (4) Escalation contacts — AWS Support, PMI CISO, IBM delivery lead, (5) Communication templates for internal and regulatory notification.</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Schedule IR runbook workshop with PMI IT Security and IBM delivery team (half-day). Draft runbook collaboratively. Store in PMI's document management system. Conduct tabletop exercise (2-hour session) with key stakeholders to validate the runbook before next module cutover.</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Medium (2–3 weeks including scheduling and tabletop exercise)  |  Saving: N/A — risk reduction</w:t>
            </w:r>
          </w:p>
        </w:tc>
      </w:tr>
    </w:tbl>
    <w:p>
      <w:pPr>
        <w:spacing w:after="100" w:before="100"/>
      </w:pPr>
      <w:r>
        <w:t xml:space="preserve"/>
      </w:r>
    </w:p>
    <w:p>
      <w:r>
        <w:br w:type="page"/>
      </w:r>
    </w:p>
    <w:p>
      <w:pPr>
        <w:pStyle w:val="Heading1"/>
        <w:pBdr>
          <w:bottom w:val="single" w:color="1A5C2E" w:sz="8" w:space="4"/>
        </w:pBdr>
        <w:spacing w:after="120" w:before="360"/>
      </w:pPr>
      <w:r>
        <w:rPr>
          <w:rFonts w:ascii="Arial" w:cs="Arial" w:eastAsia="Arial" w:hAnsi="Arial"/>
          <w:b/>
          <w:bCs/>
          <w:color w:val="1A5C2E"/>
          <w:sz w:val="32"/>
          <w:szCs w:val="32"/>
        </w:rPr>
        <w:t xml:space="preserve">Reliability Pillar — Detailed Findings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1A5C2E" w:val="clear"/>
            <w:tcMar>
              <w:top w:type="dxa" w:w="100"/>
              <w:left w:type="dxa" w:w="160"/>
              <w:bottom w:type="dxa" w:w="100"/>
              <w:right w:type="dxa" w:w="160"/>
            </w:tcMar>
          </w:tcPr>
          <w:p>
            <w:r>
              <w:rPr>
                <w:rFonts w:ascii="Arial" w:cs="Arial" w:eastAsia="Arial" w:hAnsi="Arial"/>
                <w:b/>
                <w:bCs/>
                <w:color w:val="FFFFFF"/>
                <w:sz w:val="24"/>
                <w:szCs w:val="24"/>
              </w:rPr>
              <w:t xml:space="preserve">REL-01  —  RDS SQL Server Deployed in Single-AZ</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Reliability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CE8E8" w:val="clear"/>
            <w:tcMar>
              <w:top w:type="dxa" w:w="80"/>
              <w:left w:type="dxa" w:w="120"/>
              <w:bottom w:type="dxa" w:w="80"/>
              <w:right w:type="dxa" w:w="120"/>
            </w:tcMar>
          </w:tcPr>
          <w:p>
            <w:r>
              <w:rPr>
                <w:rFonts w:ascii="Arial" w:cs="Arial" w:eastAsia="Arial" w:hAnsi="Arial"/>
                <w:b/>
                <w:bCs/>
                <w:color w:val="7B2020"/>
                <w:sz w:val="20"/>
                <w:szCs w:val="20"/>
              </w:rPr>
              <w:t xml:space="preserve">HIGH</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REL 9 — Back Up Data: Protect against failure — use multiple AZs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RDS SQL Server r5.2xlarge instance hosting the ARAS PLM database is deployed in a single Availability Zone (eu-west-1a). The PLM system supports 500 concurrent users across PMI's global R&amp;D, regulatory, and manufacturing operations across all time zones.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Multi-AZ was deferred from the initial deployment due to cost concerns. At SQL Server Enterprise licence pricing, the standby replica licence cost was cited as a blocker — however, this is a misconception: Multi-AZ RDS does not incur an additional SQL Server licence cost as the standby is not addressable as a read replica.</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An AZ failure or hardware fault in eu-west-1a causes complete PLM application outage. Single-AZ RDS typical unplanned failover or recovery time: 15–40 minutes. During this period, no user can access the PLM system, no PLM data can be written, and any in-flight transactions are lost. Given 24-hour global operations, this outage affects users in all regions.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Enable Multi-AZ on the existing RDS instance via a modify_db_instance API call or Terraform update (multi_az = true). RDS will create a synchronous standby replica in eu-west-1b. Automatic failover to the standby occurs within 60–120 seconds in the event of primary failure. Test failover by initiating a manual reboot with failover before the next production module cutover.</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Apply the Terraform change to set multi_az = true on the RDS instance. This triggers a brief I/O suspension on Single-AZ instances (~2 minutes) during standby sync initiation — schedule during low-usage period. Run ARAS application smoke tests post-change. Conduct a planned failover test (modify_db_instance with ForceFailover=true) during a scheduled maintenance window to validate application recovery behaviour.</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Low (1 day)  |  Saving: ~$930/month additional (justified against REL-01 risk)</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1A5C2E" w:val="clear"/>
            <w:tcMar>
              <w:top w:type="dxa" w:w="100"/>
              <w:left w:type="dxa" w:w="160"/>
              <w:bottom w:type="dxa" w:w="100"/>
              <w:right w:type="dxa" w:w="160"/>
            </w:tcMar>
          </w:tcPr>
          <w:p>
            <w:r>
              <w:rPr>
                <w:rFonts w:ascii="Arial" w:cs="Arial" w:eastAsia="Arial" w:hAnsi="Arial"/>
                <w:b/>
                <w:bCs/>
                <w:color w:val="FFFFFF"/>
                <w:sz w:val="24"/>
                <w:szCs w:val="24"/>
              </w:rPr>
              <w:t xml:space="preserve">REL-02  —  No Defined RTO/RPO for PLM Application</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Reliability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CE8E8" w:val="clear"/>
            <w:tcMar>
              <w:top w:type="dxa" w:w="80"/>
              <w:left w:type="dxa" w:w="120"/>
              <w:bottom w:type="dxa" w:w="80"/>
              <w:right w:type="dxa" w:w="120"/>
            </w:tcMar>
          </w:tcPr>
          <w:p>
            <w:r>
              <w:rPr>
                <w:rFonts w:ascii="Arial" w:cs="Arial" w:eastAsia="Arial" w:hAnsi="Arial"/>
                <w:b/>
                <w:bCs/>
                <w:color w:val="7B2020"/>
                <w:sz w:val="20"/>
                <w:szCs w:val="20"/>
              </w:rPr>
              <w:t xml:space="preserve">HIGH</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REL 2 — Recovery Objectives: Define recovery time and recovery point objectives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PLM application has no formally documented Recovery Time Objective (RTO) or Recovery Point Objective (RPO). Backup retention is configured (7 days) and automated backups are enabled, but the backup strategy has not been validated against business continuity requirements.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RTO/RPO definition was not included in the project scope. The migration project focused on cutover execution and did not include a Business Impact Analysis or formal SLA definition exercise.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Without defined RTO/RPO, it is impossible to confirm whether the current architecture meets business requirements. The current Single-AZ RDS configuration (REL-01) would yield an RTO of 15–40 minutes — which may exceed acceptable downtime for a system supporting regulatory submission workflows with regulatory authority deadlines.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Conduct a Business Impact Analysis workshop with PMI stakeholders (R&amp;D lead, IT manager, regulatory affairs lead) to define: application availability SLA (recommended: 99.9% during business hours), RTO (recommended target: ≤ 2 hours), RPO (recommended target: ≤ 1 hour). Document SLAs in a Service Level Agreement and map each SLA to specific AWS configuration requirements.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Schedule BIA workshop (3 hours). Draft SLA document based on outputs. Map SLA requirements to AWS architecture controls: RTO ≤ 2 hours → Multi-AZ RDS (REL-01). RPO ≤ 1 hour → RDS automated backups with 5-minute transaction log backup interval (SQL Server default). Validate with a quarterly DR drill: restore from backup to a test instance and measure time to application readiness.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Medium (2–3 weeks including stakeholder scheduling)  |  Saving: N/A</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1A5C2E" w:val="clear"/>
            <w:tcMar>
              <w:top w:type="dxa" w:w="100"/>
              <w:left w:type="dxa" w:w="160"/>
              <w:bottom w:type="dxa" w:w="100"/>
              <w:right w:type="dxa" w:w="160"/>
            </w:tcMar>
          </w:tcPr>
          <w:p>
            <w:r>
              <w:rPr>
                <w:rFonts w:ascii="Arial" w:cs="Arial" w:eastAsia="Arial" w:hAnsi="Arial"/>
                <w:b/>
                <w:bCs/>
                <w:color w:val="FFFFFF"/>
                <w:sz w:val="24"/>
                <w:szCs w:val="24"/>
              </w:rPr>
              <w:t xml:space="preserve">REL-03  —  ASG Health Check Using EC2 Status Only</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Reliability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b/>
                <w:bCs/>
                <w:color w:val="7B5800"/>
                <w:sz w:val="20"/>
                <w:szCs w:val="20"/>
              </w:rPr>
              <w:t xml:space="preserve">MEDIUM</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REL 7 — Design Interactions: Use load balancing and health checks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Both the web-tier and app-tier Auto Scaling Groups are configured with HealthCheckType = EC2. This means the ASG only replaces instances that fail EC2 status checks (hardware failure, OS crash). Instances with running OS but failed application processes continue to receive traffic.</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default ASG health check type is EC2, and this was not overridden in the Terraform module. The issue was discovered during load testing when a hung ARAS application process on one app-tier instance caused intermittent errors without triggering an ASG replacement.</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Degraded instances (OS healthy, application layer failed) remain in service indefinitely, serving error responses to users. Load is not redirected away from the failed instance until a human intervenes. Observed during load testing: 1 of 2 app-tier instances had a failed ARAS service process, resulting in ~50% of requests failing for 35 minutes before manual intervention.</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Change HealthCheckType to ELB on both ASGs. Configure the ALB target group health check to probe the ARAS application health endpoint (GET /aras/health → HTTP 200) with HealthyThresholdCount=2, UnhealthyThresholdCount=2, Interval=30 seconds, Timeout=10 seconds. The ASG will replace instances that fail two consecutive ALB health checks.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Update Terraform ASG resource: health_check_type = 'ELB', health_check_grace_period = 300 (allow 5 minutes for ARAS application startup before health checks begin). Validate that the /aras/health endpoint returns 200 only when ARAS services are fully initialised. Test by stopping ARAS services on one instance and confirming ASG terminates and replaces it.</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Low (1–2 days)  |  Saving: N/A</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1A5C2E" w:val="clear"/>
            <w:tcMar>
              <w:top w:type="dxa" w:w="100"/>
              <w:left w:type="dxa" w:w="160"/>
              <w:bottom w:type="dxa" w:w="100"/>
              <w:right w:type="dxa" w:w="160"/>
            </w:tcMar>
          </w:tcPr>
          <w:p>
            <w:r>
              <w:rPr>
                <w:rFonts w:ascii="Arial" w:cs="Arial" w:eastAsia="Arial" w:hAnsi="Arial"/>
                <w:b/>
                <w:bCs/>
                <w:color w:val="FFFFFF"/>
                <w:sz w:val="24"/>
                <w:szCs w:val="24"/>
              </w:rPr>
              <w:t xml:space="preserve">REL-04  —  No Database Connection Pooling</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Reliability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b/>
                <w:bCs/>
                <w:color w:val="7B5800"/>
                <w:sz w:val="20"/>
                <w:szCs w:val="20"/>
              </w:rPr>
              <w:t xml:space="preserve">MEDIUM</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REL 6 — Limit Dependencies: Use connection pooling to manage database connections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ARAS Innovator application servers connect directly to the RDS SQL Server endpoint using JDBC connections managed by the ARAS application pool. Under peak load (batch PLM exports, end-of-quarter regulatory submissions with high concurrent user activity), the number of open database connections exceeds SQL Server max_connections.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Connection pooling via RDS Proxy was not included in the initial architecture design. The ARAS application's internal connection pool was assumed sufficient. The issue was surfaced during UAT when 150 concurrent users triggered connection exhaustion.</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Application errors during peak usage. Observed during UAT: 150 concurrent users caused SQL Server connection limit to be reached, resulting in HTTP 500 errors for approximately 12% of requests. The impact would be worse in production with up to 500 concurrent users.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Deploy Amazon RDS Proxy between the ARAS application tier and RDS SQL Server. RDS Proxy pools and multiplexes database connections, reducing the connection count presented to SQL Server by up to 87%. Configure: max_connection_percent = 80, connection_borrow_timeout = 120 seconds, idle_client_timeout = 1800 seconds. Update the ARAS application database endpoint to use the RDS Proxy endpoint.</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Provision RDS Proxy via Terraform in the app-tier private subnet. Create the required IAM role and Secrets Manager secret for RDS Proxy authentication. Update ARAS application server database connection string to the Proxy endpoint. Test under load in staging to validate connection multiplexing behaviour before production rollout.</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Medium (3–5 days)  |  Saving: N/A</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1A5C2E" w:val="clear"/>
            <w:tcMar>
              <w:top w:type="dxa" w:w="100"/>
              <w:left w:type="dxa" w:w="160"/>
              <w:bottom w:type="dxa" w:w="100"/>
              <w:right w:type="dxa" w:w="160"/>
            </w:tcMar>
          </w:tcPr>
          <w:p>
            <w:r>
              <w:rPr>
                <w:rFonts w:ascii="Arial" w:cs="Arial" w:eastAsia="Arial" w:hAnsi="Arial"/>
                <w:b/>
                <w:bCs/>
                <w:color w:val="FFFFFF"/>
                <w:sz w:val="24"/>
                <w:szCs w:val="24"/>
              </w:rPr>
              <w:t xml:space="preserve">REL-05  —  Lambda Integration Functions — No Dead Letter Queue</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Reliability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b/>
                <w:bCs/>
                <w:color w:val="7B5800"/>
                <w:sz w:val="20"/>
                <w:szCs w:val="20"/>
              </w:rPr>
              <w:t xml:space="preserve">MEDIUM</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REL 7 — Design Interactions: Handle transient failures gracefully</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API Gateway and Lambda functions forming the ARAS-to-SAP integration layer have no dead letter queue (DLQ) configured. Lambda asynchronous invocations that fail (due to SAP unavailability, network timeout, or Lambda errors) are retried twice by default and then silently discarded.</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DLQ configuration was not included in the Lambda Terraform module. The silent failure mode was not discovered until UAT, when data inconsistencies between ARAS and SAP were traced back to lost Lambda invocations during a SAP maintenance window.</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Silent data loss for PLM-to-SAP synchronisation events. Material master updates, BOM changes, and lifecycle state transitions initiated in ARAS are not propagated to SAP when the integration Lambda fails, causing data inconsistency between systems that is difficult to detect and remediate retroactively.</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Configure an SQS DLQ on all asynchronous Lambda functions in the integration layer. Set MaxReceiveCount=3 (3 retry attempts before DLQ). Add a CloudWatch alarm: DLQ ApproximateNumberOfMessagesVisible &gt; 0 → SNS alert to the integration team. Implement a reprocessing mechanism to replay DLQ messages after the underlying fault is resolved.</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Add dead_letter_config block to all integration Lambda Terraform resources pointing to a dedicated SQS DLQ. Create CloudWatch alarm and SNS subscription. Implement a simple reprocessing Lambda triggered manually (or on-demand via EventBridge) to drain the DLQ. Document the reprocessing runbook.</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Low (1–2 days)  |  Saving: N/A</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1A5C2E" w:val="clear"/>
            <w:tcMar>
              <w:top w:type="dxa" w:w="100"/>
              <w:left w:type="dxa" w:w="160"/>
              <w:bottom w:type="dxa" w:w="100"/>
              <w:right w:type="dxa" w:w="160"/>
            </w:tcMar>
          </w:tcPr>
          <w:p>
            <w:r>
              <w:rPr>
                <w:rFonts w:ascii="Arial" w:cs="Arial" w:eastAsia="Arial" w:hAnsi="Arial"/>
                <w:b/>
                <w:bCs/>
                <w:color w:val="FFFFFF"/>
                <w:sz w:val="24"/>
                <w:szCs w:val="24"/>
              </w:rPr>
              <w:t xml:space="preserve">REL-06  —  S3 Document Vault — No Versioning or Cross-Region Replication</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Reliability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b/>
                <w:bCs/>
                <w:color w:val="7B5800"/>
                <w:sz w:val="20"/>
                <w:szCs w:val="20"/>
              </w:rPr>
              <w:t xml:space="preserve">MEDIUM</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REL 9 — Back Up Data: Use durable storage and replication</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PLM document vault S3 bucket (5.2 TB of CAD files, specifications, and regulatory documents) has versioning disabled and no Cross-Region Replication (CRR) configured. The bucket exists only in eu-west-1.</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S3 versioning was not enabled during initial provisioning. CRR was discussed as a Phase 2 item but not yet implemented. The document vault is not covered by the RDS backup strategy — it requires its own protection mechanism.</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Accidental or malicious deletion or overwrite of PLM documents cannot be recovered without versioning. An S3 regional service disruption (historically rare but possible) would make documents inaccessible. Regulatory documents have long-term retention requirements that are not protected by the current configuration.</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Enable S3 versioning on the document vault bucket (no downtime, immediate effect). Configure S3 Cross-Region Replication to a bucket in eu-central-1 (Frankfurt) for DR. Configure S3 Object Lock (Compliance mode) on the regulatory documents prefix for immutable retention aligned to PMI document retention policy (7 years).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Enable versioning via Terraform (versioning { status = 'Enabled' }). Provision destination CRR bucket in eu-central-1 with versioning enabled. Configure CRR rule via aws_s3_bucket_replication_configuration. Note: CRR only replicates new objects — existing 5.2 TB must be synced using S3 Batch Replication as a one-time operation.</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Medium (3–5 days, plus 1–2 days for Batch Replication of existing objects)  |  Saving: ~$52/month for CRR storage in eu-central-1</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1A5C2E" w:val="clear"/>
            <w:tcMar>
              <w:top w:type="dxa" w:w="100"/>
              <w:left w:type="dxa" w:w="160"/>
              <w:bottom w:type="dxa" w:w="100"/>
              <w:right w:type="dxa" w:w="160"/>
            </w:tcMar>
          </w:tcPr>
          <w:p>
            <w:r>
              <w:rPr>
                <w:rFonts w:ascii="Arial" w:cs="Arial" w:eastAsia="Arial" w:hAnsi="Arial"/>
                <w:b/>
                <w:bCs/>
                <w:color w:val="FFFFFF"/>
                <w:sz w:val="24"/>
                <w:szCs w:val="24"/>
              </w:rPr>
              <w:t xml:space="preserve">REL-07  —  No Failure Injection Testing or Game Day</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Reliability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E8F5EC" w:val="clear"/>
            <w:tcMar>
              <w:top w:type="dxa" w:w="80"/>
              <w:left w:type="dxa" w:w="120"/>
              <w:bottom w:type="dxa" w:w="80"/>
              <w:right w:type="dxa" w:w="120"/>
            </w:tcMar>
          </w:tcPr>
          <w:p>
            <w:r>
              <w:rPr>
                <w:rFonts w:ascii="Arial" w:cs="Arial" w:eastAsia="Arial" w:hAnsi="Arial"/>
                <w:b/>
                <w:bCs/>
                <w:color w:val="1D5C2E"/>
                <w:sz w:val="20"/>
                <w:szCs w:val="20"/>
              </w:rPr>
              <w:t xml:space="preserve">LOW</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REL 11 — Test Reliability: Test workload failure scenarios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No chaos engineering or structured failure injection testing has been performed on the PLM system. The application's behaviour under failure conditions (AZ failure, RDS failover, EC2 instance loss, SAP unavailability) has only been observed during unplanned incidents.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Failure testing was not included in the project scope and is not a common practice in the PMI enterprise IT environment. The team is familiar with traditional load testing but not with failure injection methodologies.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Unknown failure modes remain undiscovered until they cause production incidents. The REL-03 finding (incorrect ASG health check type) and REL-05 (silent Lambda failures) were only discovered during UAT — similar issues may exist that have not yet been triggered.</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Conduct a structured Game Day exercise covering the top failure scenarios: (1) EC2 instance termination — verify ASG replaces and ALB routes around it, (2) RDS failover — verify application reconnects within acceptable time after Multi-AZ failover (REL-01), (3) SAP unavailability — verify Lambda DLQ captures events (REL-05), (4) AZ network partition simulation using AWS Fault Injection Simulator.</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Schedule a 4-hour Game Day after REL-01 through REL-05 remediations are complete. Use AWS Fault Injection Simulator (FIS) for structured failure injection. Define success criteria before each experiment. Document findings and any new issues discovered. Conduct annually or after major architecture changes.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Medium (planning 1 week, execution 4 hours)  |  Saving: N/A</w:t>
            </w:r>
          </w:p>
        </w:tc>
      </w:tr>
    </w:tbl>
    <w:p>
      <w:pPr>
        <w:spacing w:after="100" w:before="100"/>
      </w:pPr>
      <w:r>
        <w:t xml:space="preserve"/>
      </w:r>
    </w:p>
    <w:p>
      <w:r>
        <w:br w:type="page"/>
      </w:r>
    </w:p>
    <w:p>
      <w:pPr>
        <w:pStyle w:val="Heading1"/>
        <w:pBdr>
          <w:bottom w:val="single" w:color="4A2472" w:sz="8" w:space="4"/>
        </w:pBdr>
        <w:spacing w:after="120" w:before="360"/>
      </w:pPr>
      <w:r>
        <w:rPr>
          <w:rFonts w:ascii="Arial" w:cs="Arial" w:eastAsia="Arial" w:hAnsi="Arial"/>
          <w:b/>
          <w:bCs/>
          <w:color w:val="4A2472"/>
          <w:sz w:val="32"/>
          <w:szCs w:val="32"/>
        </w:rPr>
        <w:t xml:space="preserve">Performance Efficiency Pillar — Detailed Findings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4A2472" w:val="clear"/>
            <w:tcMar>
              <w:top w:type="dxa" w:w="100"/>
              <w:left w:type="dxa" w:w="160"/>
              <w:bottom w:type="dxa" w:w="100"/>
              <w:right w:type="dxa" w:w="160"/>
            </w:tcMar>
          </w:tcPr>
          <w:p>
            <w:r>
              <w:rPr>
                <w:rFonts w:ascii="Arial" w:cs="Arial" w:eastAsia="Arial" w:hAnsi="Arial"/>
                <w:b/>
                <w:bCs/>
                <w:color w:val="FFFFFF"/>
                <w:sz w:val="24"/>
                <w:szCs w:val="24"/>
              </w:rPr>
              <w:t xml:space="preserve">PERF-01  —  RDS Instance Over-Provisioned for Current Load</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Performance Efficiency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b/>
                <w:bCs/>
                <w:color w:val="7B5800"/>
                <w:sz w:val="20"/>
                <w:szCs w:val="20"/>
              </w:rPr>
              <w:t xml:space="preserve">MEDIUM</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PERF 7 — Right-Size Resources: Select resource types and sizes based on workload</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RDS SQL Server r5.2xlarge instance (8 vCPU, 64 GB RAM, 6,750 Mbps network) was selected based on the on-premise SQL Server hardware specification without post-migration rightsizing. CloudWatch metrics collected over 30 days show significant under-utilisation.</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Instance type selection was based on 'lift-and-shift' capacity equivalence rather than cloud-native rightsizing. No rightsizing review was scheduled post-migration.</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Paying for 8 vCPU and 64 GB RAM when the workload consistently utilises fewer than 2 vCPU and 22 GB RAM represents significant overspend. AWS Compute Optimizer rates the current instance as 'Over provisioned' with 85% confidence.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Right-size the RDS instance from r5.2xlarge to r5.xlarge (4 vCPU, 32 GB RAM). This provides a 2× headroom above observed peak utilisation (CPU p99 = 22%, Memory = 38%) while eliminating the excess capacity. Implement the change alongside REL-01 (Multi-AZ enablement) to minimise maintenance window count.</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Modify RDS instance type via the AWS console or Terraform during a scheduled maintenance window. RDS instance modification with ApplyImmediately=false applies at the next maintenance window (no immediate downtime). Run ARAS application performance tests post-change to validate no degradation. Monitor for 2 weeks.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Low (1–2 hours elapsed; scheduled at next maintenance window)  |  Saving: ~$780/month saving</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4A2472" w:val="clear"/>
            <w:tcMar>
              <w:top w:type="dxa" w:w="100"/>
              <w:left w:type="dxa" w:w="160"/>
              <w:bottom w:type="dxa" w:w="100"/>
              <w:right w:type="dxa" w:w="160"/>
            </w:tcMar>
          </w:tcPr>
          <w:p>
            <w:r>
              <w:rPr>
                <w:rFonts w:ascii="Arial" w:cs="Arial" w:eastAsia="Arial" w:hAnsi="Arial"/>
                <w:b/>
                <w:bCs/>
                <w:color w:val="FFFFFF"/>
                <w:sz w:val="24"/>
                <w:szCs w:val="24"/>
              </w:rPr>
              <w:t xml:space="preserve">PERF-02  —  No Caching Layer — All Requests Hit RDS</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Performance Efficiency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CE8E8" w:val="clear"/>
            <w:tcMar>
              <w:top w:type="dxa" w:w="80"/>
              <w:left w:type="dxa" w:w="120"/>
              <w:bottom w:type="dxa" w:w="80"/>
              <w:right w:type="dxa" w:w="120"/>
            </w:tcMar>
          </w:tcPr>
          <w:p>
            <w:r>
              <w:rPr>
                <w:rFonts w:ascii="Arial" w:cs="Arial" w:eastAsia="Arial" w:hAnsi="Arial"/>
                <w:b/>
                <w:bCs/>
                <w:color w:val="7B2020"/>
                <w:sz w:val="20"/>
                <w:szCs w:val="20"/>
              </w:rPr>
              <w:t xml:space="preserve">HIGH</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PERF 9 — Tradeoffs: Cache data at multiple layers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ARAS Innovator application makes synchronous database queries for all data requests, including high-frequency reference data lookups (product category hierarchies, lifecycle state definitions, unit of measure lists, user permission matrices). RDS Performance Insights identified these reference data queries as the top contributors to database load.</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Caching was not included in the initial architecture design. The ARAS application's native caching configuration was not tuned for the AWS deployment. Reference data volatility was not assessed before deployment.</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Unnecessary RDS load from repeated identical queries. Reference data queries account for 34% of total database CPU load despite representing data that changes weekly or less. This directly contributes to higher RDS instance sizing requirements and slower API response times.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Deploy ElastiCache for Redis (cache.r6g.large, Multi-AZ with automatic failover) in the same VPC as the application tier. Implement application-level cache-aside pattern in the ARAS API integration layer for reference data with a 15-minute TTL. Implement cache invalidation via EventBridge event when ARAS admin updates reference data.</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Provision ElastiCache cluster via Terraform in the app-tier private subnets. Update application security group to allow TCP 6379 from app-tier SG. Implement Redis caching in the ARAS integration Lambda layer (Python redis-py client). Define cache key schema: aras:refdata:{table_name}:{version}. Test cache hit rate in staging over 1 week.</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Medium (1–2 weeks)  |  Saving: ~$180/month ElastiCache cost against ~$390/month RDS rightsizing saving enabled</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4A2472" w:val="clear"/>
            <w:tcMar>
              <w:top w:type="dxa" w:w="100"/>
              <w:left w:type="dxa" w:w="160"/>
              <w:bottom w:type="dxa" w:w="100"/>
              <w:right w:type="dxa" w:w="160"/>
            </w:tcMar>
          </w:tcPr>
          <w:p>
            <w:r>
              <w:rPr>
                <w:rFonts w:ascii="Arial" w:cs="Arial" w:eastAsia="Arial" w:hAnsi="Arial"/>
                <w:b/>
                <w:bCs/>
                <w:color w:val="FFFFFF"/>
                <w:sz w:val="24"/>
                <w:szCs w:val="24"/>
              </w:rPr>
              <w:t xml:space="preserve">PERF-03  —  ALB Idle Timeout Causing Connection Drops on Long Operations</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Performance Efficiency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b/>
                <w:bCs/>
                <w:color w:val="7B5800"/>
                <w:sz w:val="20"/>
                <w:szCs w:val="20"/>
              </w:rPr>
              <w:t xml:space="preserve">MEDIUM</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PERF 5 — Networking: Implement protocols appropriate to workload</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ALB idle timeout is configured at the default 60 seconds. ARAS PLM batch export operations — BOM hierarchy exports, multi-level product structure reports, and regulatory submission package generation — execute server-side for 90–180 seconds before returning a response.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default ALB idle timeout of 60 seconds was not reviewed against the ARAS application's long-running operation characteristics. The issue was surfaced through user complaints about export failures after the system went live.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Users attempting batch exports receive HTTP 504 Gateway Timeout responses after 60 seconds, losing the export operation entirely and having to retry. Observed ALB access log error rate: 3.2% during business hours, predominantly 504 errors on the /aras/export/* path. User productivity impact: export retries add 5–10 minutes per user per batch operation.</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Increase ALB idle timeout to 300 seconds via modify_load_balancer_attributes. Set IIS keepalive timeout on ARAS web servers to ≥ 300 seconds to match. For operations that may exceed 5 minutes in future (as PLM data volume grows), refactor to an asynchronous pattern: submit export job → return job ID → poll /aras/jobs/{id}/status → download result when complete.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Update Terraform ALB resource: idle_timeout = 300. Apply via Terraform plan/apply. Update IIS application pool connection timeout on ARAS web servers via Ansible playbook. Validate that exports complete successfully in staging. For async refactoring: raise as a recommendation to ARAS product team for a future ARAS release.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Low (1–2 hours)  |  Saving: N/A</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4A2472" w:val="clear"/>
            <w:tcMar>
              <w:top w:type="dxa" w:w="100"/>
              <w:left w:type="dxa" w:w="160"/>
              <w:bottom w:type="dxa" w:w="100"/>
              <w:right w:type="dxa" w:w="160"/>
            </w:tcMar>
          </w:tcPr>
          <w:p>
            <w:r>
              <w:rPr>
                <w:rFonts w:ascii="Arial" w:cs="Arial" w:eastAsia="Arial" w:hAnsi="Arial"/>
                <w:b/>
                <w:bCs/>
                <w:color w:val="FFFFFF"/>
                <w:sz w:val="24"/>
                <w:szCs w:val="24"/>
              </w:rPr>
              <w:t xml:space="preserve">PERF-04  —  Web Tier t3.large CPU Credit Exhaustion</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Performance Efficiency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CE8E8" w:val="clear"/>
            <w:tcMar>
              <w:top w:type="dxa" w:w="80"/>
              <w:left w:type="dxa" w:w="120"/>
              <w:bottom w:type="dxa" w:w="80"/>
              <w:right w:type="dxa" w:w="120"/>
            </w:tcMar>
          </w:tcPr>
          <w:p>
            <w:r>
              <w:rPr>
                <w:rFonts w:ascii="Arial" w:cs="Arial" w:eastAsia="Arial" w:hAnsi="Arial"/>
                <w:b/>
                <w:bCs/>
                <w:color w:val="7B2020"/>
                <w:sz w:val="20"/>
                <w:szCs w:val="20"/>
              </w:rPr>
              <w:t xml:space="preserve">HIGH</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PERF 3 — Compute: Select appropriate instance type for workload</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EC2 t3.large instances (2 vCPU burstable, 8 GB RAM) are used for the ARAS web tier (IIS on Windows Server 2019). The burstable instance type is inappropriate for the ARAS web tier, which experiences sustained CPU demand during user session handling and data grid rendering.</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t3.large was selected based on memory requirements (8 GB) without considering the burstable CPU model. The ARAS web tier is a consistently active workload, not a burst workload — t3 instances are designed for workloads that are inactive most of the time.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CPU credit balance depletes to zero within 2 hours of sustained load (09:00–11:00 GMT peak period), throttling CPU to the 30% baseline. Observed impact: ARAS page load time increases from 1.2 seconds to 4.8 seconds during throttled periods. Users report the application as 'slow' during morning peak hours.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Replace t3.large with m5.large (2 vCPU non-burstable, 8 GB RAM). The m5.large provides identical memory and vCPU count but with consistent, non-throttled CPU performance. Marginal cost increase of ~$18/instance/month (~$36/month for 2 instances) eliminates the performance degradation entirely.</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Update the ASG Launch Template via Terraform: change instance type from t3.large to m5.large. Perform rolling instance refresh (ASG instance refresh feature) during business hours to replace instances without downtime. Monitor CPUUtilisation and ARAS page load times for 1 week post-change.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Low (2–4 hours)  |  Saving: ~$36/month additional; eliminates performance degradation</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4A2472" w:val="clear"/>
            <w:tcMar>
              <w:top w:type="dxa" w:w="100"/>
              <w:left w:type="dxa" w:w="160"/>
              <w:bottom w:type="dxa" w:w="100"/>
              <w:right w:type="dxa" w:w="160"/>
            </w:tcMar>
          </w:tcPr>
          <w:p>
            <w:r>
              <w:rPr>
                <w:rFonts w:ascii="Arial" w:cs="Arial" w:eastAsia="Arial" w:hAnsi="Arial"/>
                <w:b/>
                <w:bCs/>
                <w:color w:val="FFFFFF"/>
                <w:sz w:val="24"/>
                <w:szCs w:val="24"/>
              </w:rPr>
              <w:t xml:space="preserve">PERF-05  —  S3 Presigned URL Expiry Too Short for Large File Uploads</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Performance Efficiency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b/>
                <w:bCs/>
                <w:color w:val="7B5800"/>
                <w:sz w:val="20"/>
                <w:szCs w:val="20"/>
              </w:rPr>
              <w:t xml:space="preserve">MEDIUM</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PERF 6 — Storage: Select appropriate storage for access pattern</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ARAS PLM integration layer generates S3 presigned URLs with a 300-second (5-minute) expiry for document uploads. Remote PMI users in Asia-Pacific (high-latency connections) uploading large CAD files (500 MB–2 GB) frequently experience upload failures when the presigned URL expires before the upload completes.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300-second presigned URL expiry was set as a conservative security default without analysing actual upload size distribution or network latency for remote users. The ARAS integration was built primarily for EU users on fast corporate network connections.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Upload failures for remote users uploading large CAD files. Support tickets from APAC users reporting ARAS document upload failures. Users are required to retry uploads, causing frustration and reducing adoption of the cloud-based PLM system.</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Increase presigned URL expiry to 3600 seconds (1 hour) for document upload operations. Implement S3 multipart upload for files &gt;100 MB — this allows interrupted uploads to be resumed without regenerating the presigned URL. Add client-side upload progress indication and automatic retry logic in the ARAS web frontend.</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Update the presigned URL generation Lambda to set ExpiresIn=3600 for upload URLs. Implement S3 multipart upload in the ARAS document upload handler. Test with large files (1 GB+) from simulated high-latency connections using tc (traffic control) in the staging environment.</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Medium (3–5 days for multipart upload implementation)  |  Saving: N/A</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4A2472" w:val="clear"/>
            <w:tcMar>
              <w:top w:type="dxa" w:w="100"/>
              <w:left w:type="dxa" w:w="160"/>
              <w:bottom w:type="dxa" w:w="100"/>
              <w:right w:type="dxa" w:w="160"/>
            </w:tcMar>
          </w:tcPr>
          <w:p>
            <w:r>
              <w:rPr>
                <w:rFonts w:ascii="Arial" w:cs="Arial" w:eastAsia="Arial" w:hAnsi="Arial"/>
                <w:b/>
                <w:bCs/>
                <w:color w:val="FFFFFF"/>
                <w:sz w:val="24"/>
                <w:szCs w:val="24"/>
              </w:rPr>
              <w:t xml:space="preserve">PERF-07  —  RDS SQL Server Query Store Not Enabled</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Performance Efficiency</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b/>
                <w:bCs/>
                <w:color w:val="7B5800"/>
                <w:sz w:val="20"/>
                <w:szCs w:val="20"/>
              </w:rPr>
              <w:t xml:space="preserve">MEDIUM</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PERF 7 — Database: Use purpose-built databases and tune performance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SQL Server Query Store is not enabled on the RDS instance. Query Store is a SQL Server feature that records query execution history, execution plan changes, and performance statistics — essential for diagnosing query regressions introduced by application updates.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Query Store was not enabled in the RDS parameter group during initial provisioning. The default SQL Server RDS parameter group does not enable Query Store.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Performance regressions introduced by ARAS application updates cannot be rapidly diagnosed. An execution plan change during one sprint increased a key ARAS product structure report query from 300ms to 14 seconds. Without Query Store, diagnosis required 3 days of manual investigation using SQL Server DMVs and CloudWatch metrics, which would have been resolved in hours with Query Store data.</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Enable Query Store via a custom RDS parameter group: query_store = ON, query_store_capture_mode = ALL, query_store_retention_period_in_days = 30, query_store_size_mb = 1000. Set query_store_stale_threshold_hours = 24 to automatically flush stale plans. Enable Query Store Forced Plan feature to pin the last known good execution plan for critical queries.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Create a custom RDS parameter group via Terraform cloned from the current group. Set the Query Store parameters. Apply the parameter group to the RDS instance (requires reboot — schedule during maintenance window). Validate Query Store is collecting data by querying sys.query_store_query after 24 hours.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Low (1–2 hours to configure; requires maintenance window reboot)  |  Saving: N/A</w:t>
            </w:r>
          </w:p>
        </w:tc>
      </w:tr>
    </w:tbl>
    <w:p>
      <w:pPr>
        <w:spacing w:after="100" w:before="100"/>
      </w:pPr>
      <w:r>
        <w:t xml:space="preserve"/>
      </w:r>
    </w:p>
    <w:p>
      <w:r>
        <w:br w:type="page"/>
      </w:r>
    </w:p>
    <w:p>
      <w:pPr>
        <w:pStyle w:val="Heading1"/>
        <w:pBdr>
          <w:bottom w:val="single" w:color="0E5C5C" w:sz="8" w:space="4"/>
        </w:pBdr>
        <w:spacing w:after="120" w:before="360"/>
      </w:pPr>
      <w:r>
        <w:rPr>
          <w:rFonts w:ascii="Arial" w:cs="Arial" w:eastAsia="Arial" w:hAnsi="Arial"/>
          <w:b/>
          <w:bCs/>
          <w:color w:val="0E5C5C"/>
          <w:sz w:val="32"/>
          <w:szCs w:val="32"/>
        </w:rPr>
        <w:t xml:space="preserve">Cost Optimisation Pillar — Detailed Findings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0E5C5C" w:val="clear"/>
            <w:tcMar>
              <w:top w:type="dxa" w:w="100"/>
              <w:left w:type="dxa" w:w="160"/>
              <w:bottom w:type="dxa" w:w="100"/>
              <w:right w:type="dxa" w:w="160"/>
            </w:tcMar>
          </w:tcPr>
          <w:p>
            <w:r>
              <w:rPr>
                <w:rFonts w:ascii="Arial" w:cs="Arial" w:eastAsia="Arial" w:hAnsi="Arial"/>
                <w:b/>
                <w:bCs/>
                <w:color w:val="FFFFFF"/>
                <w:sz w:val="24"/>
                <w:szCs w:val="24"/>
              </w:rPr>
              <w:t xml:space="preserve">COST-01  —  All Compute on On-Demand Pricing — No Savings Plans</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Cost Optimisation</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CE8E8" w:val="clear"/>
            <w:tcMar>
              <w:top w:type="dxa" w:w="80"/>
              <w:left w:type="dxa" w:w="120"/>
              <w:bottom w:type="dxa" w:w="80"/>
              <w:right w:type="dxa" w:w="120"/>
            </w:tcMar>
          </w:tcPr>
          <w:p>
            <w:r>
              <w:rPr>
                <w:rFonts w:ascii="Arial" w:cs="Arial" w:eastAsia="Arial" w:hAnsi="Arial"/>
                <w:b/>
                <w:bCs/>
                <w:color w:val="7B2020"/>
                <w:sz w:val="20"/>
                <w:szCs w:val="20"/>
              </w:rPr>
              <w:t xml:space="preserve">HIGH</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COST 6 — Manage Demand and Supply Resources: Use pricing models that match usage patterns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All EC2 instances (4 instances across web and app tiers) and the RDS SQL Server instance are running on On-Demand pricing. The PLM system has been in production for 6 months and has a stable, predictable 24/7 workload — an ideal candidate for Reserved Instance or Savings Plan commitment.</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project team intended to purchase Reserved Instances after 3 months of production baseline data. At 6 months post-go-live, this action had not been taken. The estimated On-Demand premium paid in the 6 months since go-live: approximately $8,400 above what 1-year RI pricing would have cost.</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Overpaying approximately $1,400–1,800/month versus available committed pricing options. The PLM system is a stable, always-on workload — the primary use case for Reserved Instance or Savings Plan purchasing. Every month of delay in purchasing represents continued financial waste.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Purchase a 1-year Compute Savings Plan at a commitment level of $1,500/month (covering EC2 and Lambda usage with flexibility to change instance types). Separately, after completing PERF-01 rightsizing, purchase a 1-year No-Upfront Reserved Instance for the RDS r5.xlarge (or r5.2xlarge if rightsizing is delayed). Total estimated saving: $1,400–1,800/month.</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Access Cost Explorer Savings Plans purchase recommendations. Review the recommended commitment level (typically based on 7-day average On-Demand spend). Coordinate with PMI procurement/finance for the purchase. Purchase Compute Savings Plan immediately (not instance-specific — safe to buy before rightsizing). Defer RDS RI purchase until after PERF-01 instance type change is confirmed.</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Low (1–2 hours to purchase; requires PMI finance approval)  |  Saving: $1,400–1,800/month</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0E5C5C" w:val="clear"/>
            <w:tcMar>
              <w:top w:type="dxa" w:w="100"/>
              <w:left w:type="dxa" w:w="160"/>
              <w:bottom w:type="dxa" w:w="100"/>
              <w:right w:type="dxa" w:w="160"/>
            </w:tcMar>
          </w:tcPr>
          <w:p>
            <w:r>
              <w:rPr>
                <w:rFonts w:ascii="Arial" w:cs="Arial" w:eastAsia="Arial" w:hAnsi="Arial"/>
                <w:b/>
                <w:bCs/>
                <w:color w:val="FFFFFF"/>
                <w:sz w:val="24"/>
                <w:szCs w:val="24"/>
              </w:rPr>
              <w:t xml:space="preserve">COST-02  —  RDS r5.2xlarge Over-Provisioned — Right-Size to r5.xlarge</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Cost Optimisation</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b/>
                <w:bCs/>
                <w:color w:val="7B5800"/>
                <w:sz w:val="20"/>
                <w:szCs w:val="20"/>
              </w:rPr>
              <w:t xml:space="preserve">MEDIUM</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COST 5 — Right-Size Services: Match resource provisioning to actual need</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As detailed in PERF-01, the RDS SQL Server r5.2xlarge instance is significantly over-provisioned for the current workload (CPU p95 = 22%, Memory utilisation = 38%). AWS Compute Optimizer rates this instance as Over Provisioned with a recommended change to r5.xlarge.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Instance type was selected based on on-premise server specification equivalence without cloud-native rightsizing. See PERF-01 for full root cause.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Paying approximately $780–850/month more than necessary for RDS compute. Combined with On-Demand pricing (COST-01), the total RDS overspend is approximately $1,400/month versus a rightsized r5.xlarge on a 1-year Reserved Instance.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Right-size to r5.xlarge as described in PERF-01. After the rightsizing is complete and validated (2-week monitoring period), purchase a 1-year No-Upfront RI for r5.xlarge SQL Server at the eu-west-1 rate. Do not purchase RI at the current over-provisioned r5.2xlarge size.</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See PERF-01 for implementation steps. From a cost perspective: sequence is (1) implement rightsizing, (2) validate over 2 weeks, (3) purchase RI at the correct size. Purchasing RI before rightsizing locks in the wrong instance size for 1 year.</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Low (after PERF-01 completion)  |  Saving: ~$780–850/month from rightsizing alone</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0E5C5C" w:val="clear"/>
            <w:tcMar>
              <w:top w:type="dxa" w:w="100"/>
              <w:left w:type="dxa" w:w="160"/>
              <w:bottom w:type="dxa" w:w="100"/>
              <w:right w:type="dxa" w:w="160"/>
            </w:tcMar>
          </w:tcPr>
          <w:p>
            <w:r>
              <w:rPr>
                <w:rFonts w:ascii="Arial" w:cs="Arial" w:eastAsia="Arial" w:hAnsi="Arial"/>
                <w:b/>
                <w:bCs/>
                <w:color w:val="FFFFFF"/>
                <w:sz w:val="24"/>
                <w:szCs w:val="24"/>
              </w:rPr>
              <w:t xml:space="preserve">COST-03  —  S3 Document Vault — No Lifecycle Policy for Aged Objects</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Cost Optimisation</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b/>
                <w:bCs/>
                <w:color w:val="7B5800"/>
                <w:sz w:val="20"/>
                <w:szCs w:val="20"/>
              </w:rPr>
              <w:t xml:space="preserve">MEDIUM</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COST 7 — Manage Demand and Supply Resources: Use lifecycle policies to manage storage costs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The PLM document vault S3 bucket stores 5.2 TB entirely in S3 Standard storage class. S3 Storage Lens analysis shows 68% of objects (by size) have not been accessed in over 180 days — these are archived PLM documents from completed projects and past regulatory submissions.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S3 lifecycle policies were not configured during initial deployment. No storage tiering analysis was performed. All objects are stored in S3 Standard by default.</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Paying S3 Standard rates ($0.023/GB/month) for 3.5 TB of cold data that could be stored in S3 Glacier Flexible Retrieval ($0.004/GB/month) or S3 Standard-IA ($0.0125/GB/month) at a fraction of the cost. Estimated monthly overspend on cold storage: $66–$80/month currently, growing as PLM document volume increases.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Implement an S3 lifecycle policy with three transitions: (1) Standard → Standard-IA after 90 days (for infrequently accessed but quickly retrievable documents). (2) Standard-IA → Glacier Flexible Retrieval after 365 days (for archived compliance documents). (3) Expire objects after 7 years per PMI document retention policy. Apply to the documents/ prefix only — do not apply to the current-project/ prefix.</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Define lifecycle policy via Terraform aws_s3_bucket_lifecycle_configuration resource. Apply prefix filters to distinguish active (current-project/) from archival (documents/) content. Test with a small set of aged objects in staging before applying to full production bucket. Note: Glacier retrieval takes 3–5 hours (standard) or 1–5 minutes (expedited at higher cost) — validate this is acceptable for compliance retrieval use cases with PMI.</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Low (1–2 days)  |  Saving: $120–180/month growing with data volume</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0E5C5C" w:val="clear"/>
            <w:tcMar>
              <w:top w:type="dxa" w:w="100"/>
              <w:left w:type="dxa" w:w="160"/>
              <w:bottom w:type="dxa" w:w="100"/>
              <w:right w:type="dxa" w:w="160"/>
            </w:tcMar>
          </w:tcPr>
          <w:p>
            <w:r>
              <w:rPr>
                <w:rFonts w:ascii="Arial" w:cs="Arial" w:eastAsia="Arial" w:hAnsi="Arial"/>
                <w:b/>
                <w:bCs/>
                <w:color w:val="FFFFFF"/>
                <w:sz w:val="24"/>
                <w:szCs w:val="24"/>
              </w:rPr>
              <w:t xml:space="preserve">COST-04  —  Lambda Traffic Routed Through NAT Gateway</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Cost Optimisation</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FEF3CD" w:val="clear"/>
            <w:tcMar>
              <w:top w:type="dxa" w:w="80"/>
              <w:left w:type="dxa" w:w="120"/>
              <w:bottom w:type="dxa" w:w="80"/>
              <w:right w:type="dxa" w:w="120"/>
            </w:tcMar>
          </w:tcPr>
          <w:p>
            <w:r>
              <w:rPr>
                <w:rFonts w:ascii="Arial" w:cs="Arial" w:eastAsia="Arial" w:hAnsi="Arial"/>
                <w:b/>
                <w:bCs/>
                <w:color w:val="7B5800"/>
                <w:sz w:val="20"/>
                <w:szCs w:val="20"/>
              </w:rPr>
              <w:t xml:space="preserve">MEDIUM</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COST 5 — Use managed services: Reduce data transfer costs with VPC Endpoints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Lambda functions in the integration layer are deployed in private VPC subnets without VPC Endpoints for the AWS services they call (S3, SSM, Secrets Manager, SQS, CloudWatch Logs). All outbound traffic from these Lambdas — including AWS API calls — routes through the NAT Gateway, incurring data processing charges at $0.045/GB.</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VPC Endpoints were not included in the initial VPC design. The architect was not aware that AWS API calls from Lambda within a VPC traverse the NAT Gateway by default without VPC Endpoints.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Lambda functions collectively processed approximately 2.1 TB/month through the NAT Gateway, generating $94.50/month in NAT Gateway data processing charges for traffic that is entirely within the AWS network and should not incur data transfer charges via VPC Endpoints.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Create VPC Gateway Endpoints for S3 and DynamoDB (free — no hourly or data processing charge). Create VPC Interface Endpoints for SSM, Secrets Manager, SQS, and CloudWatch Logs ($0.01/hour each = ~$29/month for 4 endpoints, but eliminates NAT Gateway data charges on these flows). Net saving: approximately $65–110/month after endpoint costs.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Provision VPC Endpoints via Terraform. Gateway Endpoints: aws_vpc_endpoint for S3 and DynamoDB, associated with the private route tables. Interface Endpoints: aws_vpc_endpoint for com.amazonaws.eu-west-1.ssm, secretsmanager, sqs, logs — deployed in app-tier private subnets with associated security groups allowing TCP 443 from Lambda SG.</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Low (1–2 days)  |  Saving: ~$65–110/month net (after endpoint costs)</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0E5C5C" w:val="clear"/>
            <w:tcMar>
              <w:top w:type="dxa" w:w="100"/>
              <w:left w:type="dxa" w:w="160"/>
              <w:bottom w:type="dxa" w:w="100"/>
              <w:right w:type="dxa" w:w="160"/>
            </w:tcMar>
          </w:tcPr>
          <w:p>
            <w:r>
              <w:rPr>
                <w:rFonts w:ascii="Arial" w:cs="Arial" w:eastAsia="Arial" w:hAnsi="Arial"/>
                <w:b/>
                <w:bCs/>
                <w:color w:val="FFFFFF"/>
                <w:sz w:val="24"/>
                <w:szCs w:val="24"/>
              </w:rPr>
              <w:t xml:space="preserve">COST-05  —  CloudWatch Detailed Monitoring Enabled Unnecessarily</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Cost Optimisation</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E8F5EC" w:val="clear"/>
            <w:tcMar>
              <w:top w:type="dxa" w:w="80"/>
              <w:left w:type="dxa" w:w="120"/>
              <w:bottom w:type="dxa" w:w="80"/>
              <w:right w:type="dxa" w:w="120"/>
            </w:tcMar>
          </w:tcPr>
          <w:p>
            <w:r>
              <w:rPr>
                <w:rFonts w:ascii="Arial" w:cs="Arial" w:eastAsia="Arial" w:hAnsi="Arial"/>
                <w:b/>
                <w:bCs/>
                <w:color w:val="1D5C2E"/>
                <w:sz w:val="20"/>
                <w:szCs w:val="20"/>
              </w:rPr>
              <w:t xml:space="preserve">LOW</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COST 5 — Right-Size Services: Only enable monitoring granularity required</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All four EC2 instances have CloudWatch detailed monitoring enabled (1-minute metric granularity). CloudWatch detailed monitoring is charged at $2.10/instance/month in eu-west-1 ($8.40/month for 4 instances). Basic monitoring (5-minute granularity) is free and sufficient for most operational purposes.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Detailed monitoring was enabled during initial setup as a precaution. No assessment was made of whether 1-minute granularity was required for the PLM workload's operational needs.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Paying $8.40/month for 1-minute metric granularity on instances where 5-minute granularity is sufficient for the current monitoring and alerting setup. The CloudWatch dashboard and alarms in use do not require sub-5-minute granularity for effective operations.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Disable detailed monitoring on EC2 instances where 1-minute granularity is not required for active alarms or dashboards. If fine-grained performance monitoring is needed (e.g., for the app-tier during peak hours), retain detailed monitoring only on app-tier instances ($4.20/month vs $8.40/month).</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Run unmonitor_instances API call via Terraform update (monitoring { enabled = false }) for web-tier instances. Retain detailed monitoring on app-tier instances for PERF investigation capability. Review CloudWatch alarm periods — ensure no alarms require periods shorter than 5 minutes before disabling.</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Low (1 hour)  |  Saving: $4.20–8.40/month</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9360"/>
            <w:gridSpan w:val="4"/>
            <w:tcBorders>
              <w:top w:val="single" w:color="BFBFBF" w:sz="1"/>
              <w:left w:val="single" w:color="BFBFBF" w:sz="1"/>
              <w:bottom w:val="single" w:color="BFBFBF" w:sz="1"/>
              <w:right w:val="single" w:color="BFBFBF" w:sz="1"/>
            </w:tcBorders>
            <w:shd w:fill="0E5C5C" w:val="clear"/>
            <w:tcMar>
              <w:top w:type="dxa" w:w="100"/>
              <w:left w:type="dxa" w:w="160"/>
              <w:bottom w:type="dxa" w:w="100"/>
              <w:right w:type="dxa" w:w="160"/>
            </w:tcMar>
          </w:tcPr>
          <w:p>
            <w:r>
              <w:rPr>
                <w:rFonts w:ascii="Arial" w:cs="Arial" w:eastAsia="Arial" w:hAnsi="Arial"/>
                <w:b/>
                <w:bCs/>
                <w:color w:val="FFFFFF"/>
                <w:sz w:val="24"/>
                <w:szCs w:val="24"/>
              </w:rPr>
              <w:t xml:space="preserve">COST-06  —  Unused EBS Snapshots Accumulating Without Lifecycle Policy</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28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Cost Optimisation</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Risk Rating</w:t>
            </w:r>
          </w:p>
        </w:tc>
        <w:tc>
          <w:tcPr>
            <w:tcW w:type="dxa" w:w="2880"/>
            <w:tcBorders>
              <w:top w:val="single" w:color="BFBFBF" w:sz="1"/>
              <w:left w:val="single" w:color="BFBFBF" w:sz="1"/>
              <w:bottom w:val="single" w:color="BFBFBF" w:sz="1"/>
              <w:right w:val="single" w:color="BFBFBF" w:sz="1"/>
            </w:tcBorders>
            <w:shd w:fill="E8F5EC" w:val="clear"/>
            <w:tcMar>
              <w:top w:type="dxa" w:w="80"/>
              <w:left w:type="dxa" w:w="120"/>
              <w:bottom w:type="dxa" w:w="80"/>
              <w:right w:type="dxa" w:w="120"/>
            </w:tcMar>
          </w:tcPr>
          <w:p>
            <w:r>
              <w:rPr>
                <w:rFonts w:ascii="Arial" w:cs="Arial" w:eastAsia="Arial" w:hAnsi="Arial"/>
                <w:b/>
                <w:bCs/>
                <w:color w:val="1D5C2E"/>
                <w:sz w:val="20"/>
                <w:szCs w:val="20"/>
              </w:rPr>
              <w:t xml:space="preserve">LOW</w:t>
            </w:r>
          </w:p>
        </w:tc>
      </w:tr>
      <w:tr>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WAF Reference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COST 7 — Manage Demand: Clean up unused resources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Context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Manual EBS snapshots taken during EC2 AMI creation and pre-deployment testing activities have accumulated in the account. AWS Cost Explorer shows 47 EBS snapshots consuming 1.8 TB of snapshot storage at $0.05/GB/month ($90/month). Many of these snapshots are from the pre-production and testing phases and are no longer required.</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Root Cause</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Snapshots were created during the migration and testing phases and were not deleted after the production go-live. No snapshot lifecycle policy was in place to automatically expire test snapshots.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Impact</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Paying $55–75/month for EBS snapshot storage that provides no operational value. The snapshots from the testing phase are no longer needed for recovery purposes, as the production environment has its own automated backup strategy.</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Recommendation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Audit all EBS snapshots using Cost Explorer and ec2:describe_snapshots. Tag snapshots with Origin (automated/manual) and Environment (prod/staging/test). Delete snapshots tagged as test or pre-prod that are older than 90 days. Create a Data Lifecycle Manager policy to automatically expire manual snapshots older than 30 days (excluding snapshots tagged RetainForever).</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Implementation</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Run snapshot audit script (Python/boto3) to list all snapshots with creation date, size, and originating volume. Review with engineering team to confirm which can be deleted. Delete approved snapshots. Create DLM lifecycle policy for ongoing management via Terraform. Estimated snapshot count after cleanup: ~12 (production AMIs and recent backups).</w:t>
            </w:r>
          </w:p>
        </w:tc>
      </w:tr>
      <w:tr>
        <w:tc>
          <w:tcPr>
            <w:tcW w:type="dxa" w:w="1800"/>
            <w:tcBorders>
              <w:top w:val="single" w:color="BFBFBF" w:sz="1"/>
              <w:left w:val="single" w:color="BFBFBF" w:sz="1"/>
              <w:bottom w:val="single" w:color="BFBFBF" w:sz="1"/>
              <w:right w:val="single" w:color="BFBFBF" w:sz="1"/>
            </w:tcBorders>
            <w:shd w:fill="EDF2FA" w:val="clear"/>
            <w:tcMar>
              <w:top w:type="dxa" w:w="80"/>
              <w:left w:type="dxa" w:w="120"/>
              <w:bottom w:type="dxa" w:w="80"/>
              <w:right w:type="dxa" w:w="120"/>
            </w:tcMar>
          </w:tcPr>
          <w:p>
            <w:r>
              <w:rPr>
                <w:rFonts w:ascii="Arial" w:cs="Arial" w:eastAsia="Arial" w:hAnsi="Arial"/>
                <w:b/>
                <w:bCs/>
                <w:color w:val="1F3864"/>
                <w:sz w:val="20"/>
                <w:szCs w:val="20"/>
              </w:rPr>
              <w:t xml:space="preserve">Effort / Saving</w:t>
            </w:r>
          </w:p>
        </w:tc>
        <w:tc>
          <w:tcPr>
            <w:tcW w:type="dxa" w:w="7560"/>
            <w:gridSpan w:val="3"/>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Effort: Low (2–4 hours for audit and cleanup)  |  Saving: $55–75/month</w:t>
            </w:r>
          </w:p>
        </w:tc>
      </w:tr>
    </w:tbl>
    <w:p>
      <w:pPr>
        <w:spacing w:after="100" w:before="100"/>
      </w:pPr>
      <w:r>
        <w:t xml:space="preserve"/>
      </w:r>
    </w:p>
    <w:p>
      <w:r>
        <w:br w:type="page"/>
      </w:r>
    </w:p>
    <w:p>
      <w:pPr>
        <w:pStyle w:val="Heading1"/>
        <w:pBdr>
          <w:bottom w:val="single" w:color="2E75B6" w:sz="8" w:space="4"/>
        </w:pBdr>
        <w:spacing w:after="120" w:before="360"/>
      </w:pPr>
      <w:r>
        <w:rPr>
          <w:rFonts w:ascii="Arial" w:cs="Arial" w:eastAsia="Arial" w:hAnsi="Arial"/>
          <w:b/>
          <w:bCs/>
          <w:color w:val="1F3864"/>
          <w:sz w:val="32"/>
          <w:szCs w:val="32"/>
        </w:rPr>
        <w:t xml:space="preserve">Summary &amp; Next Steps</w:t>
      </w:r>
    </w:p>
    <w:p>
      <w:pPr>
        <w:pStyle w:val="Heading2"/>
        <w:spacing w:after="80" w:before="240"/>
      </w:pPr>
      <w:r>
        <w:rPr>
          <w:rFonts w:ascii="Arial" w:cs="Arial" w:eastAsia="Arial" w:hAnsi="Arial"/>
          <w:b/>
          <w:bCs/>
          <w:color w:val="2E75B6"/>
          <w:sz w:val="26"/>
          <w:szCs w:val="26"/>
        </w:rPr>
        <w:t xml:space="preserve">Review Outcomes</w:t>
      </w:r>
    </w:p>
    <w:p>
      <w:pPr>
        <w:spacing w:after="60" w:before="60"/>
        <w:jc w:val="both"/>
      </w:pPr>
      <w:r>
        <w:rPr>
          <w:rFonts w:ascii="Arial" w:cs="Arial" w:eastAsia="Arial" w:hAnsi="Arial"/>
          <w:color w:val="404040"/>
          <w:sz w:val="22"/>
          <w:szCs w:val="22"/>
        </w:rPr>
        <w:t xml:space="preserve">This Well-Architected Framework review identified 27 findings across four pillars. The good news is that the PLM system has a solid foundational architecture — the core network design, AZ spread, ALB-fronted multi-tier topology, and use of managed services (RDS, S3, Lambda) are all aligned with AWS best practices. The findings largely represent gaps in security hardening, resilience configuration, and cost optimisation that are common at the 3–6 month post-go-live stage of a migration programme.</w:t>
      </w:r>
    </w:p>
    <w:p>
      <w:pPr>
        <w:spacing w:after="60" w:before="60"/>
        <w:jc w:val="both"/>
      </w:pPr>
      <w:r>
        <w:rPr>
          <w:rFonts w:ascii="Arial" w:cs="Arial" w:eastAsia="Arial" w:hAnsi="Arial"/>
          <w:color w:val="404040"/>
          <w:sz w:val="22"/>
          <w:szCs w:val="22"/>
        </w:rPr>
        <w:t xml:space="preserve">Twenty-one of the 27 findings have been fully remediated in the sprint following this review. The remaining six (REL-02, REL-06, REL-07, SEC-06, SEC-07, COST-01) are either in progress or accepted with documented residual risk.</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Projected Pillar Scores Post-Remediation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800"/>
        <w:gridCol w:w="2160"/>
      </w:tblGrid>
      <w:tr>
        <w:trPr>
          <w:tblHeader/>
        </w:trPr>
        <w:tc>
          <w:tcPr>
            <w:tcW w:type="dxa" w:w="26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Pillar</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Score at Review</w:t>
            </w:r>
          </w:p>
        </w:tc>
        <w:tc>
          <w:tcPr>
            <w:tcW w:type="dxa" w:w="2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Projected Score Post-Remediation</w:t>
            </w:r>
          </w:p>
        </w:tc>
        <w:tc>
          <w:tcPr>
            <w:tcW w:type="dxa" w:w="216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Delta</w:t>
            </w:r>
          </w:p>
        </w:tc>
      </w:tr>
      <w:tr>
        <w:tc>
          <w:tcPr>
            <w:tcW w:type="dxa" w:w="2600"/>
            <w:tcBorders>
              <w:top w:val="single" w:color="BFBFBF" w:sz="1"/>
              <w:left w:val="single" w:color="BFBFBF" w:sz="1"/>
              <w:bottom w:val="single" w:color="BFBFBF" w:sz="1"/>
              <w:right w:val="single" w:color="BFBFBF" w:sz="1"/>
            </w:tcBorders>
            <w:shd w:fill="E8F5EC" w:val="clear"/>
            <w:tcMar>
              <w:top w:type="dxa" w:w="80"/>
              <w:left w:type="dxa" w:w="120"/>
              <w:bottom w:type="dxa" w:w="80"/>
              <w:right w:type="dxa" w:w="120"/>
            </w:tcMar>
          </w:tcPr>
          <w:p>
            <w:r>
              <w:rPr>
                <w:rFonts w:ascii="Arial" w:cs="Arial" w:eastAsia="Arial" w:hAnsi="Arial"/>
                <w:color w:val="1D5C2E"/>
                <w:sz w:val="20"/>
                <w:szCs w:val="20"/>
              </w:rPr>
              <w:t xml:space="preserve">Security</w:t>
            </w:r>
          </w:p>
        </w:tc>
        <w:tc>
          <w:tcPr>
            <w:tcW w:type="dxa" w:w="1800"/>
            <w:tcBorders>
              <w:top w:val="single" w:color="BFBFBF" w:sz="1"/>
              <w:left w:val="single" w:color="BFBFBF" w:sz="1"/>
              <w:bottom w:val="single" w:color="BFBFBF" w:sz="1"/>
              <w:right w:val="single" w:color="BFBFBF" w:sz="1"/>
            </w:tcBorders>
            <w:shd w:fill="E8F5EC" w:val="clear"/>
            <w:tcMar>
              <w:top w:type="dxa" w:w="80"/>
              <w:left w:type="dxa" w:w="120"/>
              <w:bottom w:type="dxa" w:w="80"/>
              <w:right w:type="dxa" w:w="120"/>
            </w:tcMar>
          </w:tcPr>
          <w:p>
            <w:r>
              <w:rPr>
                <w:rFonts w:ascii="Arial" w:cs="Arial" w:eastAsia="Arial" w:hAnsi="Arial"/>
                <w:color w:val="1D5C2E"/>
                <w:sz w:val="20"/>
                <w:szCs w:val="20"/>
              </w:rPr>
              <w:t xml:space="preserve">52 / 100</w:t>
            </w:r>
          </w:p>
        </w:tc>
        <w:tc>
          <w:tcPr>
            <w:tcW w:type="dxa" w:w="2800"/>
            <w:tcBorders>
              <w:top w:val="single" w:color="BFBFBF" w:sz="1"/>
              <w:left w:val="single" w:color="BFBFBF" w:sz="1"/>
              <w:bottom w:val="single" w:color="BFBFBF" w:sz="1"/>
              <w:right w:val="single" w:color="BFBFBF" w:sz="1"/>
            </w:tcBorders>
            <w:shd w:fill="E8F5EC" w:val="clear"/>
            <w:tcMar>
              <w:top w:type="dxa" w:w="80"/>
              <w:left w:type="dxa" w:w="120"/>
              <w:bottom w:type="dxa" w:w="80"/>
              <w:right w:type="dxa" w:w="120"/>
            </w:tcMar>
          </w:tcPr>
          <w:p>
            <w:r>
              <w:rPr>
                <w:rFonts w:ascii="Arial" w:cs="Arial" w:eastAsia="Arial" w:hAnsi="Arial"/>
                <w:color w:val="1D5C2E"/>
                <w:sz w:val="20"/>
                <w:szCs w:val="20"/>
              </w:rPr>
              <w:t xml:space="preserve">81 / 100</w:t>
            </w:r>
          </w:p>
        </w:tc>
        <w:tc>
          <w:tcPr>
            <w:tcW w:type="dxa" w:w="2160"/>
            <w:tcBorders>
              <w:top w:val="single" w:color="BFBFBF" w:sz="1"/>
              <w:left w:val="single" w:color="BFBFBF" w:sz="1"/>
              <w:bottom w:val="single" w:color="BFBFBF" w:sz="1"/>
              <w:right w:val="single" w:color="BFBFBF" w:sz="1"/>
            </w:tcBorders>
            <w:shd w:fill="E8F5EC" w:val="clear"/>
            <w:tcMar>
              <w:top w:type="dxa" w:w="80"/>
              <w:left w:type="dxa" w:w="120"/>
              <w:bottom w:type="dxa" w:w="80"/>
              <w:right w:type="dxa" w:w="120"/>
            </w:tcMar>
          </w:tcPr>
          <w:p>
            <w:r>
              <w:rPr>
                <w:rFonts w:ascii="Arial" w:cs="Arial" w:eastAsia="Arial" w:hAnsi="Arial"/>
                <w:color w:val="1D5C2E"/>
                <w:sz w:val="20"/>
                <w:szCs w:val="20"/>
              </w:rPr>
              <w:t xml:space="preserve">+29</w:t>
            </w:r>
          </w:p>
        </w:tc>
      </w:tr>
      <w:tr>
        <w:tc>
          <w:tcPr>
            <w:tcW w:type="dxa" w:w="2600"/>
            <w:tcBorders>
              <w:top w:val="single" w:color="BFBFBF" w:sz="1"/>
              <w:left w:val="single" w:color="BFBFBF" w:sz="1"/>
              <w:bottom w:val="single" w:color="BFBFBF" w:sz="1"/>
              <w:right w:val="single" w:color="BFBFBF" w:sz="1"/>
            </w:tcBorders>
            <w:shd w:fill="E8F5EC" w:val="clear"/>
            <w:tcMar>
              <w:top w:type="dxa" w:w="80"/>
              <w:left w:type="dxa" w:w="120"/>
              <w:bottom w:type="dxa" w:w="80"/>
              <w:right w:type="dxa" w:w="120"/>
            </w:tcMar>
          </w:tcPr>
          <w:p>
            <w:r>
              <w:rPr>
                <w:rFonts w:ascii="Arial" w:cs="Arial" w:eastAsia="Arial" w:hAnsi="Arial"/>
                <w:color w:val="1D5C2E"/>
                <w:sz w:val="20"/>
                <w:szCs w:val="20"/>
              </w:rPr>
              <w:t xml:space="preserve">Reliability</w:t>
            </w:r>
          </w:p>
        </w:tc>
        <w:tc>
          <w:tcPr>
            <w:tcW w:type="dxa" w:w="1800"/>
            <w:tcBorders>
              <w:top w:val="single" w:color="BFBFBF" w:sz="1"/>
              <w:left w:val="single" w:color="BFBFBF" w:sz="1"/>
              <w:bottom w:val="single" w:color="BFBFBF" w:sz="1"/>
              <w:right w:val="single" w:color="BFBFBF" w:sz="1"/>
            </w:tcBorders>
            <w:shd w:fill="E8F5EC" w:val="clear"/>
            <w:tcMar>
              <w:top w:type="dxa" w:w="80"/>
              <w:left w:type="dxa" w:w="120"/>
              <w:bottom w:type="dxa" w:w="80"/>
              <w:right w:type="dxa" w:w="120"/>
            </w:tcMar>
          </w:tcPr>
          <w:p>
            <w:r>
              <w:rPr>
                <w:rFonts w:ascii="Arial" w:cs="Arial" w:eastAsia="Arial" w:hAnsi="Arial"/>
                <w:color w:val="1D5C2E"/>
                <w:sz w:val="20"/>
                <w:szCs w:val="20"/>
              </w:rPr>
              <w:t xml:space="preserve">58 / 100</w:t>
            </w:r>
          </w:p>
        </w:tc>
        <w:tc>
          <w:tcPr>
            <w:tcW w:type="dxa" w:w="2800"/>
            <w:tcBorders>
              <w:top w:val="single" w:color="BFBFBF" w:sz="1"/>
              <w:left w:val="single" w:color="BFBFBF" w:sz="1"/>
              <w:bottom w:val="single" w:color="BFBFBF" w:sz="1"/>
              <w:right w:val="single" w:color="BFBFBF" w:sz="1"/>
            </w:tcBorders>
            <w:shd w:fill="E8F5EC" w:val="clear"/>
            <w:tcMar>
              <w:top w:type="dxa" w:w="80"/>
              <w:left w:type="dxa" w:w="120"/>
              <w:bottom w:type="dxa" w:w="80"/>
              <w:right w:type="dxa" w:w="120"/>
            </w:tcMar>
          </w:tcPr>
          <w:p>
            <w:r>
              <w:rPr>
                <w:rFonts w:ascii="Arial" w:cs="Arial" w:eastAsia="Arial" w:hAnsi="Arial"/>
                <w:color w:val="1D5C2E"/>
                <w:sz w:val="20"/>
                <w:szCs w:val="20"/>
              </w:rPr>
              <w:t xml:space="preserve">84 / 100</w:t>
            </w:r>
          </w:p>
        </w:tc>
        <w:tc>
          <w:tcPr>
            <w:tcW w:type="dxa" w:w="2160"/>
            <w:tcBorders>
              <w:top w:val="single" w:color="BFBFBF" w:sz="1"/>
              <w:left w:val="single" w:color="BFBFBF" w:sz="1"/>
              <w:bottom w:val="single" w:color="BFBFBF" w:sz="1"/>
              <w:right w:val="single" w:color="BFBFBF" w:sz="1"/>
            </w:tcBorders>
            <w:shd w:fill="E8F5EC" w:val="clear"/>
            <w:tcMar>
              <w:top w:type="dxa" w:w="80"/>
              <w:left w:type="dxa" w:w="120"/>
              <w:bottom w:type="dxa" w:w="80"/>
              <w:right w:type="dxa" w:w="120"/>
            </w:tcMar>
          </w:tcPr>
          <w:p>
            <w:r>
              <w:rPr>
                <w:rFonts w:ascii="Arial" w:cs="Arial" w:eastAsia="Arial" w:hAnsi="Arial"/>
                <w:color w:val="1D5C2E"/>
                <w:sz w:val="20"/>
                <w:szCs w:val="20"/>
              </w:rPr>
              <w:t xml:space="preserve">+26</w:t>
            </w:r>
          </w:p>
        </w:tc>
      </w:tr>
      <w:tr>
        <w:tc>
          <w:tcPr>
            <w:tcW w:type="dxa" w:w="2600"/>
            <w:tcBorders>
              <w:top w:val="single" w:color="BFBFBF" w:sz="1"/>
              <w:left w:val="single" w:color="BFBFBF" w:sz="1"/>
              <w:bottom w:val="single" w:color="BFBFBF" w:sz="1"/>
              <w:right w:val="single" w:color="BFBFBF" w:sz="1"/>
            </w:tcBorders>
            <w:shd w:fill="E8F5EC" w:val="clear"/>
            <w:tcMar>
              <w:top w:type="dxa" w:w="80"/>
              <w:left w:type="dxa" w:w="120"/>
              <w:bottom w:type="dxa" w:w="80"/>
              <w:right w:type="dxa" w:w="120"/>
            </w:tcMar>
          </w:tcPr>
          <w:p>
            <w:r>
              <w:rPr>
                <w:rFonts w:ascii="Arial" w:cs="Arial" w:eastAsia="Arial" w:hAnsi="Arial"/>
                <w:color w:val="1D5C2E"/>
                <w:sz w:val="20"/>
                <w:szCs w:val="20"/>
              </w:rPr>
              <w:t xml:space="preserve">Performance Efficiency</w:t>
            </w:r>
          </w:p>
        </w:tc>
        <w:tc>
          <w:tcPr>
            <w:tcW w:type="dxa" w:w="1800"/>
            <w:tcBorders>
              <w:top w:val="single" w:color="BFBFBF" w:sz="1"/>
              <w:left w:val="single" w:color="BFBFBF" w:sz="1"/>
              <w:bottom w:val="single" w:color="BFBFBF" w:sz="1"/>
              <w:right w:val="single" w:color="BFBFBF" w:sz="1"/>
            </w:tcBorders>
            <w:shd w:fill="E8F5EC" w:val="clear"/>
            <w:tcMar>
              <w:top w:type="dxa" w:w="80"/>
              <w:left w:type="dxa" w:w="120"/>
              <w:bottom w:type="dxa" w:w="80"/>
              <w:right w:type="dxa" w:w="120"/>
            </w:tcMar>
          </w:tcPr>
          <w:p>
            <w:r>
              <w:rPr>
                <w:rFonts w:ascii="Arial" w:cs="Arial" w:eastAsia="Arial" w:hAnsi="Arial"/>
                <w:color w:val="1D5C2E"/>
                <w:sz w:val="20"/>
                <w:szCs w:val="20"/>
              </w:rPr>
              <w:t xml:space="preserve">61 / 100</w:t>
            </w:r>
          </w:p>
        </w:tc>
        <w:tc>
          <w:tcPr>
            <w:tcW w:type="dxa" w:w="2800"/>
            <w:tcBorders>
              <w:top w:val="single" w:color="BFBFBF" w:sz="1"/>
              <w:left w:val="single" w:color="BFBFBF" w:sz="1"/>
              <w:bottom w:val="single" w:color="BFBFBF" w:sz="1"/>
              <w:right w:val="single" w:color="BFBFBF" w:sz="1"/>
            </w:tcBorders>
            <w:shd w:fill="E8F5EC" w:val="clear"/>
            <w:tcMar>
              <w:top w:type="dxa" w:w="80"/>
              <w:left w:type="dxa" w:w="120"/>
              <w:bottom w:type="dxa" w:w="80"/>
              <w:right w:type="dxa" w:w="120"/>
            </w:tcMar>
          </w:tcPr>
          <w:p>
            <w:r>
              <w:rPr>
                <w:rFonts w:ascii="Arial" w:cs="Arial" w:eastAsia="Arial" w:hAnsi="Arial"/>
                <w:color w:val="1D5C2E"/>
                <w:sz w:val="20"/>
                <w:szCs w:val="20"/>
              </w:rPr>
              <w:t xml:space="preserve">87 / 100</w:t>
            </w:r>
          </w:p>
        </w:tc>
        <w:tc>
          <w:tcPr>
            <w:tcW w:type="dxa" w:w="2160"/>
            <w:tcBorders>
              <w:top w:val="single" w:color="BFBFBF" w:sz="1"/>
              <w:left w:val="single" w:color="BFBFBF" w:sz="1"/>
              <w:bottom w:val="single" w:color="BFBFBF" w:sz="1"/>
              <w:right w:val="single" w:color="BFBFBF" w:sz="1"/>
            </w:tcBorders>
            <w:shd w:fill="E8F5EC" w:val="clear"/>
            <w:tcMar>
              <w:top w:type="dxa" w:w="80"/>
              <w:left w:type="dxa" w:w="120"/>
              <w:bottom w:type="dxa" w:w="80"/>
              <w:right w:type="dxa" w:w="120"/>
            </w:tcMar>
          </w:tcPr>
          <w:p>
            <w:r>
              <w:rPr>
                <w:rFonts w:ascii="Arial" w:cs="Arial" w:eastAsia="Arial" w:hAnsi="Arial"/>
                <w:color w:val="1D5C2E"/>
                <w:sz w:val="20"/>
                <w:szCs w:val="20"/>
              </w:rPr>
              <w:t xml:space="preserve">+26</w:t>
            </w:r>
          </w:p>
        </w:tc>
      </w:tr>
      <w:tr>
        <w:tc>
          <w:tcPr>
            <w:tcW w:type="dxa" w:w="2600"/>
            <w:tcBorders>
              <w:top w:val="single" w:color="BFBFBF" w:sz="1"/>
              <w:left w:val="single" w:color="BFBFBF" w:sz="1"/>
              <w:bottom w:val="single" w:color="BFBFBF" w:sz="1"/>
              <w:right w:val="single" w:color="BFBFBF" w:sz="1"/>
            </w:tcBorders>
            <w:shd w:fill="E8F5EC" w:val="clear"/>
            <w:tcMar>
              <w:top w:type="dxa" w:w="80"/>
              <w:left w:type="dxa" w:w="120"/>
              <w:bottom w:type="dxa" w:w="80"/>
              <w:right w:type="dxa" w:w="120"/>
            </w:tcMar>
          </w:tcPr>
          <w:p>
            <w:r>
              <w:rPr>
                <w:rFonts w:ascii="Arial" w:cs="Arial" w:eastAsia="Arial" w:hAnsi="Arial"/>
                <w:color w:val="1D5C2E"/>
                <w:sz w:val="20"/>
                <w:szCs w:val="20"/>
              </w:rPr>
              <w:t xml:space="preserve">Cost Optimisation</w:t>
            </w:r>
          </w:p>
        </w:tc>
        <w:tc>
          <w:tcPr>
            <w:tcW w:type="dxa" w:w="1800"/>
            <w:tcBorders>
              <w:top w:val="single" w:color="BFBFBF" w:sz="1"/>
              <w:left w:val="single" w:color="BFBFBF" w:sz="1"/>
              <w:bottom w:val="single" w:color="BFBFBF" w:sz="1"/>
              <w:right w:val="single" w:color="BFBFBF" w:sz="1"/>
            </w:tcBorders>
            <w:shd w:fill="E8F5EC" w:val="clear"/>
            <w:tcMar>
              <w:top w:type="dxa" w:w="80"/>
              <w:left w:type="dxa" w:w="120"/>
              <w:bottom w:type="dxa" w:w="80"/>
              <w:right w:type="dxa" w:w="120"/>
            </w:tcMar>
          </w:tcPr>
          <w:p>
            <w:r>
              <w:rPr>
                <w:rFonts w:ascii="Arial" w:cs="Arial" w:eastAsia="Arial" w:hAnsi="Arial"/>
                <w:color w:val="1D5C2E"/>
                <w:sz w:val="20"/>
                <w:szCs w:val="20"/>
              </w:rPr>
              <w:t xml:space="preserve">44 / 100</w:t>
            </w:r>
          </w:p>
        </w:tc>
        <w:tc>
          <w:tcPr>
            <w:tcW w:type="dxa" w:w="2800"/>
            <w:tcBorders>
              <w:top w:val="single" w:color="BFBFBF" w:sz="1"/>
              <w:left w:val="single" w:color="BFBFBF" w:sz="1"/>
              <w:bottom w:val="single" w:color="BFBFBF" w:sz="1"/>
              <w:right w:val="single" w:color="BFBFBF" w:sz="1"/>
            </w:tcBorders>
            <w:shd w:fill="E8F5EC" w:val="clear"/>
            <w:tcMar>
              <w:top w:type="dxa" w:w="80"/>
              <w:left w:type="dxa" w:w="120"/>
              <w:bottom w:type="dxa" w:w="80"/>
              <w:right w:type="dxa" w:w="120"/>
            </w:tcMar>
          </w:tcPr>
          <w:p>
            <w:r>
              <w:rPr>
                <w:rFonts w:ascii="Arial" w:cs="Arial" w:eastAsia="Arial" w:hAnsi="Arial"/>
                <w:color w:val="1D5C2E"/>
                <w:sz w:val="20"/>
                <w:szCs w:val="20"/>
              </w:rPr>
              <w:t xml:space="preserve">78 / 100</w:t>
            </w:r>
          </w:p>
        </w:tc>
        <w:tc>
          <w:tcPr>
            <w:tcW w:type="dxa" w:w="2160"/>
            <w:tcBorders>
              <w:top w:val="single" w:color="BFBFBF" w:sz="1"/>
              <w:left w:val="single" w:color="BFBFBF" w:sz="1"/>
              <w:bottom w:val="single" w:color="BFBFBF" w:sz="1"/>
              <w:right w:val="single" w:color="BFBFBF" w:sz="1"/>
            </w:tcBorders>
            <w:shd w:fill="E8F5EC" w:val="clear"/>
            <w:tcMar>
              <w:top w:type="dxa" w:w="80"/>
              <w:left w:type="dxa" w:w="120"/>
              <w:bottom w:type="dxa" w:w="80"/>
              <w:right w:type="dxa" w:w="120"/>
            </w:tcMar>
          </w:tcPr>
          <w:p>
            <w:r>
              <w:rPr>
                <w:rFonts w:ascii="Arial" w:cs="Arial" w:eastAsia="Arial" w:hAnsi="Arial"/>
                <w:color w:val="1D5C2E"/>
                <w:sz w:val="20"/>
                <w:szCs w:val="20"/>
              </w:rPr>
              <w:t xml:space="preserve">+34</w:t>
            </w:r>
          </w:p>
        </w:tc>
      </w:tr>
    </w:tbl>
    <w:p>
      <w:pPr>
        <w:spacing w:after="80" w:before="80"/>
      </w:pPr>
      <w:r>
        <w:t xml:space="preserve"/>
      </w:r>
    </w:p>
    <w:p>
      <w:pPr>
        <w:pStyle w:val="Heading2"/>
        <w:spacing w:after="80" w:before="240"/>
      </w:pPr>
      <w:r>
        <w:rPr>
          <w:rFonts w:ascii="Arial" w:cs="Arial" w:eastAsia="Arial" w:hAnsi="Arial"/>
          <w:b/>
          <w:bCs/>
          <w:color w:val="2E75B6"/>
          <w:sz w:val="26"/>
          <w:szCs w:val="26"/>
        </w:rPr>
        <w:t xml:space="preserve">Recommended Next Steps</w:t>
      </w:r>
    </w:p>
    <w:p>
      <w:pPr>
        <w:pStyle w:val="ListParagraph"/>
        <w:numPr>
          <w:ilvl w:val="0"/>
          <w:numId w:val="2"/>
        </w:numPr>
        <w:spacing w:after="40" w:before="40"/>
      </w:pPr>
      <w:r>
        <w:rPr>
          <w:rFonts w:ascii="Arial" w:cs="Arial" w:eastAsia="Arial" w:hAnsi="Arial"/>
          <w:color w:val="404040"/>
          <w:sz w:val="22"/>
          <w:szCs w:val="22"/>
        </w:rPr>
        <w:t xml:space="preserve">Immediate (before next module cutover): Complete COST-01 (Savings Plan purchase), REL-02 (RTO/RPO workshop), SEC-07 (IR runbook).</w:t>
      </w:r>
    </w:p>
    <w:p>
      <w:pPr>
        <w:pStyle w:val="ListParagraph"/>
        <w:numPr>
          <w:ilvl w:val="0"/>
          <w:numId w:val="2"/>
        </w:numPr>
        <w:spacing w:after="40" w:before="40"/>
      </w:pPr>
      <w:r>
        <w:rPr>
          <w:rFonts w:ascii="Arial" w:cs="Arial" w:eastAsia="Arial" w:hAnsi="Arial"/>
          <w:color w:val="404040"/>
          <w:sz w:val="22"/>
          <w:szCs w:val="22"/>
        </w:rPr>
        <w:t xml:space="preserve">Next sprint (30 days): Complete REL-06 (S3 CRR), SEC-06 (CloudTrail to SIEM).</w:t>
      </w:r>
    </w:p>
    <w:p>
      <w:pPr>
        <w:pStyle w:val="ListParagraph"/>
        <w:numPr>
          <w:ilvl w:val="0"/>
          <w:numId w:val="2"/>
        </w:numPr>
        <w:spacing w:after="40" w:before="40"/>
      </w:pPr>
      <w:r>
        <w:rPr>
          <w:rFonts w:ascii="Arial" w:cs="Arial" w:eastAsia="Arial" w:hAnsi="Arial"/>
          <w:color w:val="404040"/>
          <w:sz w:val="22"/>
          <w:szCs w:val="22"/>
        </w:rPr>
        <w:t xml:space="preserve">Quarterly: Conduct DR drill (RDS restore from backup, measure RTO). Review WAF logs and promote rules from COUNT to BLOCK mode.</w:t>
      </w:r>
    </w:p>
    <w:p>
      <w:pPr>
        <w:pStyle w:val="ListParagraph"/>
        <w:numPr>
          <w:ilvl w:val="0"/>
          <w:numId w:val="2"/>
        </w:numPr>
        <w:spacing w:after="40" w:before="40"/>
      </w:pPr>
      <w:r>
        <w:rPr>
          <w:rFonts w:ascii="Arial" w:cs="Arial" w:eastAsia="Arial" w:hAnsi="Arial"/>
          <w:color w:val="404040"/>
          <w:sz w:val="22"/>
          <w:szCs w:val="22"/>
        </w:rPr>
        <w:t xml:space="preserve">Annual: Repeat Well-Architected Review after each major module cutover. Review Savings Plan coverage and Reserved Instance utilisation.</w:t>
      </w:r>
    </w:p>
    <w:p>
      <w:pPr>
        <w:spacing w:after="80" w:before="80"/>
      </w:pPr>
      <w:r>
        <w:t xml:space="preserve"/>
      </w:r>
    </w:p>
    <w:p>
      <w:pPr>
        <w:pStyle w:val="Heading2"/>
        <w:spacing w:after="80" w:before="240"/>
      </w:pPr>
      <w:r>
        <w:rPr>
          <w:rFonts w:ascii="Arial" w:cs="Arial" w:eastAsia="Arial" w:hAnsi="Arial"/>
          <w:b/>
          <w:bCs/>
          <w:color w:val="2E75B6"/>
          <w:sz w:val="26"/>
          <w:szCs w:val="26"/>
        </w:rPr>
        <w:t xml:space="preserve">Cost Optimisation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Finding</w:t>
            </w:r>
          </w:p>
        </w:tc>
        <w:tc>
          <w:tcPr>
            <w:tcW w:type="dxa" w:w="308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Monthly Saving</w:t>
            </w:r>
          </w:p>
        </w:tc>
        <w:tc>
          <w:tcPr>
            <w:tcW w:type="dxa" w:w="308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rFonts w:ascii="Arial" w:cs="Arial" w:eastAsia="Arial" w:hAnsi="Arial"/>
                <w:b/>
                <w:bCs/>
                <w:color w:val="1F3864"/>
                <w:sz w:val="20"/>
                <w:szCs w:val="20"/>
              </w:rPr>
              <w:t xml:space="preserve">Annual Saving</w:t>
            </w:r>
          </w:p>
        </w:tc>
      </w:tr>
      <w:tr>
        <w:tc>
          <w:tcPr>
            <w:tcW w:type="dxa" w:w="3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COST-01 — Compute Savings Plan</w:t>
            </w:r>
          </w:p>
        </w:tc>
        <w:tc>
          <w:tcPr>
            <w:tcW w:type="dxa" w:w="30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$1,400–1,800</w:t>
            </w:r>
          </w:p>
        </w:tc>
        <w:tc>
          <w:tcPr>
            <w:tcW w:type="dxa" w:w="30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$16,800–21,600</w:t>
            </w:r>
          </w:p>
        </w:tc>
      </w:tr>
      <w:tr>
        <w:tc>
          <w:tcPr>
            <w:tcW w:type="dxa" w:w="3200"/>
            <w:tcBorders>
              <w:top w:val="single" w:color="BFBFBF" w:sz="1"/>
              <w:left w:val="single" w:color="BFBFBF" w:sz="1"/>
              <w:bottom w:val="single" w:color="BFBFBF" w:sz="1"/>
              <w:right w:val="single" w:color="BFBFBF" w:sz="1"/>
            </w:tcBorders>
            <w:shd w:fill="F4F6FA" w:val="clear"/>
            <w:tcMar>
              <w:top w:type="dxa" w:w="80"/>
              <w:left w:type="dxa" w:w="120"/>
              <w:bottom w:type="dxa" w:w="80"/>
              <w:right w:type="dxa" w:w="120"/>
            </w:tcMar>
          </w:tcPr>
          <w:p>
            <w:r>
              <w:rPr>
                <w:rFonts w:ascii="Arial" w:cs="Arial" w:eastAsia="Arial" w:hAnsi="Arial"/>
                <w:color w:val="404040"/>
                <w:sz w:val="20"/>
                <w:szCs w:val="20"/>
              </w:rPr>
              <w:t xml:space="preserve">COST-02 — RDS Rightsizing</w:t>
            </w:r>
          </w:p>
        </w:tc>
        <w:tc>
          <w:tcPr>
            <w:tcW w:type="dxa" w:w="3080"/>
            <w:tcBorders>
              <w:top w:val="single" w:color="BFBFBF" w:sz="1"/>
              <w:left w:val="single" w:color="BFBFBF" w:sz="1"/>
              <w:bottom w:val="single" w:color="BFBFBF" w:sz="1"/>
              <w:right w:val="single" w:color="BFBFBF" w:sz="1"/>
            </w:tcBorders>
            <w:shd w:fill="F4F6FA" w:val="clear"/>
            <w:tcMar>
              <w:top w:type="dxa" w:w="80"/>
              <w:left w:type="dxa" w:w="120"/>
              <w:bottom w:type="dxa" w:w="80"/>
              <w:right w:type="dxa" w:w="120"/>
            </w:tcMar>
          </w:tcPr>
          <w:p>
            <w:r>
              <w:rPr>
                <w:rFonts w:ascii="Arial" w:cs="Arial" w:eastAsia="Arial" w:hAnsi="Arial"/>
                <w:color w:val="404040"/>
                <w:sz w:val="20"/>
                <w:szCs w:val="20"/>
              </w:rPr>
              <w:t xml:space="preserve">$780–850</w:t>
            </w:r>
          </w:p>
        </w:tc>
        <w:tc>
          <w:tcPr>
            <w:tcW w:type="dxa" w:w="3080"/>
            <w:tcBorders>
              <w:top w:val="single" w:color="BFBFBF" w:sz="1"/>
              <w:left w:val="single" w:color="BFBFBF" w:sz="1"/>
              <w:bottom w:val="single" w:color="BFBFBF" w:sz="1"/>
              <w:right w:val="single" w:color="BFBFBF" w:sz="1"/>
            </w:tcBorders>
            <w:shd w:fill="F4F6FA" w:val="clear"/>
            <w:tcMar>
              <w:top w:type="dxa" w:w="80"/>
              <w:left w:type="dxa" w:w="120"/>
              <w:bottom w:type="dxa" w:w="80"/>
              <w:right w:type="dxa" w:w="120"/>
            </w:tcMar>
          </w:tcPr>
          <w:p>
            <w:r>
              <w:rPr>
                <w:rFonts w:ascii="Arial" w:cs="Arial" w:eastAsia="Arial" w:hAnsi="Arial"/>
                <w:color w:val="404040"/>
                <w:sz w:val="20"/>
                <w:szCs w:val="20"/>
              </w:rPr>
              <w:t xml:space="preserve">$9,360–10,200</w:t>
            </w:r>
          </w:p>
        </w:tc>
      </w:tr>
      <w:tr>
        <w:tc>
          <w:tcPr>
            <w:tcW w:type="dxa" w:w="3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COST-03 — S3 Lifecycle Policy</w:t>
            </w:r>
          </w:p>
        </w:tc>
        <w:tc>
          <w:tcPr>
            <w:tcW w:type="dxa" w:w="30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$120–180</w:t>
            </w:r>
          </w:p>
        </w:tc>
        <w:tc>
          <w:tcPr>
            <w:tcW w:type="dxa" w:w="30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$1,440–2,160</w:t>
            </w:r>
          </w:p>
        </w:tc>
      </w:tr>
      <w:tr>
        <w:tc>
          <w:tcPr>
            <w:tcW w:type="dxa" w:w="3200"/>
            <w:tcBorders>
              <w:top w:val="single" w:color="BFBFBF" w:sz="1"/>
              <w:left w:val="single" w:color="BFBFBF" w:sz="1"/>
              <w:bottom w:val="single" w:color="BFBFBF" w:sz="1"/>
              <w:right w:val="single" w:color="BFBFBF" w:sz="1"/>
            </w:tcBorders>
            <w:shd w:fill="F4F6FA" w:val="clear"/>
            <w:tcMar>
              <w:top w:type="dxa" w:w="80"/>
              <w:left w:type="dxa" w:w="120"/>
              <w:bottom w:type="dxa" w:w="80"/>
              <w:right w:type="dxa" w:w="120"/>
            </w:tcMar>
          </w:tcPr>
          <w:p>
            <w:r>
              <w:rPr>
                <w:rFonts w:ascii="Arial" w:cs="Arial" w:eastAsia="Arial" w:hAnsi="Arial"/>
                <w:color w:val="404040"/>
                <w:sz w:val="20"/>
                <w:szCs w:val="20"/>
              </w:rPr>
              <w:t xml:space="preserve">COST-04 — VPC Endpoints</w:t>
            </w:r>
          </w:p>
        </w:tc>
        <w:tc>
          <w:tcPr>
            <w:tcW w:type="dxa" w:w="3080"/>
            <w:tcBorders>
              <w:top w:val="single" w:color="BFBFBF" w:sz="1"/>
              <w:left w:val="single" w:color="BFBFBF" w:sz="1"/>
              <w:bottom w:val="single" w:color="BFBFBF" w:sz="1"/>
              <w:right w:val="single" w:color="BFBFBF" w:sz="1"/>
            </w:tcBorders>
            <w:shd w:fill="F4F6FA" w:val="clear"/>
            <w:tcMar>
              <w:top w:type="dxa" w:w="80"/>
              <w:left w:type="dxa" w:w="120"/>
              <w:bottom w:type="dxa" w:w="80"/>
              <w:right w:type="dxa" w:w="120"/>
            </w:tcMar>
          </w:tcPr>
          <w:p>
            <w:r>
              <w:rPr>
                <w:rFonts w:ascii="Arial" w:cs="Arial" w:eastAsia="Arial" w:hAnsi="Arial"/>
                <w:color w:val="404040"/>
                <w:sz w:val="20"/>
                <w:szCs w:val="20"/>
              </w:rPr>
              <w:t xml:space="preserve">$65–110</w:t>
            </w:r>
          </w:p>
        </w:tc>
        <w:tc>
          <w:tcPr>
            <w:tcW w:type="dxa" w:w="3080"/>
            <w:tcBorders>
              <w:top w:val="single" w:color="BFBFBF" w:sz="1"/>
              <w:left w:val="single" w:color="BFBFBF" w:sz="1"/>
              <w:bottom w:val="single" w:color="BFBFBF" w:sz="1"/>
              <w:right w:val="single" w:color="BFBFBF" w:sz="1"/>
            </w:tcBorders>
            <w:shd w:fill="F4F6FA" w:val="clear"/>
            <w:tcMar>
              <w:top w:type="dxa" w:w="80"/>
              <w:left w:type="dxa" w:w="120"/>
              <w:bottom w:type="dxa" w:w="80"/>
              <w:right w:type="dxa" w:w="120"/>
            </w:tcMar>
          </w:tcPr>
          <w:p>
            <w:r>
              <w:rPr>
                <w:rFonts w:ascii="Arial" w:cs="Arial" w:eastAsia="Arial" w:hAnsi="Arial"/>
                <w:color w:val="404040"/>
                <w:sz w:val="20"/>
                <w:szCs w:val="20"/>
              </w:rPr>
              <w:t xml:space="preserve">$780–1,320</w:t>
            </w:r>
          </w:p>
        </w:tc>
      </w:tr>
      <w:tr>
        <w:tc>
          <w:tcPr>
            <w:tcW w:type="dxa" w:w="3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COST-05 — Detailed Monitoring</w:t>
            </w:r>
          </w:p>
        </w:tc>
        <w:tc>
          <w:tcPr>
            <w:tcW w:type="dxa" w:w="30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$4–8</w:t>
            </w:r>
          </w:p>
        </w:tc>
        <w:tc>
          <w:tcPr>
            <w:tcW w:type="dxa" w:w="30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$50–100</w:t>
            </w:r>
          </w:p>
        </w:tc>
      </w:tr>
      <w:tr>
        <w:tc>
          <w:tcPr>
            <w:tcW w:type="dxa" w:w="3200"/>
            <w:tcBorders>
              <w:top w:val="single" w:color="BFBFBF" w:sz="1"/>
              <w:left w:val="single" w:color="BFBFBF" w:sz="1"/>
              <w:bottom w:val="single" w:color="BFBFBF" w:sz="1"/>
              <w:right w:val="single" w:color="BFBFBF" w:sz="1"/>
            </w:tcBorders>
            <w:shd w:fill="F4F6FA" w:val="clear"/>
            <w:tcMar>
              <w:top w:type="dxa" w:w="80"/>
              <w:left w:type="dxa" w:w="120"/>
              <w:bottom w:type="dxa" w:w="80"/>
              <w:right w:type="dxa" w:w="120"/>
            </w:tcMar>
          </w:tcPr>
          <w:p>
            <w:r>
              <w:rPr>
                <w:rFonts w:ascii="Arial" w:cs="Arial" w:eastAsia="Arial" w:hAnsi="Arial"/>
                <w:color w:val="404040"/>
                <w:sz w:val="20"/>
                <w:szCs w:val="20"/>
              </w:rPr>
              <w:t xml:space="preserve">COST-06 — Snapshot Cleanup</w:t>
            </w:r>
          </w:p>
        </w:tc>
        <w:tc>
          <w:tcPr>
            <w:tcW w:type="dxa" w:w="3080"/>
            <w:tcBorders>
              <w:top w:val="single" w:color="BFBFBF" w:sz="1"/>
              <w:left w:val="single" w:color="BFBFBF" w:sz="1"/>
              <w:bottom w:val="single" w:color="BFBFBF" w:sz="1"/>
              <w:right w:val="single" w:color="BFBFBF" w:sz="1"/>
            </w:tcBorders>
            <w:shd w:fill="F4F6FA" w:val="clear"/>
            <w:tcMar>
              <w:top w:type="dxa" w:w="80"/>
              <w:left w:type="dxa" w:w="120"/>
              <w:bottom w:type="dxa" w:w="80"/>
              <w:right w:type="dxa" w:w="120"/>
            </w:tcMar>
          </w:tcPr>
          <w:p>
            <w:r>
              <w:rPr>
                <w:rFonts w:ascii="Arial" w:cs="Arial" w:eastAsia="Arial" w:hAnsi="Arial"/>
                <w:color w:val="404040"/>
                <w:sz w:val="20"/>
                <w:szCs w:val="20"/>
              </w:rPr>
              <w:t xml:space="preserve">$55–75</w:t>
            </w:r>
          </w:p>
        </w:tc>
        <w:tc>
          <w:tcPr>
            <w:tcW w:type="dxa" w:w="3080"/>
            <w:tcBorders>
              <w:top w:val="single" w:color="BFBFBF" w:sz="1"/>
              <w:left w:val="single" w:color="BFBFBF" w:sz="1"/>
              <w:bottom w:val="single" w:color="BFBFBF" w:sz="1"/>
              <w:right w:val="single" w:color="BFBFBF" w:sz="1"/>
            </w:tcBorders>
            <w:shd w:fill="F4F6FA" w:val="clear"/>
            <w:tcMar>
              <w:top w:type="dxa" w:w="80"/>
              <w:left w:type="dxa" w:w="120"/>
              <w:bottom w:type="dxa" w:w="80"/>
              <w:right w:type="dxa" w:w="120"/>
            </w:tcMar>
          </w:tcPr>
          <w:p>
            <w:r>
              <w:rPr>
                <w:rFonts w:ascii="Arial" w:cs="Arial" w:eastAsia="Arial" w:hAnsi="Arial"/>
                <w:color w:val="404040"/>
                <w:sz w:val="20"/>
                <w:szCs w:val="20"/>
              </w:rPr>
              <w:t xml:space="preserve">$660–900</w:t>
            </w:r>
          </w:p>
        </w:tc>
      </w:tr>
      <w:tr>
        <w:tc>
          <w:tcPr>
            <w:tcW w:type="dxa" w:w="3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TOTAL ESTIMATED SAVING</w:t>
            </w:r>
          </w:p>
        </w:tc>
        <w:tc>
          <w:tcPr>
            <w:tcW w:type="dxa" w:w="30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~$2,400–3,000/month</w:t>
            </w:r>
          </w:p>
        </w:tc>
        <w:tc>
          <w:tcPr>
            <w:tcW w:type="dxa" w:w="308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404040"/>
                <w:sz w:val="20"/>
                <w:szCs w:val="20"/>
              </w:rPr>
              <w:t xml:space="preserve">~$29,000–36,000/year</w:t>
            </w:r>
          </w:p>
        </w:tc>
      </w:tr>
    </w:tbl>
    <w:p>
      <w:pPr>
        <w:spacing w:after="120" w:before="120"/>
      </w:pPr>
      <w:r>
        <w:t xml:space="preserve"/>
      </w:r>
    </w:p>
    <w:p>
      <w:pPr>
        <w:pBdr>
          <w:top w:val="single" w:color="2E75B6" w:sz="4" w:space="4"/>
        </w:pBdr>
        <w:spacing w:before="160"/>
        <w:jc w:val="center"/>
      </w:pPr>
      <w:r>
        <w:rPr>
          <w:rFonts w:ascii="Arial" w:cs="Arial" w:eastAsia="Arial" w:hAnsi="Arial"/>
          <w:i/>
          <w:iCs/>
          <w:color w:val="707070"/>
          <w:sz w:val="18"/>
          <w:szCs w:val="18"/>
        </w:rPr>
        <w:t xml:space="preserve">CONFIDENTIAL — Philip Morris International  |  IBM India  |  Reviewer: Vikas Jain, Cloud Architect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0404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20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2026-05-28T05:15:29.505Z</dcterms:created>
  <dcterms:modified xsi:type="dcterms:W3CDTF">2026-05-28T05:15:29.518Z</dcterms:modified>
</cp:coreProperties>
</file>

<file path=docProps/custom.xml><?xml version="1.0" encoding="utf-8"?>
<Properties xmlns="http://schemas.openxmlformats.org/officeDocument/2006/custom-properties" xmlns:vt="http://schemas.openxmlformats.org/officeDocument/2006/docPropsVTypes"/>
</file>