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60"/>
        <w:jc w:val="left"/>
      </w:pPr>
      <w:r>
        <w:rPr>
          <w:rFonts w:ascii="Arial" w:cs="Arial" w:eastAsia="Arial" w:hAnsi="Arial"/>
          <w:b/>
          <w:bCs/>
          <w:color w:val="1F3864"/>
          <w:sz w:val="46"/>
          <w:szCs w:val="46"/>
        </w:rPr>
        <w:t xml:space="preserve">ARM Index Research Summary</w:t>
      </w:r>
    </w:p>
    <w:p>
      <w:pPr>
        <w:pBdr>
          <w:bottom w:val="single" w:color="2E75B6" w:sz="8" w:space="4"/>
        </w:pBdr>
        <w:spacing w:before="0" w:after="40"/>
      </w:pPr>
      <w:r>
        <w:rPr>
          <w:rFonts w:ascii="Arial" w:cs="Arial" w:eastAsia="Arial" w:hAnsi="Arial"/>
          <w:color w:val="666666"/>
          <w:sz w:val="20"/>
          <w:szCs w:val="20"/>
        </w:rPr>
        <w:t xml:space="preserve">Story: LET-8365  |  Freedom Mortgage / Lakewood  |  Applies to all ARM Products (Conventional &amp; Government)</w:t>
      </w:r>
    </w:p>
    <w:p>
      <w:pPr>
        <w:spacing w:before="40" w:after="40"/>
      </w:pPr>
      <w:r>
        <w:t xml:space="preserve"/>
      </w:r>
    </w:p>
    <w:p>
      <w:pPr>
        <w:pStyle w:val="Heading1"/>
        <w:pBdr>
          <w:bottom w:val="single" w:color="2E75B6" w:sz="6" w:space="3"/>
        </w:pBdr>
        <w:spacing w:before="320" w:after="120"/>
      </w:pPr>
      <w:r>
        <w:rPr>
          <w:rFonts w:ascii="Arial" w:cs="Arial" w:eastAsia="Arial" w:hAnsi="Arial"/>
          <w:b/>
          <w:bCs/>
          <w:color w:val="1F3864"/>
          <w:sz w:val="30"/>
          <w:szCs w:val="30"/>
        </w:rPr>
        <w:t xml:space="preserve">Overview</w:t>
      </w:r>
    </w:p>
    <w:p>
      <w:pPr>
        <w:spacing w:before="60" w:after="60"/>
      </w:pPr>
      <w:r>
        <w:rPr>
          <w:rFonts w:ascii="Arial" w:cs="Arial" w:eastAsia="Arial" w:hAnsi="Arial"/>
          <w:sz w:val="21"/>
          <w:szCs w:val="21"/>
        </w:rPr>
        <w:t xml:space="preserve">This document summarises how ARM index values are populated, selected, and updated at the loan level in the Lakewood system. It covers the scheduled update job, index selection logic, loan-level triggers, and compliance event triggers. Applies to all ARM loan products — both Retail (Call Center) and Wholesale (Table Funded) channels.</w:t>
      </w:r>
    </w:p>
    <w:p>
      <w:pPr>
        <w:spacing w:before="40" w:after="40"/>
      </w:pPr>
      <w:r>
        <w:t xml:space="preserve"/>
      </w:r>
    </w:p>
    <w:p>
      <w:pPr>
        <w:pStyle w:val="Heading1"/>
        <w:pBdr>
          <w:bottom w:val="single" w:color="2E75B6" w:sz="6" w:space="3"/>
        </w:pBdr>
        <w:spacing w:before="320" w:after="120"/>
      </w:pPr>
      <w:r>
        <w:rPr>
          <w:rFonts w:ascii="Arial" w:cs="Arial" w:eastAsia="Arial" w:hAnsi="Arial"/>
          <w:b/>
          <w:bCs/>
          <w:color w:val="1F3864"/>
          <w:sz w:val="30"/>
          <w:szCs w:val="30"/>
        </w:rPr>
        <w:t xml:space="preserve">1.  Scheduled Index Update Job</w:t>
      </w:r>
    </w:p>
    <w:p>
      <w:pPr>
        <w:spacing w:before="60" w:after="60"/>
      </w:pPr>
      <w:r>
        <w:rPr>
          <w:rFonts w:ascii="Arial" w:cs="Arial" w:eastAsia="Arial" w:hAnsi="Arial"/>
          <w:sz w:val="21"/>
          <w:szCs w:val="21"/>
        </w:rPr>
        <w:t xml:space="preserve">The scheduled job Tammi runs the script LoadFFIECrates.sh via the Control-M scheduler. This job fetches the latest ARM index rates from the FFIEC government website and updates the system's index reference data automatically on a recurring schedule.</w:t>
      </w:r>
    </w:p>
    <w:p>
      <w:pPr>
        <w:spacing w:before="40" w:after="40"/>
      </w:pPr>
      <w:r>
        <w:t xml:space="preserve"/>
      </w:r>
    </w:p>
    <w:p>
      <w:pPr>
        <w:spacing w:before="60" w:after="60"/>
      </w:pPr>
      <w:r>
        <w:rPr>
          <w:rFonts w:ascii="Arial" w:cs="Arial" w:eastAsia="Arial" w:hAnsi="Arial"/>
          <w:color w:val="444444"/>
          <w:sz w:val="21"/>
          <w:szCs w:val="21"/>
        </w:rPr>
        <w:t xml:space="preserve">Both fixed and adjustable index rates are fetched in separate runs and stored in the system's index reference table. A count of updated values is returned on each run.</w:t>
      </w:r>
    </w:p>
    <w:p>
      <w:pPr>
        <w:spacing w:before="40" w:after="40"/>
      </w:pPr>
      <w:r>
        <w:t xml:space="preserve"/>
      </w:r>
    </w:p>
    <w:p>
      <w:pPr>
        <w:pStyle w:val="Heading1"/>
        <w:pBdr>
          <w:bottom w:val="single" w:color="2E75B6" w:sz="6" w:space="3"/>
        </w:pBdr>
        <w:spacing w:before="320" w:after="120"/>
      </w:pPr>
      <w:r>
        <w:rPr>
          <w:rFonts w:ascii="Arial" w:cs="Arial" w:eastAsia="Arial" w:hAnsi="Arial"/>
          <w:b/>
          <w:bCs/>
          <w:color w:val="1F3864"/>
          <w:sz w:val="30"/>
          <w:szCs w:val="30"/>
        </w:rPr>
        <w:t xml:space="preserve">2.  How the Index Value is Selected at Loan Level</w:t>
      </w:r>
    </w:p>
    <w:p>
      <w:pPr>
        <w:spacing w:before="60" w:after="60"/>
      </w:pPr>
      <w:r>
        <w:rPr>
          <w:rFonts w:ascii="Arial" w:cs="Arial" w:eastAsia="Arial" w:hAnsi="Arial"/>
          <w:sz w:val="21"/>
          <w:szCs w:val="21"/>
        </w:rPr>
        <w:t xml:space="preserve">The ARM index value on a loan is determined by one of two methods depending on the stage of the loan: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Scenario</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When it happens</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Which value is used</w:t>
            </w:r>
          </w:p>
        </w:tc>
        <w:tc>
          <w:tcPr>
            <w:tcW w:type="dxa" w:w="1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Source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New Loan / Product Selection</w:t>
            </w:r>
          </w:p>
        </w:tc>
        <w:tc>
          <w:tcPr>
            <w:tcW w:type="dxa" w:w="2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When a loan is first registered or the product is changed</w:t>
            </w:r>
          </w:p>
        </w:tc>
        <w:tc>
          <w:tcPr>
            <w:tcW w:type="dxa" w:w="24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Current index value at that moment</w:t>
            </w:r>
          </w:p>
        </w:tc>
        <w:tc>
          <w:tcPr>
            <w:tcW w:type="dxa" w:w="19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ARM Index Current table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Loan reaches Status 50
(Documents Out to Closing)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When loan status changes to 50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Historical index value as of the loan's Scheduled Closing Date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ARM Index History table</w:t>
            </w:r>
          </w:p>
        </w:tc>
      </w:tr>
    </w:tbl>
    <w:p>
      <w:pPr>
        <w:spacing w:before="40" w:after="40"/>
      </w:pPr>
      <w:r>
        <w:t xml:space="preserve"/>
      </w:r>
    </w:p>
    <w:p>
      <w:pPr>
        <w:spacing w:before="60" w:after="60"/>
      </w:pPr>
      <w:r>
        <w:rPr>
          <w:rFonts w:ascii="Arial" w:cs="Arial" w:eastAsia="Arial" w:hAnsi="Arial"/>
          <w:color w:val="444444"/>
          <w:sz w:val="21"/>
          <w:szCs w:val="21"/>
        </w:rPr>
        <w:t xml:space="preserve">For the history-based selection at Status 50, the system looks back through the index history records and picks the rate that was in effect on or before the loan's Scheduled Closing Date. If no Scheduled Closing Date is available on the loan, the index is not updated at this stage.</w:t>
      </w:r>
    </w:p>
    <w:p>
      <w:pPr>
        <w:spacing w:before="40" w:after="40"/>
      </w:pPr>
      <w:r>
        <w:t xml:space="preserve"/>
      </w:r>
    </w:p>
    <w:p>
      <w:pPr>
        <w:pStyle w:val="Heading1"/>
        <w:pBdr>
          <w:bottom w:val="single" w:color="2E75B6" w:sz="6" w:space="3"/>
        </w:pBdr>
        <w:spacing w:before="320" w:after="120"/>
      </w:pPr>
      <w:r>
        <w:rPr>
          <w:rFonts w:ascii="Arial" w:cs="Arial" w:eastAsia="Arial" w:hAnsi="Arial"/>
          <w:b/>
          <w:bCs/>
          <w:color w:val="1F3864"/>
          <w:sz w:val="30"/>
          <w:szCs w:val="30"/>
        </w:rPr>
        <w:t xml:space="preserve">3.  What Triggers the Index to Change on a Loan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000"/>
        <w:gridCol w:w="18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Trigger</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What causes it</w:t>
            </w:r>
          </w:p>
        </w:tc>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What happens</w:t>
            </w:r>
          </w:p>
        </w:tc>
        <w:tc>
          <w:tcPr>
            <w:tcW w:type="dxa" w:w="18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Applies to</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Loan Registration</w:t>
            </w:r>
          </w:p>
        </w:tc>
        <w:tc>
          <w:tcPr>
            <w:tcW w:type="dxa" w:w="24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New loan record is created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Current index value assigned to the loan</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All new ARM loans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Product Change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User changes the product on a loan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Index reset to current value of the new product's ARM index</w:t>
            </w:r>
          </w:p>
        </w:tc>
        <w:tc>
          <w:tcPr>
            <w:tcW w:type="dxa" w:w="1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All ARM loans</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Maintenance Update</w:t>
            </w:r>
          </w:p>
        </w:tc>
        <w:tc>
          <w:tcPr>
            <w:tcW w:type="dxa" w:w="24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ARM index current value updated in maintenance screen</w:t>
            </w:r>
          </w:p>
        </w:tc>
        <w:tc>
          <w:tcPr>
            <w:tcW w:type="dxa" w:w="3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All active loans with status below 60 are updated with the new current value</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All active loans, status &lt; 60</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Status 50 Reached
(Documents Out to Closing)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Loan status changes to 50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Index updated from history based on Scheduled Closing Date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All ARM loans, status = 50</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Data Import Refresh</w:t>
            </w:r>
          </w:p>
        </w:tc>
        <w:tc>
          <w:tcPr>
            <w:tcW w:type="dxa" w:w="24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Post data import process runs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Index values refreshed for all open, non-fixed loans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All open ARM loans</w:t>
            </w:r>
          </w:p>
        </w:tc>
      </w:tr>
    </w:tbl>
    <w:p>
      <w:pPr>
        <w:spacing w:before="40" w:after="40"/>
      </w:pPr>
      <w:r>
        <w:t xml:space="preserve"/>
      </w:r>
    </w:p>
    <w:p>
      <w:pPr>
        <w:spacing w:before="220" w:after="80"/>
      </w:pPr>
      <w:r>
        <w:rPr>
          <w:rFonts w:ascii="Arial" w:cs="Arial" w:eastAsia="Arial" w:hAnsi="Arial"/>
          <w:b/>
          <w:bCs/>
          <w:color w:val="2E75B6"/>
          <w:sz w:val="24"/>
          <w:szCs w:val="24"/>
        </w:rPr>
        <w:t xml:space="preserve">When Do Index Updates Stop?</w:t>
      </w:r>
    </w:p>
    <w:p>
      <w:pPr>
        <w:spacing w:before="60" w:after="60"/>
      </w:pPr>
      <w:r>
        <w:rPr>
          <w:rFonts w:ascii="Arial" w:cs="Arial" w:eastAsia="Arial" w:hAnsi="Arial"/>
          <w:sz w:val="21"/>
          <w:szCs w:val="21"/>
        </w:rPr>
        <w:t xml:space="preserve">Index updates stop once a loan reaches Status 60. Closed loans are excluded from all automatic index update processes across both Retail and Wholesale channels.</w:t>
      </w:r>
    </w:p>
    <w:p>
      <w:pPr>
        <w:spacing w:before="40" w:after="40"/>
      </w:pPr>
      <w:r>
        <w:t xml:space="preserve"/>
      </w:r>
    </w:p>
    <w:p>
      <w:pPr>
        <w:spacing w:before="220" w:after="80"/>
      </w:pPr>
      <w:r>
        <w:rPr>
          <w:rFonts w:ascii="Arial" w:cs="Arial" w:eastAsia="Arial" w:hAnsi="Arial"/>
          <w:b/>
          <w:bCs/>
          <w:color w:val="2E75B6"/>
          <w:sz w:val="24"/>
          <w:szCs w:val="24"/>
        </w:rPr>
        <w:t xml:space="preserve">Rate Lock Date</w:t>
      </w:r>
    </w:p>
    <w:p>
      <w:pPr>
        <w:spacing w:before="60" w:after="60"/>
      </w:pPr>
      <w:r>
        <w:rPr>
          <w:rFonts w:ascii="Arial" w:cs="Arial" w:eastAsia="Arial" w:hAnsi="Arial"/>
          <w:sz w:val="21"/>
          <w:szCs w:val="21"/>
        </w:rPr>
        <w:t xml:space="preserve">There is no link between the rate lock date and the ARM index selection logic. The system uses the Scheduled Closing Date as the reference point for history-based index selection, not the rate lock date.</w:t>
      </w:r>
    </w:p>
    <w:p>
      <w:pPr>
        <w:spacing w:before="40" w:after="40"/>
      </w:pPr>
      <w:r>
        <w:t xml:space="preserve"/>
      </w:r>
    </w:p>
    <w:p>
      <w:pPr>
        <w:spacing w:before="220" w:after="80"/>
      </w:pPr>
      <w:r>
        <w:rPr>
          <w:rFonts w:ascii="Arial" w:cs="Arial" w:eastAsia="Arial" w:hAnsi="Arial"/>
          <w:b/>
          <w:bCs/>
          <w:color w:val="2E75B6"/>
          <w:sz w:val="24"/>
          <w:szCs w:val="24"/>
        </w:rPr>
        <w:t xml:space="preserve">Retail vs Wholesale</w:t>
      </w:r>
    </w:p>
    <w:p>
      <w:pPr>
        <w:spacing w:before="60" w:after="60"/>
      </w:pPr>
      <w:r>
        <w:rPr>
          <w:rFonts w:ascii="Arial" w:cs="Arial" w:eastAsia="Arial" w:hAnsi="Arial"/>
          <w:sz w:val="21"/>
          <w:szCs w:val="21"/>
        </w:rPr>
        <w:t xml:space="preserve">Both Retail (Call Center) and Wholesale (Table Funded) channels follow the same index update logic. Both channels read from and update the same ARM index reference tables at the same time. There is no product-type differentiation in how the index is selected or updated.</w:t>
      </w:r>
    </w:p>
    <w:p>
      <w:pPr>
        <w:spacing w:before="40" w:after="40"/>
      </w:pPr>
      <w:r>
        <w:t xml:space="preserve"/>
      </w:r>
    </w:p>
    <w:p>
      <w:pPr>
        <w:spacing w:before="220" w:after="80"/>
      </w:pPr>
      <w:r>
        <w:rPr>
          <w:rFonts w:ascii="Arial" w:cs="Arial" w:eastAsia="Arial" w:hAnsi="Arial"/>
          <w:b/>
          <w:bCs/>
          <w:color w:val="2E75B6"/>
          <w:sz w:val="24"/>
          <w:szCs w:val="24"/>
        </w:rPr>
        <w:t xml:space="preserve">Assumption Loans</w:t>
      </w:r>
    </w:p>
    <w:p>
      <w:pPr>
        <w:spacing w:before="60" w:after="60"/>
      </w:pPr>
      <w:r>
        <w:rPr>
          <w:rFonts w:ascii="Arial" w:cs="Arial" w:eastAsia="Arial" w:hAnsi="Arial"/>
          <w:sz w:val="21"/>
          <w:szCs w:val="21"/>
        </w:rPr>
        <w:t xml:space="preserve">Assumption loans are out of scope for this spike. They are not affected by the weekly index update job and carry a static rate that does not change after assumption.</w:t>
      </w:r>
    </w:p>
    <w:p>
      <w:pPr>
        <w:spacing w:before="40" w:after="40"/>
      </w:pPr>
      <w:r>
        <w:t xml:space="preserve"/>
      </w:r>
    </w:p>
    <w:p>
      <w:pPr>
        <w:pStyle w:val="Heading1"/>
        <w:pBdr>
          <w:bottom w:val="single" w:color="2E75B6" w:sz="6" w:space="3"/>
        </w:pBdr>
        <w:spacing w:before="320" w:after="120"/>
      </w:pPr>
      <w:r>
        <w:rPr>
          <w:rFonts w:ascii="Arial" w:cs="Arial" w:eastAsia="Arial" w:hAnsi="Arial"/>
          <w:b/>
          <w:bCs/>
          <w:color w:val="1F3864"/>
          <w:sz w:val="30"/>
          <w:szCs w:val="30"/>
        </w:rPr>
        <w:t xml:space="preserve">4.  Compliance Analyzer — Rerun Triggers</w:t>
      </w:r>
    </w:p>
    <w:p>
      <w:pPr>
        <w:spacing w:before="60" w:after="60"/>
      </w:pPr>
      <w:r>
        <w:rPr>
          <w:rFonts w:ascii="Arial" w:cs="Arial" w:eastAsia="Arial" w:hAnsi="Arial"/>
          <w:sz w:val="21"/>
          <w:szCs w:val="21"/>
        </w:rPr>
        <w:t xml:space="preserve">The system automatically queues a Rerun Compliance Analyzer event when any of the following changes occur on a loan: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6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19"/>
                <w:szCs w:val="19"/>
              </w:rPr>
              <w:t xml:space="preserve">Fields / Events That Trigger Rerun</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Disclosures &amp; Financials</w:t>
            </w:r>
          </w:p>
        </w:tc>
        <w:tc>
          <w:tcPr>
            <w:tcW w:type="dxa" w:w="67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First-time CD Disclosure generated, APR updated or recalculated, Finance Charge changed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Loan Details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Loan Term, Loan Purpose, Loan Type, Loan Status, First Payment Date</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Dates</w:t>
            </w:r>
          </w:p>
        </w:tc>
        <w:tc>
          <w:tcPr>
            <w:tcW w:type="dxa" w:w="67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Scheduled Closing Date, Scheduled Disbursement Date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Rate Lock</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Lock Expiry Date, Borrower Lock Date, Our Lock Date</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Address &amp; Party</w:t>
            </w:r>
          </w:p>
        </w:tc>
        <w:tc>
          <w:tcPr>
            <w:tcW w:type="dxa" w:w="67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rFonts w:ascii="Arial" w:cs="Arial" w:eastAsia="Arial" w:hAnsi="Arial"/>
                <w:sz w:val="19"/>
                <w:szCs w:val="19"/>
              </w:rPr>
              <w:t xml:space="preserve">State, County, Mortgage Representative, Loan Officer, Loan Origination Company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Property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Occupancy type</w:t>
            </w:r>
          </w:p>
        </w:tc>
      </w:tr>
    </w:tbl>
    <w:p>
      <w:pPr>
        <w:spacing w:before="40" w:after="40"/>
      </w:pPr>
      <w:r>
        <w:t xml:space="preserve"/>
      </w:r>
    </w:p>
    <w:p>
      <w:pPr>
        <w:pBdr>
          <w:top w:val="single" w:color="CCCCCC" w:sz="4" w:space="6"/>
        </w:pBdr>
        <w:spacing w:before="160" w:after="60"/>
      </w:pPr>
      <w:r>
        <w:rPr>
          <w:rFonts w:ascii="Arial" w:cs="Arial" w:eastAsia="Arial" w:hAnsi="Arial"/>
          <w:i/>
          <w:iCs/>
          <w:color w:val="666666"/>
          <w:sz w:val="19"/>
          <w:szCs w:val="19"/>
        </w:rPr>
        <w:t xml:space="preserve">Note: A detailed technical research document covering all program-level findings, file references, and code traces is available as a companion document to this summary.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Freedom Mortgage — Lakewood Application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666666"/>
        <w:sz w:val="18"/>
        <w:szCs w:val="18"/>
      </w:rPr>
      <w:t xml:space="preserve">LET-8365  |  ARM Index Spike  |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2026-04-07T13:49:10.927Z</dcterms:created>
  <dcterms:modified xsi:type="dcterms:W3CDTF">2026-04-07T13:49:10.930Z</dcterms:modified>
</cp:coreProperties>
</file>

<file path=docProps/custom.xml><?xml version="1.0" encoding="utf-8"?>
<Properties xmlns="http://schemas.openxmlformats.org/officeDocument/2006/custom-properties" xmlns:vt="http://schemas.openxmlformats.org/officeDocument/2006/docPropsVTypes"/>
</file>