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WebView Indexing Field Guide</w:t>
      </w:r>
    </w:p>
    <w:p>
      <w:r>
        <w:rPr>
          <w:i/>
          <w:color w:val="595959"/>
        </w:rPr>
        <w:t>Conversion notes, lifecycle observations, and search metadata</w:t>
      </w:r>
    </w:p>
    <w:p>
      <w:pPr>
        <w:spacing w:after="140" w:line="259" w:lineRule="auto"/>
      </w:pPr>
      <w:r>
        <w:t>This guide collects implementation notes for converting mixed WebView research files into searchable text. It describes the evidence expected from source files, the metadata that should survive conversion, and the observations that help diagnose indexing results.</w:t>
      </w:r>
    </w:p>
    <w:p>
      <w:pPr>
        <w:spacing w:after="140" w:line="259" w:lineRule="auto"/>
      </w:pPr>
      <w:r>
        <w:t>The document intentionally includes headings, tables, code fragments, URLs, repeated terminology, and long paragraphs. Those structures should remain recognizable after conversion so downstream chunking and semantic search can be evaluated against the original content.</w:t>
      </w:r>
    </w:p>
    <w:p>
      <w:pPr>
        <w:pStyle w:val="Heading1"/>
      </w:pPr>
      <w:r>
        <w:t>Source evidence</w:t>
      </w:r>
    </w:p>
    <w:p>
      <w:pPr>
        <w:spacing w:after="140" w:line="259" w:lineRule="auto"/>
      </w:pPr>
      <w:r>
        <w:t>A source record may contain a sheet name, section title, issue label, platform, status, and a free-form note. Missing values should remain missing rather than becoming plausible defaults. A converter should preserve the words around a missing field because the surrounding context often explains the intended meaning.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Mar>
              <w:top w:w="100" w:type="dxa"/>
              <w:start w:w="120" w:type="dxa"/>
              <w:bottom w:w="100" w:type="dxa"/>
              <w:end w:w="120" w:type="dxa"/>
            </w:tcMar>
          </w:tcPr>
          <w:p>
            <w:r>
              <w:rPr>
                <w:b/>
                <w:color w:val="FFFFFF"/>
                <w:sz w:val="18"/>
              </w:rPr>
              <w:t>Field</w:t>
            </w:r>
          </w:p>
        </w:tc>
        <w:tc>
          <w:tcPr>
            <w:tcW w:type="dxa" w:w="3360"/>
            <w:shd w:fill="1F4E78"/>
            <w:vAlign w:val="center"/>
            <w:tcMar>
              <w:top w:w="100" w:type="dxa"/>
              <w:start w:w="120" w:type="dxa"/>
              <w:bottom w:w="100" w:type="dxa"/>
              <w:end w:w="120" w:type="dxa"/>
            </w:tcMar>
          </w:tcPr>
          <w:p>
            <w:r>
              <w:rPr>
                <w:b/>
                <w:color w:val="FFFFFF"/>
                <w:sz w:val="18"/>
              </w:rPr>
              <w:t>Example</w:t>
            </w:r>
          </w:p>
        </w:tc>
        <w:tc>
          <w:tcPr>
            <w:tcW w:type="dxa" w:w="3360"/>
            <w:shd w:fill="1F4E78"/>
            <w:vAlign w:val="center"/>
            <w:tcMar>
              <w:top w:w="100" w:type="dxa"/>
              <w:start w:w="120" w:type="dxa"/>
              <w:bottom w:w="100" w:type="dxa"/>
              <w:end w:w="120" w:type="dxa"/>
            </w:tcMar>
          </w:tcPr>
          <w:p>
            <w:r>
              <w:rPr>
                <w:b/>
                <w:color w:val="FFFFFF"/>
                <w:sz w:val="18"/>
              </w:rPr>
              <w:t>Conversion expectation</w:t>
            </w:r>
          </w:p>
        </w:tc>
      </w:tr>
      <w:tr>
        <w:tc>
          <w:tcPr>
            <w:tcW w:type="dxa" w:w="3360"/>
            <w:vAlign w:val="center"/>
            <w:tcMar>
              <w:top w:w="100" w:type="dxa"/>
              <w:start w:w="120" w:type="dxa"/>
              <w:bottom w:w="100" w:type="dxa"/>
              <w:end w:w="120" w:type="dxa"/>
            </w:tcMar>
          </w:tcPr>
          <w:p>
            <w:pPr>
              <w:spacing w:after="40"/>
            </w:pPr>
            <w:r>
              <w:rPr>
                <w:sz w:val="18"/>
              </w:rPr>
              <w:t>Platform</w:t>
            </w:r>
          </w:p>
        </w:tc>
        <w:tc>
          <w:tcPr>
            <w:tcW w:type="dxa" w:w="3360"/>
            <w:vAlign w:val="center"/>
            <w:tcMar>
              <w:top w:w="100" w:type="dxa"/>
              <w:start w:w="120" w:type="dxa"/>
              <w:bottom w:w="100" w:type="dxa"/>
              <w:end w:w="120" w:type="dxa"/>
            </w:tcMar>
          </w:tcPr>
          <w:p>
            <w:pPr>
              <w:spacing w:after="40"/>
            </w:pPr>
            <w:r>
              <w:rPr>
                <w:sz w:val="18"/>
              </w:rPr>
              <w:t>Android</w:t>
            </w:r>
          </w:p>
        </w:tc>
        <w:tc>
          <w:tcPr>
            <w:tcW w:type="dxa" w:w="3360"/>
            <w:vAlign w:val="center"/>
            <w:tcMar>
              <w:top w:w="100" w:type="dxa"/>
              <w:start w:w="120" w:type="dxa"/>
              <w:bottom w:w="100" w:type="dxa"/>
              <w:end w:w="120" w:type="dxa"/>
            </w:tcMar>
          </w:tcPr>
          <w:p>
            <w:pPr>
              <w:spacing w:after="40"/>
            </w:pPr>
            <w:r>
              <w:rPr>
                <w:sz w:val="18"/>
              </w:rPr>
              <w:t>Keep as searchable text</w:t>
            </w:r>
          </w:p>
        </w:tc>
      </w:tr>
      <w:tr>
        <w:tc>
          <w:tcPr>
            <w:tcW w:type="dxa" w:w="3360"/>
            <w:vAlign w:val="center"/>
            <w:tcMar>
              <w:top w:w="100" w:type="dxa"/>
              <w:start w:w="120" w:type="dxa"/>
              <w:bottom w:w="100" w:type="dxa"/>
              <w:end w:w="120" w:type="dxa"/>
            </w:tcMar>
            <w:shd w:fill="F2F6FA"/>
          </w:tcPr>
          <w:p>
            <w:pPr>
              <w:spacing w:after="40"/>
            </w:pPr>
            <w:r>
              <w:rPr>
                <w:sz w:val="18"/>
              </w:rPr>
              <w:t>Issue</w:t>
            </w:r>
          </w:p>
        </w:tc>
        <w:tc>
          <w:tcPr>
            <w:tcW w:type="dxa" w:w="3360"/>
            <w:vAlign w:val="center"/>
            <w:tcMar>
              <w:top w:w="100" w:type="dxa"/>
              <w:start w:w="120" w:type="dxa"/>
              <w:bottom w:w="100" w:type="dxa"/>
              <w:end w:w="120" w:type="dxa"/>
            </w:tcMar>
            <w:shd w:fill="F2F6FA"/>
          </w:tcPr>
          <w:p>
            <w:pPr>
              <w:spacing w:after="40"/>
            </w:pPr>
            <w:r>
              <w:rPr>
                <w:sz w:val="18"/>
              </w:rPr>
              <w:t>Mixed content not loading</w:t>
            </w:r>
          </w:p>
        </w:tc>
        <w:tc>
          <w:tcPr>
            <w:tcW w:type="dxa" w:w="3360"/>
            <w:vAlign w:val="center"/>
            <w:tcMar>
              <w:top w:w="100" w:type="dxa"/>
              <w:start w:w="120" w:type="dxa"/>
              <w:bottom w:w="100" w:type="dxa"/>
              <w:end w:w="120" w:type="dxa"/>
            </w:tcMar>
            <w:shd w:fill="F2F6FA"/>
          </w:tcPr>
          <w:p>
            <w:pPr>
              <w:spacing w:after="40"/>
            </w:pPr>
            <w:r>
              <w:rPr>
                <w:sz w:val="18"/>
              </w:rPr>
              <w:t>Keep exact wording</w:t>
            </w:r>
          </w:p>
        </w:tc>
      </w:tr>
      <w:tr>
        <w:tc>
          <w:tcPr>
            <w:tcW w:type="dxa" w:w="3360"/>
            <w:vAlign w:val="center"/>
            <w:tcMar>
              <w:top w:w="100" w:type="dxa"/>
              <w:start w:w="120" w:type="dxa"/>
              <w:bottom w:w="100" w:type="dxa"/>
              <w:end w:w="120" w:type="dxa"/>
            </w:tcMar>
          </w:tcPr>
          <w:p>
            <w:pPr>
              <w:spacing w:after="40"/>
            </w:pPr>
            <w:r>
              <w:rPr>
                <w:sz w:val="18"/>
              </w:rPr>
              <w:t>Status</w:t>
            </w:r>
          </w:p>
        </w:tc>
        <w:tc>
          <w:tcPr>
            <w:tcW w:type="dxa" w:w="3360"/>
            <w:vAlign w:val="center"/>
            <w:tcMar>
              <w:top w:w="100" w:type="dxa"/>
              <w:start w:w="120" w:type="dxa"/>
              <w:bottom w:w="100" w:type="dxa"/>
              <w:end w:w="120" w:type="dxa"/>
            </w:tcMar>
          </w:tcPr>
          <w:p>
            <w:pPr>
              <w:spacing w:after="40"/>
            </w:pPr>
            <w:r>
              <w:rPr>
                <w:sz w:val="18"/>
              </w:rPr>
              <w:t>Investigating</w:t>
            </w:r>
          </w:p>
        </w:tc>
        <w:tc>
          <w:tcPr>
            <w:tcW w:type="dxa" w:w="3360"/>
            <w:vAlign w:val="center"/>
            <w:tcMar>
              <w:top w:w="100" w:type="dxa"/>
              <w:start w:w="120" w:type="dxa"/>
              <w:bottom w:w="100" w:type="dxa"/>
              <w:end w:w="120" w:type="dxa"/>
            </w:tcMar>
          </w:tcPr>
          <w:p>
            <w:pPr>
              <w:spacing w:after="40"/>
            </w:pPr>
            <w:r>
              <w:rPr>
                <w:sz w:val="18"/>
              </w:rPr>
              <w:t>Keep value and nearby section</w:t>
            </w:r>
          </w:p>
        </w:tc>
      </w:tr>
      <w:tr>
        <w:tc>
          <w:tcPr>
            <w:tcW w:type="dxa" w:w="3360"/>
            <w:vAlign w:val="center"/>
            <w:tcMar>
              <w:top w:w="100" w:type="dxa"/>
              <w:start w:w="120" w:type="dxa"/>
              <w:bottom w:w="100" w:type="dxa"/>
              <w:end w:w="120" w:type="dxa"/>
            </w:tcMar>
            <w:shd w:fill="F2F6FA"/>
          </w:tcPr>
          <w:p>
            <w:pPr>
              <w:spacing w:after="40"/>
            </w:pPr>
            <w:r>
              <w:rPr>
                <w:sz w:val="18"/>
              </w:rPr>
              <w:t>Reference</w:t>
            </w:r>
          </w:p>
        </w:tc>
        <w:tc>
          <w:tcPr>
            <w:tcW w:type="dxa" w:w="3360"/>
            <w:vAlign w:val="center"/>
            <w:tcMar>
              <w:top w:w="100" w:type="dxa"/>
              <w:start w:w="120" w:type="dxa"/>
              <w:bottom w:w="100" w:type="dxa"/>
              <w:end w:w="120" w:type="dxa"/>
            </w:tcMar>
            <w:shd w:fill="F2F6FA"/>
          </w:tcPr>
          <w:p>
            <w:pPr>
              <w:spacing w:after="40"/>
            </w:pPr>
            <w:r>
              <w:rPr>
                <w:sz w:val="18"/>
              </w:rPr>
              <w:t>https://example.test/webview/1001</w:t>
            </w:r>
          </w:p>
        </w:tc>
        <w:tc>
          <w:tcPr>
            <w:tcW w:type="dxa" w:w="3360"/>
            <w:vAlign w:val="center"/>
            <w:tcMar>
              <w:top w:w="100" w:type="dxa"/>
              <w:start w:w="120" w:type="dxa"/>
              <w:bottom w:w="100" w:type="dxa"/>
              <w:end w:w="120" w:type="dxa"/>
            </w:tcMar>
            <w:shd w:fill="F2F6FA"/>
          </w:tcPr>
          <w:p>
            <w:pPr>
              <w:spacing w:after="40"/>
            </w:pPr>
            <w:r>
              <w:rPr>
                <w:sz w:val="18"/>
              </w:rPr>
              <w:t>Keep URL text</w:t>
            </w:r>
          </w:p>
        </w:tc>
      </w:tr>
    </w:tbl>
    <w:p/>
    <w:p>
      <w:pPr>
        <w:pStyle w:val="Heading1"/>
      </w:pPr>
      <w:r>
        <w:t>React Native WebView 1</w:t>
      </w:r>
    </w:p>
    <w:p>
      <w:pPr>
        <w:spacing w:after="140" w:line="259" w:lineRule="auto"/>
      </w:pPr>
      <w:r>
        <w:t>This section records observation 1.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1</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20</w:t>
            </w:r>
          </w:p>
        </w:tc>
        <w:tc>
          <w:tcPr>
            <w:tcW w:type="dxa" w:w="2520"/>
            <w:vAlign w:val="center"/>
            <w:tcMar>
              <w:top w:w="100" w:type="dxa"/>
              <w:start w:w="120" w:type="dxa"/>
              <w:bottom w:w="100" w:type="dxa"/>
              <w:end w:w="120" w:type="dxa"/>
            </w:tcMar>
          </w:tcPr>
          <w:p>
            <w:pPr>
              <w:spacing w:after="40"/>
            </w:pPr>
            <w:r>
              <w:rPr>
                <w:sz w:val="18"/>
              </w:rPr>
              <w:t>50</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5</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React Native WebView 2</w:t>
      </w:r>
    </w:p>
    <w:p>
      <w:pPr>
        <w:spacing w:after="140" w:line="259" w:lineRule="auto"/>
      </w:pPr>
      <w:r>
        <w:t>This section records observation 2.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React Native WebView 3</w:t>
      </w:r>
    </w:p>
    <w:p>
      <w:pPr>
        <w:spacing w:after="140" w:line="259" w:lineRule="auto"/>
      </w:pPr>
      <w:r>
        <w:t>This section records observation 3.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3</w:t>
      </w:r>
    </w:p>
    <w:p>
      <w:pPr>
        <w:pStyle w:val="Heading1"/>
      </w:pPr>
      <w:r>
        <w:t>WPF WebView2 4</w:t>
      </w:r>
    </w:p>
    <w:p>
      <w:pPr>
        <w:spacing w:after="140" w:line="259" w:lineRule="auto"/>
      </w:pPr>
      <w:r>
        <w:t>This section records observation 4.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41</w:t>
            </w:r>
          </w:p>
        </w:tc>
        <w:tc>
          <w:tcPr>
            <w:tcW w:type="dxa" w:w="2520"/>
            <w:vAlign w:val="center"/>
            <w:tcMar>
              <w:top w:w="100" w:type="dxa"/>
              <w:start w:w="120" w:type="dxa"/>
              <w:bottom w:w="100" w:type="dxa"/>
              <w:end w:w="120" w:type="dxa"/>
            </w:tcMar>
          </w:tcPr>
          <w:p>
            <w:pPr>
              <w:spacing w:after="40"/>
            </w:pPr>
            <w:r>
              <w:rPr>
                <w:sz w:val="18"/>
              </w:rPr>
              <w:t>62</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14</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WPF WebView2 5</w:t>
      </w:r>
    </w:p>
    <w:p>
      <w:pPr>
        <w:spacing w:after="140" w:line="259" w:lineRule="auto"/>
      </w:pPr>
      <w:r>
        <w:t>This section records observation 5.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5</w:t>
      </w:r>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WPF WebView2 6</w:t>
      </w:r>
    </w:p>
    <w:p>
      <w:pPr>
        <w:spacing w:after="140" w:line="259" w:lineRule="auto"/>
      </w:pPr>
      <w:r>
        <w:t>This section records observation 6.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Security review 7</w:t>
      </w:r>
    </w:p>
    <w:p>
      <w:pPr>
        <w:spacing w:after="140" w:line="259" w:lineRule="auto"/>
      </w:pPr>
      <w:r>
        <w:t>This section records observation 7.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62</w:t>
            </w:r>
          </w:p>
        </w:tc>
        <w:tc>
          <w:tcPr>
            <w:tcW w:type="dxa" w:w="2520"/>
            <w:vAlign w:val="center"/>
            <w:tcMar>
              <w:top w:w="100" w:type="dxa"/>
              <w:start w:w="120" w:type="dxa"/>
              <w:bottom w:w="100" w:type="dxa"/>
              <w:end w:w="120" w:type="dxa"/>
            </w:tcMar>
          </w:tcPr>
          <w:p>
            <w:pPr>
              <w:spacing w:after="40"/>
            </w:pPr>
            <w:r>
              <w:rPr>
                <w:sz w:val="18"/>
              </w:rPr>
              <w:t>74</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23</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Security review 8</w:t>
      </w:r>
    </w:p>
    <w:p>
      <w:pPr>
        <w:spacing w:after="140" w:line="259" w:lineRule="auto"/>
      </w:pPr>
      <w:r>
        <w:t>This section records observation 8.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Security review 9</w:t>
      </w:r>
    </w:p>
    <w:p>
      <w:pPr>
        <w:spacing w:after="140" w:line="259" w:lineRule="auto"/>
      </w:pPr>
      <w:r>
        <w:t>This section records observation 9.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9</w:t>
      </w:r>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Performance review 10</w:t>
      </w:r>
    </w:p>
    <w:p>
      <w:pPr>
        <w:spacing w:after="140" w:line="259" w:lineRule="auto"/>
      </w:pPr>
      <w:r>
        <w:t>This section records observation 10.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83</w:t>
            </w:r>
          </w:p>
        </w:tc>
        <w:tc>
          <w:tcPr>
            <w:tcW w:type="dxa" w:w="2520"/>
            <w:vAlign w:val="center"/>
            <w:tcMar>
              <w:top w:w="100" w:type="dxa"/>
              <w:start w:w="120" w:type="dxa"/>
              <w:bottom w:w="100" w:type="dxa"/>
              <w:end w:w="120" w:type="dxa"/>
            </w:tcMar>
          </w:tcPr>
          <w:p>
            <w:pPr>
              <w:spacing w:after="40"/>
            </w:pPr>
            <w:r>
              <w:rPr>
                <w:sz w:val="18"/>
              </w:rPr>
              <w:t>86</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32</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Performance review 11</w:t>
      </w:r>
    </w:p>
    <w:p>
      <w:pPr>
        <w:spacing w:after="140" w:line="259" w:lineRule="auto"/>
      </w:pPr>
      <w:r>
        <w:t>This section records observation 11.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11</w:t>
      </w:r>
    </w:p>
    <w:p>
      <w:pPr>
        <w:pStyle w:val="Heading1"/>
      </w:pPr>
      <w:r>
        <w:t>Performance review 12</w:t>
      </w:r>
    </w:p>
    <w:p>
      <w:pPr>
        <w:spacing w:after="140" w:line="259" w:lineRule="auto"/>
      </w:pPr>
      <w:r>
        <w:t>This section records observation 12.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Index metadata 13</w:t>
      </w:r>
    </w:p>
    <w:p>
      <w:pPr>
        <w:spacing w:after="140" w:line="259" w:lineRule="auto"/>
      </w:pPr>
      <w:r>
        <w:t>This section records observation 13.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13</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104</w:t>
            </w:r>
          </w:p>
        </w:tc>
        <w:tc>
          <w:tcPr>
            <w:tcW w:type="dxa" w:w="2520"/>
            <w:vAlign w:val="center"/>
            <w:tcMar>
              <w:top w:w="100" w:type="dxa"/>
              <w:start w:w="120" w:type="dxa"/>
              <w:bottom w:w="100" w:type="dxa"/>
              <w:end w:w="120" w:type="dxa"/>
            </w:tcMar>
          </w:tcPr>
          <w:p>
            <w:pPr>
              <w:spacing w:after="40"/>
            </w:pPr>
            <w:r>
              <w:rPr>
                <w:sz w:val="18"/>
              </w:rPr>
              <w:t>98</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41</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Index metadata 14</w:t>
      </w:r>
    </w:p>
    <w:p>
      <w:pPr>
        <w:spacing w:after="140" w:line="259" w:lineRule="auto"/>
      </w:pPr>
      <w:r>
        <w:t>This section records observation 14.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Index metadata 15</w:t>
      </w:r>
    </w:p>
    <w:p>
      <w:pPr>
        <w:spacing w:after="140" w:line="259" w:lineRule="auto"/>
      </w:pPr>
      <w:r>
        <w:t>This section records observation 15.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15</w:t>
      </w:r>
    </w:p>
    <w:p>
      <w:pPr>
        <w:pStyle w:val="Heading1"/>
      </w:pPr>
      <w:r>
        <w:t>Search behavior 16</w:t>
      </w:r>
    </w:p>
    <w:p>
      <w:pPr>
        <w:spacing w:after="140" w:line="259" w:lineRule="auto"/>
      </w:pPr>
      <w:r>
        <w:t>This section records observation 16.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125</w:t>
            </w:r>
          </w:p>
        </w:tc>
        <w:tc>
          <w:tcPr>
            <w:tcW w:type="dxa" w:w="2520"/>
            <w:vAlign w:val="center"/>
            <w:tcMar>
              <w:top w:w="100" w:type="dxa"/>
              <w:start w:w="120" w:type="dxa"/>
              <w:bottom w:w="100" w:type="dxa"/>
              <w:end w:w="120" w:type="dxa"/>
            </w:tcMar>
          </w:tcPr>
          <w:p>
            <w:pPr>
              <w:spacing w:after="40"/>
            </w:pPr>
            <w:r>
              <w:rPr>
                <w:sz w:val="18"/>
              </w:rPr>
              <w:t>110</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50</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Search behavior 17</w:t>
      </w:r>
    </w:p>
    <w:p>
      <w:pPr>
        <w:spacing w:after="140" w:line="259" w:lineRule="auto"/>
      </w:pPr>
      <w:r>
        <w:t>This section records observation 17.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17</w:t>
      </w:r>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Search behavior 18</w:t>
      </w:r>
    </w:p>
    <w:p>
      <w:pPr>
        <w:spacing w:after="140" w:line="259" w:lineRule="auto"/>
      </w:pPr>
      <w:r>
        <w:t>This section records observation 18.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React Native WebView 19</w:t>
      </w:r>
    </w:p>
    <w:p>
      <w:pPr>
        <w:spacing w:after="140" w:line="259" w:lineRule="auto"/>
      </w:pPr>
      <w:r>
        <w:t>This section records observation 19.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19</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146</w:t>
            </w:r>
          </w:p>
        </w:tc>
        <w:tc>
          <w:tcPr>
            <w:tcW w:type="dxa" w:w="2520"/>
            <w:vAlign w:val="center"/>
            <w:tcMar>
              <w:top w:w="100" w:type="dxa"/>
              <w:start w:w="120" w:type="dxa"/>
              <w:bottom w:w="100" w:type="dxa"/>
              <w:end w:w="120" w:type="dxa"/>
            </w:tcMar>
          </w:tcPr>
          <w:p>
            <w:pPr>
              <w:spacing w:after="40"/>
            </w:pPr>
            <w:r>
              <w:rPr>
                <w:sz w:val="18"/>
              </w:rPr>
              <w:t>122</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59</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React Native WebView 20</w:t>
      </w:r>
    </w:p>
    <w:p>
      <w:pPr>
        <w:spacing w:after="140" w:line="259" w:lineRule="auto"/>
      </w:pPr>
      <w:r>
        <w:t>This section records observation 20.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React Native WebView 21</w:t>
      </w:r>
    </w:p>
    <w:p>
      <w:pPr>
        <w:spacing w:after="140" w:line="259" w:lineRule="auto"/>
      </w:pPr>
      <w:r>
        <w:t>This section records observation 21.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21</w:t>
      </w:r>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WPF WebView2 22</w:t>
      </w:r>
    </w:p>
    <w:p>
      <w:pPr>
        <w:spacing w:after="140" w:line="259" w:lineRule="auto"/>
      </w:pPr>
      <w:r>
        <w:t>This section records observation 22.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167</w:t>
            </w:r>
          </w:p>
        </w:tc>
        <w:tc>
          <w:tcPr>
            <w:tcW w:type="dxa" w:w="2520"/>
            <w:vAlign w:val="center"/>
            <w:tcMar>
              <w:top w:w="100" w:type="dxa"/>
              <w:start w:w="120" w:type="dxa"/>
              <w:bottom w:w="100" w:type="dxa"/>
              <w:end w:w="120" w:type="dxa"/>
            </w:tcMar>
          </w:tcPr>
          <w:p>
            <w:pPr>
              <w:spacing w:after="40"/>
            </w:pPr>
            <w:r>
              <w:rPr>
                <w:sz w:val="18"/>
              </w:rPr>
              <w:t>134</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68</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WPF WebView2 23</w:t>
      </w:r>
    </w:p>
    <w:p>
      <w:pPr>
        <w:spacing w:after="140" w:line="259" w:lineRule="auto"/>
      </w:pPr>
      <w:r>
        <w:t>This section records observation 23.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23</w:t>
      </w:r>
    </w:p>
    <w:p>
      <w:pPr>
        <w:pStyle w:val="Heading1"/>
      </w:pPr>
      <w:r>
        <w:t>WPF WebView2 24</w:t>
      </w:r>
    </w:p>
    <w:p>
      <w:pPr>
        <w:spacing w:after="140" w:line="259" w:lineRule="auto"/>
      </w:pPr>
      <w:r>
        <w:t>This section records observation 24.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Security review 25</w:t>
      </w:r>
    </w:p>
    <w:p>
      <w:pPr>
        <w:spacing w:after="140" w:line="259" w:lineRule="auto"/>
      </w:pPr>
      <w:r>
        <w:t>This section records observation 25.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25</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188</w:t>
            </w:r>
          </w:p>
        </w:tc>
        <w:tc>
          <w:tcPr>
            <w:tcW w:type="dxa" w:w="2520"/>
            <w:vAlign w:val="center"/>
            <w:tcMar>
              <w:top w:w="100" w:type="dxa"/>
              <w:start w:w="120" w:type="dxa"/>
              <w:bottom w:w="100" w:type="dxa"/>
              <w:end w:w="120" w:type="dxa"/>
            </w:tcMar>
          </w:tcPr>
          <w:p>
            <w:pPr>
              <w:spacing w:after="40"/>
            </w:pPr>
            <w:r>
              <w:rPr>
                <w:sz w:val="18"/>
              </w:rPr>
              <w:t>146</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77</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Security review 26</w:t>
      </w:r>
    </w:p>
    <w:p>
      <w:pPr>
        <w:spacing w:after="140" w:line="259" w:lineRule="auto"/>
      </w:pPr>
      <w:r>
        <w:t>This section records observation 26.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Security review 27</w:t>
      </w:r>
    </w:p>
    <w:p>
      <w:pPr>
        <w:spacing w:after="140" w:line="259" w:lineRule="auto"/>
      </w:pPr>
      <w:r>
        <w:t>This section records observation 27.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27</w:t>
      </w:r>
    </w:p>
    <w:p>
      <w:pPr>
        <w:pStyle w:val="Heading1"/>
      </w:pPr>
      <w:r>
        <w:t>Performance review 28</w:t>
      </w:r>
    </w:p>
    <w:p>
      <w:pPr>
        <w:spacing w:after="140" w:line="259" w:lineRule="auto"/>
      </w:pPr>
      <w:r>
        <w:t>This section records observation 28.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209</w:t>
            </w:r>
          </w:p>
        </w:tc>
        <w:tc>
          <w:tcPr>
            <w:tcW w:type="dxa" w:w="2520"/>
            <w:vAlign w:val="center"/>
            <w:tcMar>
              <w:top w:w="100" w:type="dxa"/>
              <w:start w:w="120" w:type="dxa"/>
              <w:bottom w:w="100" w:type="dxa"/>
              <w:end w:w="120" w:type="dxa"/>
            </w:tcMar>
          </w:tcPr>
          <w:p>
            <w:pPr>
              <w:spacing w:after="40"/>
            </w:pPr>
            <w:r>
              <w:rPr>
                <w:sz w:val="18"/>
              </w:rPr>
              <w:t>158</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86</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Performance review 29</w:t>
      </w:r>
    </w:p>
    <w:p>
      <w:pPr>
        <w:spacing w:after="140" w:line="259" w:lineRule="auto"/>
      </w:pPr>
      <w:r>
        <w:t>This section records observation 29.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29</w:t>
      </w:r>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Performance review 30</w:t>
      </w:r>
    </w:p>
    <w:p>
      <w:pPr>
        <w:spacing w:after="140" w:line="259" w:lineRule="auto"/>
      </w:pPr>
      <w:r>
        <w:t>This section records observation 30.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Index metadata 31</w:t>
      </w:r>
    </w:p>
    <w:p>
      <w:pPr>
        <w:spacing w:after="140" w:line="259" w:lineRule="auto"/>
      </w:pPr>
      <w:r>
        <w:t>This section records observation 31.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31</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230</w:t>
            </w:r>
          </w:p>
        </w:tc>
        <w:tc>
          <w:tcPr>
            <w:tcW w:type="dxa" w:w="2520"/>
            <w:vAlign w:val="center"/>
            <w:tcMar>
              <w:top w:w="100" w:type="dxa"/>
              <w:start w:w="120" w:type="dxa"/>
              <w:bottom w:w="100" w:type="dxa"/>
              <w:end w:w="120" w:type="dxa"/>
            </w:tcMar>
          </w:tcPr>
          <w:p>
            <w:pPr>
              <w:spacing w:after="40"/>
            </w:pPr>
            <w:r>
              <w:rPr>
                <w:sz w:val="18"/>
              </w:rPr>
              <w:t>170</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95</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Index metadata 32</w:t>
      </w:r>
    </w:p>
    <w:p>
      <w:pPr>
        <w:spacing w:after="140" w:line="259" w:lineRule="auto"/>
      </w:pPr>
      <w:r>
        <w:t>This section records observation 32.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Index metadata 33</w:t>
      </w:r>
    </w:p>
    <w:p>
      <w:pPr>
        <w:spacing w:after="140" w:line="259" w:lineRule="auto"/>
      </w:pPr>
      <w:r>
        <w:t>This section records observation 33.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33</w:t>
      </w:r>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Search behavior 34</w:t>
      </w:r>
    </w:p>
    <w:p>
      <w:pPr>
        <w:spacing w:after="140" w:line="259" w:lineRule="auto"/>
      </w:pPr>
      <w:r>
        <w:t>This section records observation 34.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251</w:t>
            </w:r>
          </w:p>
        </w:tc>
        <w:tc>
          <w:tcPr>
            <w:tcW w:type="dxa" w:w="2520"/>
            <w:vAlign w:val="center"/>
            <w:tcMar>
              <w:top w:w="100" w:type="dxa"/>
              <w:start w:w="120" w:type="dxa"/>
              <w:bottom w:w="100" w:type="dxa"/>
              <w:end w:w="120" w:type="dxa"/>
            </w:tcMar>
          </w:tcPr>
          <w:p>
            <w:pPr>
              <w:spacing w:after="40"/>
            </w:pPr>
            <w:r>
              <w:rPr>
                <w:sz w:val="18"/>
              </w:rPr>
              <w:t>182</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104</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Search behavior 35</w:t>
      </w:r>
    </w:p>
    <w:p>
      <w:pPr>
        <w:spacing w:after="140" w:line="259" w:lineRule="auto"/>
      </w:pPr>
      <w:r>
        <w:t>This section records observation 35.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35</w:t>
      </w:r>
    </w:p>
    <w:p>
      <w:pPr>
        <w:pStyle w:val="Heading1"/>
      </w:pPr>
      <w:r>
        <w:t>Search behavior 36</w:t>
      </w:r>
    </w:p>
    <w:p>
      <w:pPr>
        <w:spacing w:after="140" w:line="259" w:lineRule="auto"/>
      </w:pPr>
      <w:r>
        <w:t>This section records observation 36.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React Native WebView 37</w:t>
      </w:r>
    </w:p>
    <w:p>
      <w:pPr>
        <w:spacing w:after="140" w:line="259" w:lineRule="auto"/>
      </w:pPr>
      <w:r>
        <w:t>This section records observation 37.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37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272</w:t>
            </w:r>
          </w:p>
        </w:tc>
        <w:tc>
          <w:tcPr>
            <w:tcW w:type="dxa" w:w="2520"/>
            <w:vAlign w:val="center"/>
            <w:tcMar>
              <w:top w:w="100" w:type="dxa"/>
              <w:start w:w="120" w:type="dxa"/>
              <w:bottom w:w="100" w:type="dxa"/>
              <w:end w:w="120" w:type="dxa"/>
            </w:tcMar>
          </w:tcPr>
          <w:p>
            <w:pPr>
              <w:spacing w:after="40"/>
            </w:pPr>
            <w:r>
              <w:rPr>
                <w:sz w:val="18"/>
              </w:rPr>
              <w:t>194</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113</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React Native WebView 38</w:t>
      </w:r>
    </w:p>
    <w:p>
      <w:pPr>
        <w:spacing w:after="140" w:line="259" w:lineRule="auto"/>
      </w:pPr>
      <w:r>
        <w:t>This section records observation 38.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React Native WebView 39</w:t>
      </w:r>
    </w:p>
    <w:p>
      <w:pPr>
        <w:spacing w:after="140" w:line="259" w:lineRule="auto"/>
      </w:pPr>
      <w:r>
        <w:t>This section records observation 39.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39</w:t>
      </w:r>
    </w:p>
    <w:p>
      <w:pPr>
        <w:pStyle w:val="Heading1"/>
      </w:pPr>
      <w:r>
        <w:t>WPF WebView2 40</w:t>
      </w:r>
    </w:p>
    <w:p>
      <w:pPr>
        <w:spacing w:after="140" w:line="259" w:lineRule="auto"/>
      </w:pPr>
      <w:r>
        <w:t>This section records observation 40.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293</w:t>
            </w:r>
          </w:p>
        </w:tc>
        <w:tc>
          <w:tcPr>
            <w:tcW w:type="dxa" w:w="2520"/>
            <w:vAlign w:val="center"/>
            <w:tcMar>
              <w:top w:w="100" w:type="dxa"/>
              <w:start w:w="120" w:type="dxa"/>
              <w:bottom w:w="100" w:type="dxa"/>
              <w:end w:w="120" w:type="dxa"/>
            </w:tcMar>
          </w:tcPr>
          <w:p>
            <w:pPr>
              <w:spacing w:after="40"/>
            </w:pPr>
            <w:r>
              <w:rPr>
                <w:sz w:val="18"/>
              </w:rPr>
              <w:t>206</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122</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WPF WebView2 41</w:t>
      </w:r>
    </w:p>
    <w:p>
      <w:pPr>
        <w:spacing w:after="140" w:line="259" w:lineRule="auto"/>
      </w:pPr>
      <w:r>
        <w:t>This section records observation 41.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41</w:t>
      </w:r>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WPF WebView2 42</w:t>
      </w:r>
    </w:p>
    <w:p>
      <w:pPr>
        <w:spacing w:after="140" w:line="259" w:lineRule="auto"/>
      </w:pPr>
      <w:r>
        <w:t>This section records observation 42.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Security review 43</w:t>
      </w:r>
    </w:p>
    <w:p>
      <w:pPr>
        <w:spacing w:after="140" w:line="259" w:lineRule="auto"/>
      </w:pPr>
      <w:r>
        <w:t>This section records observation 43.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const bridgeMessage = { id: 'evt-00001', status: 'queued' };</w:t>
        <w:br/>
        <w:t>// reference item 43</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314</w:t>
            </w:r>
          </w:p>
        </w:tc>
        <w:tc>
          <w:tcPr>
            <w:tcW w:type="dxa" w:w="2520"/>
            <w:vAlign w:val="center"/>
            <w:tcMar>
              <w:top w:w="100" w:type="dxa"/>
              <w:start w:w="120" w:type="dxa"/>
              <w:bottom w:w="100" w:type="dxa"/>
              <w:end w:w="120" w:type="dxa"/>
            </w:tcMar>
          </w:tcPr>
          <w:p>
            <w:pPr>
              <w:spacing w:after="40"/>
            </w:pPr>
            <w:r>
              <w:rPr>
                <w:sz w:val="18"/>
              </w:rPr>
              <w:t>218</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131</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Security review 44</w:t>
      </w:r>
    </w:p>
    <w:p>
      <w:pPr>
        <w:spacing w:after="140" w:line="259" w:lineRule="auto"/>
      </w:pPr>
      <w:r>
        <w:t>This section records observation 44.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pStyle w:val="Heading1"/>
      </w:pPr>
      <w:r>
        <w:t>Security review 45</w:t>
      </w:r>
    </w:p>
    <w:p>
      <w:pPr>
        <w:spacing w:after="140" w:line="259" w:lineRule="auto"/>
      </w:pPr>
      <w:r>
        <w:t>This section records observation 45.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p>
      <w:pPr>
        <w:spacing w:before="60" w:after="160"/>
        <w:ind w:left="432" w:right="432"/>
      </w:pPr>
      <w:r>
        <w:rPr>
          <w:rFonts w:ascii="Consolas" w:hAnsi="Consolas"/>
          <w:color w:val="1F4E79"/>
          <w:sz w:val="18"/>
        </w:rPr>
        <w:t>await webView.EnsureCoreWebView2Async(null);</w:t>
        <w:br/>
        <w:t>// reference item 45</w:t>
      </w:r>
    </w:p>
    <w:p>
      <w:pPr>
        <w:spacing w:after="140" w:line="259" w:lineRule="auto"/>
      </w:pPr>
      <w:r>
        <w:t>Reference URL: https://developer.microsoft.com/en-us/microsoft-edge/webview2/. Related URL: https://github.com/react-native-webview/react-native-webview. The URLs are part of the source evidence and should remain visible in the converted text.</w:t>
      </w:r>
    </w:p>
    <w:p>
      <w:pPr>
        <w:pStyle w:val="Heading1"/>
      </w:pPr>
      <w:r>
        <w:t>Performance review 46</w:t>
      </w:r>
    </w:p>
    <w:p>
      <w:pPr>
        <w:spacing w:after="140" w:line="259" w:lineRule="auto"/>
      </w:pPr>
      <w:r>
        <w:t>This section records observation 46. React Native uses a native web view underneath the JavaScript surface, while WPF WebView2 depends on an embedded Chromium runtime and a profile directory. The visible behavior can change after navigation, reload, offline transitions, or a change in the security policy. The indexing pipeline should preserve those conditions so a search result remains explainable.</w:t>
      </w:r>
    </w:p>
    <w:p>
      <w:pPr>
        <w:spacing w:after="140" w:line="259" w:lineRule="auto"/>
      </w:pPr>
      <w:r>
        <w:t>The same terminology may appear in a table, a short note, and a code fragment. The relation between those pieces matters. A chunk that keeps only the code line can answer a syntax query but lose the platform, risk, and reproduction details. A chunk that keeps only the prose can miss the exact method name used by an engineer.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100" w:type="dxa"/>
              <w:start w:w="120" w:type="dxa"/>
              <w:bottom w:w="100" w:type="dxa"/>
              <w:end w:w="120" w:type="dxa"/>
            </w:tcMar>
          </w:tcPr>
          <w:p>
            <w:r>
              <w:rPr>
                <w:b/>
                <w:color w:val="FFFFFF"/>
                <w:sz w:val="18"/>
              </w:rPr>
              <w:t>Measure</w:t>
            </w:r>
          </w:p>
        </w:tc>
        <w:tc>
          <w:tcPr>
            <w:tcW w:type="dxa" w:w="2520"/>
            <w:shd w:fill="1F4E78"/>
            <w:vAlign w:val="center"/>
            <w:tcMar>
              <w:top w:w="100" w:type="dxa"/>
              <w:start w:w="120" w:type="dxa"/>
              <w:bottom w:w="100" w:type="dxa"/>
              <w:end w:w="120" w:type="dxa"/>
            </w:tcMar>
          </w:tcPr>
          <w:p>
            <w:r>
              <w:rPr>
                <w:b/>
                <w:color w:val="FFFFFF"/>
                <w:sz w:val="18"/>
              </w:rPr>
              <w:t>Observed</w:t>
            </w:r>
          </w:p>
        </w:tc>
        <w:tc>
          <w:tcPr>
            <w:tcW w:type="dxa" w:w="2520"/>
            <w:shd w:fill="1F4E78"/>
            <w:vAlign w:val="center"/>
            <w:tcMar>
              <w:top w:w="100" w:type="dxa"/>
              <w:start w:w="120" w:type="dxa"/>
              <w:bottom w:w="100" w:type="dxa"/>
              <w:end w:w="120" w:type="dxa"/>
            </w:tcMar>
          </w:tcPr>
          <w:p>
            <w:r>
              <w:rPr>
                <w:b/>
                <w:color w:val="FFFFFF"/>
                <w:sz w:val="18"/>
              </w:rPr>
              <w:t>Expected</w:t>
            </w:r>
          </w:p>
        </w:tc>
        <w:tc>
          <w:tcPr>
            <w:tcW w:type="dxa" w:w="2520"/>
            <w:shd w:fill="1F4E78"/>
            <w:vAlign w:val="center"/>
            <w:tcMar>
              <w:top w:w="100" w:type="dxa"/>
              <w:start w:w="120" w:type="dxa"/>
              <w:bottom w:w="100" w:type="dxa"/>
              <w:end w:w="120" w:type="dxa"/>
            </w:tcMar>
          </w:tcPr>
          <w:p>
            <w:r>
              <w:rPr>
                <w:b/>
                <w:color w:val="FFFFFF"/>
                <w:sz w:val="18"/>
              </w:rPr>
              <w:t>Note</w:t>
            </w:r>
          </w:p>
        </w:tc>
      </w:tr>
      <w:tr>
        <w:tc>
          <w:tcPr>
            <w:tcW w:type="dxa" w:w="2520"/>
            <w:vAlign w:val="center"/>
            <w:tcMar>
              <w:top w:w="100" w:type="dxa"/>
              <w:start w:w="120" w:type="dxa"/>
              <w:bottom w:w="100" w:type="dxa"/>
              <w:end w:w="120" w:type="dxa"/>
            </w:tcMar>
          </w:tcPr>
          <w:p>
            <w:pPr>
              <w:spacing w:after="40"/>
            </w:pPr>
            <w:r>
              <w:rPr>
                <w:sz w:val="18"/>
              </w:rPr>
              <w:t>Latency ms</w:t>
            </w:r>
          </w:p>
        </w:tc>
        <w:tc>
          <w:tcPr>
            <w:tcW w:type="dxa" w:w="2520"/>
            <w:vAlign w:val="center"/>
            <w:tcMar>
              <w:top w:w="100" w:type="dxa"/>
              <w:start w:w="120" w:type="dxa"/>
              <w:bottom w:w="100" w:type="dxa"/>
              <w:end w:w="120" w:type="dxa"/>
            </w:tcMar>
          </w:tcPr>
          <w:p>
            <w:pPr>
              <w:spacing w:after="40"/>
            </w:pPr>
            <w:r>
              <w:rPr>
                <w:sz w:val="18"/>
              </w:rPr>
              <w:t>335</w:t>
            </w:r>
          </w:p>
        </w:tc>
        <w:tc>
          <w:tcPr>
            <w:tcW w:type="dxa" w:w="2520"/>
            <w:vAlign w:val="center"/>
            <w:tcMar>
              <w:top w:w="100" w:type="dxa"/>
              <w:start w:w="120" w:type="dxa"/>
              <w:bottom w:w="100" w:type="dxa"/>
              <w:end w:w="120" w:type="dxa"/>
            </w:tcMar>
          </w:tcPr>
          <w:p>
            <w:pPr>
              <w:spacing w:after="40"/>
            </w:pPr>
            <w:r>
              <w:rPr>
                <w:sz w:val="18"/>
              </w:rPr>
              <w:t>230</w:t>
            </w:r>
          </w:p>
        </w:tc>
        <w:tc>
          <w:tcPr>
            <w:tcW w:type="dxa" w:w="2520"/>
            <w:vAlign w:val="center"/>
            <w:tcMar>
              <w:top w:w="100" w:type="dxa"/>
              <w:start w:w="120" w:type="dxa"/>
              <w:bottom w:w="100" w:type="dxa"/>
              <w:end w:w="120" w:type="dxa"/>
            </w:tcMar>
          </w:tcPr>
          <w:p>
            <w:pPr>
              <w:spacing w:after="40"/>
            </w:pPr>
            <w:r>
              <w:rPr>
                <w:sz w:val="18"/>
              </w:rPr>
              <w:t>Measured after reload</w:t>
            </w:r>
          </w:p>
        </w:tc>
      </w:tr>
      <w:tr>
        <w:tc>
          <w:tcPr>
            <w:tcW w:type="dxa" w:w="2520"/>
            <w:vAlign w:val="center"/>
            <w:tcMar>
              <w:top w:w="100" w:type="dxa"/>
              <w:start w:w="120" w:type="dxa"/>
              <w:bottom w:w="100" w:type="dxa"/>
              <w:end w:w="120" w:type="dxa"/>
            </w:tcMar>
            <w:shd w:fill="F2F6FA"/>
          </w:tcPr>
          <w:p>
            <w:pPr>
              <w:spacing w:after="40"/>
            </w:pPr>
            <w:r>
              <w:rPr>
                <w:sz w:val="18"/>
              </w:rPr>
              <w:t>Payload KB</w:t>
            </w:r>
          </w:p>
        </w:tc>
        <w:tc>
          <w:tcPr>
            <w:tcW w:type="dxa" w:w="2520"/>
            <w:vAlign w:val="center"/>
            <w:tcMar>
              <w:top w:w="100" w:type="dxa"/>
              <w:start w:w="120" w:type="dxa"/>
              <w:bottom w:w="100" w:type="dxa"/>
              <w:end w:w="120" w:type="dxa"/>
            </w:tcMar>
            <w:shd w:fill="F2F6FA"/>
          </w:tcPr>
          <w:p>
            <w:pPr>
              <w:spacing w:after="40"/>
            </w:pPr>
            <w:r>
              <w:rPr>
                <w:sz w:val="18"/>
              </w:rPr>
              <w:t>140</w:t>
            </w:r>
          </w:p>
        </w:tc>
        <w:tc>
          <w:tcPr>
            <w:tcW w:type="dxa" w:w="2520"/>
            <w:vAlign w:val="center"/>
            <w:tcMar>
              <w:top w:w="100" w:type="dxa"/>
              <w:start w:w="120" w:type="dxa"/>
              <w:bottom w:w="100" w:type="dxa"/>
              <w:end w:w="120" w:type="dxa"/>
            </w:tcMar>
            <w:shd w:fill="F2F6FA"/>
          </w:tcPr>
          <w:p>
            <w:pPr>
              <w:spacing w:after="40"/>
            </w:pPr>
            <w:r>
              <w:rPr>
                <w:sz w:val="18"/>
              </w:rPr>
              <w:t>bounded</w:t>
            </w:r>
          </w:p>
        </w:tc>
        <w:tc>
          <w:tcPr>
            <w:tcW w:type="dxa" w:w="2520"/>
            <w:vAlign w:val="center"/>
            <w:tcMar>
              <w:top w:w="100" w:type="dxa"/>
              <w:start w:w="120" w:type="dxa"/>
              <w:bottom w:w="100" w:type="dxa"/>
              <w:end w:w="120" w:type="dxa"/>
            </w:tcMar>
            <w:shd w:fill="F2F6FA"/>
          </w:tcPr>
          <w:p>
            <w:pPr>
              <w:spacing w:after="40"/>
            </w:pPr>
            <w:r>
              <w:rPr>
                <w:sz w:val="18"/>
              </w:rPr>
              <w:t>Large payloads may cross chunk boundaries</w:t>
            </w:r>
          </w:p>
        </w:tc>
      </w:tr>
      <w:tr>
        <w:tc>
          <w:tcPr>
            <w:tcW w:type="dxa" w:w="2520"/>
            <w:vAlign w:val="center"/>
            <w:tcMar>
              <w:top w:w="100" w:type="dxa"/>
              <w:start w:w="120" w:type="dxa"/>
              <w:bottom w:w="100" w:type="dxa"/>
              <w:end w:w="120" w:type="dxa"/>
            </w:tcMar>
          </w:tcPr>
          <w:p>
            <w:pPr>
              <w:spacing w:after="40"/>
            </w:pPr>
            <w:r>
              <w:rPr>
                <w:sz w:val="18"/>
              </w:rPr>
              <w:t>Status</w:t>
            </w:r>
          </w:p>
        </w:tc>
        <w:tc>
          <w:tcPr>
            <w:tcW w:type="dxa" w:w="2520"/>
            <w:vAlign w:val="center"/>
            <w:tcMar>
              <w:top w:w="100" w:type="dxa"/>
              <w:start w:w="120" w:type="dxa"/>
              <w:bottom w:w="100" w:type="dxa"/>
              <w:end w:w="120" w:type="dxa"/>
            </w:tcMar>
          </w:tcPr>
          <w:p>
            <w:pPr>
              <w:spacing w:after="40"/>
            </w:pPr>
            <w:r>
              <w:rPr>
                <w:sz w:val="18"/>
              </w:rPr>
              <w:t>open</w:t>
            </w:r>
          </w:p>
        </w:tc>
        <w:tc>
          <w:tcPr>
            <w:tcW w:type="dxa" w:w="2520"/>
            <w:vAlign w:val="center"/>
            <w:tcMar>
              <w:top w:w="100" w:type="dxa"/>
              <w:start w:w="120" w:type="dxa"/>
              <w:bottom w:w="100" w:type="dxa"/>
              <w:end w:w="120" w:type="dxa"/>
            </w:tcMar>
          </w:tcPr>
          <w:p>
            <w:pPr>
              <w:spacing w:after="40"/>
            </w:pPr>
            <w:r>
              <w:rPr>
                <w:sz w:val="18"/>
              </w:rPr>
              <w:t>tracked</w:t>
            </w:r>
          </w:p>
        </w:tc>
        <w:tc>
          <w:tcPr>
            <w:tcW w:type="dxa" w:w="2520"/>
            <w:vAlign w:val="center"/>
            <w:tcMar>
              <w:top w:w="100" w:type="dxa"/>
              <w:start w:w="120" w:type="dxa"/>
              <w:bottom w:w="100" w:type="dxa"/>
              <w:end w:w="120" w:type="dxa"/>
            </w:tcMar>
          </w:tcPr>
          <w:p>
            <w:pPr>
              <w:spacing w:after="40"/>
            </w:pPr>
            <w:r>
              <w:rPr>
                <w:sz w:val="18"/>
              </w:rPr>
              <w:t>Keep the label unchanged</w:t>
            </w:r>
          </w:p>
        </w:tc>
      </w:tr>
    </w:tbl>
    <w:p/>
    <w:p>
      <w:pPr>
        <w:pStyle w:val="Heading1"/>
      </w:pPr>
      <w:r>
        <w:t>Metadata and incremental indexing</w:t>
      </w:r>
    </w:p>
    <w:p>
      <w:pPr>
        <w:spacing w:after="140" w:line="259" w:lineRule="auto"/>
      </w:pPr>
      <w:r>
        <w:t>A converted chunk should retain file path, file name, extension, sheet or section context where available, chunk index, chunk total, modified time, and indexed time. Changed files should be removed from the vector store before re-indexing. Deleted files should not reappear during the normal folder traversal.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Mar>
              <w:top w:w="100" w:type="dxa"/>
              <w:start w:w="120" w:type="dxa"/>
              <w:bottom w:w="100" w:type="dxa"/>
              <w:end w:w="120" w:type="dxa"/>
            </w:tcMar>
          </w:tcPr>
          <w:p>
            <w:r>
              <w:rPr>
                <w:b/>
                <w:color w:val="FFFFFF"/>
                <w:sz w:val="18"/>
              </w:rPr>
              <w:t>Metadata</w:t>
            </w:r>
          </w:p>
        </w:tc>
        <w:tc>
          <w:tcPr>
            <w:tcW w:type="dxa" w:w="3360"/>
            <w:shd w:fill="1F4E78"/>
            <w:vAlign w:val="center"/>
            <w:tcMar>
              <w:top w:w="100" w:type="dxa"/>
              <w:start w:w="120" w:type="dxa"/>
              <w:bottom w:w="100" w:type="dxa"/>
              <w:end w:w="120" w:type="dxa"/>
            </w:tcMar>
          </w:tcPr>
          <w:p>
            <w:r>
              <w:rPr>
                <w:b/>
                <w:color w:val="FFFFFF"/>
                <w:sz w:val="18"/>
              </w:rPr>
              <w:t>Example</w:t>
            </w:r>
          </w:p>
        </w:tc>
        <w:tc>
          <w:tcPr>
            <w:tcW w:type="dxa" w:w="3360"/>
            <w:shd w:fill="1F4E78"/>
            <w:vAlign w:val="center"/>
            <w:tcMar>
              <w:top w:w="100" w:type="dxa"/>
              <w:start w:w="120" w:type="dxa"/>
              <w:bottom w:w="100" w:type="dxa"/>
              <w:end w:w="120" w:type="dxa"/>
            </w:tcMar>
          </w:tcPr>
          <w:p>
            <w:r>
              <w:rPr>
                <w:b/>
                <w:color w:val="FFFFFF"/>
                <w:sz w:val="18"/>
              </w:rPr>
              <w:t>Why it matters</w:t>
            </w:r>
          </w:p>
        </w:tc>
      </w:tr>
      <w:tr>
        <w:tc>
          <w:tcPr>
            <w:tcW w:type="dxa" w:w="3360"/>
            <w:vAlign w:val="center"/>
            <w:tcMar>
              <w:top w:w="100" w:type="dxa"/>
              <w:start w:w="120" w:type="dxa"/>
              <w:bottom w:w="100" w:type="dxa"/>
              <w:end w:w="120" w:type="dxa"/>
            </w:tcMar>
          </w:tcPr>
          <w:p>
            <w:pPr>
              <w:spacing w:after="40"/>
            </w:pPr>
            <w:r>
              <w:rPr>
                <w:sz w:val="18"/>
              </w:rPr>
              <w:t>file_path</w:t>
            </w:r>
          </w:p>
        </w:tc>
        <w:tc>
          <w:tcPr>
            <w:tcW w:type="dxa" w:w="3360"/>
            <w:vAlign w:val="center"/>
            <w:tcMar>
              <w:top w:w="100" w:type="dxa"/>
              <w:start w:w="120" w:type="dxa"/>
              <w:bottom w:w="100" w:type="dxa"/>
              <w:end w:w="120" w:type="dxa"/>
            </w:tcMar>
          </w:tcPr>
          <w:p>
            <w:pPr>
              <w:spacing w:after="40"/>
            </w:pPr>
            <w:r>
              <w:rPr>
                <w:sz w:val="18"/>
              </w:rPr>
              <w:t>\\pc135\D\Desktop\SampleFolders\04_office\Messy_WebView_Research.xlsx</w:t>
            </w:r>
          </w:p>
        </w:tc>
        <w:tc>
          <w:tcPr>
            <w:tcW w:type="dxa" w:w="3360"/>
            <w:vAlign w:val="center"/>
            <w:tcMar>
              <w:top w:w="100" w:type="dxa"/>
              <w:start w:w="120" w:type="dxa"/>
              <w:bottom w:w="100" w:type="dxa"/>
              <w:end w:w="120" w:type="dxa"/>
            </w:tcMar>
          </w:tcPr>
          <w:p>
            <w:pPr>
              <w:spacing w:after="40"/>
            </w:pPr>
            <w:r>
              <w:rPr>
                <w:sz w:val="18"/>
              </w:rPr>
              <w:t>Trace result to source</w:t>
            </w:r>
          </w:p>
        </w:tc>
      </w:tr>
      <w:tr>
        <w:tc>
          <w:tcPr>
            <w:tcW w:type="dxa" w:w="3360"/>
            <w:vAlign w:val="center"/>
            <w:tcMar>
              <w:top w:w="100" w:type="dxa"/>
              <w:start w:w="120" w:type="dxa"/>
              <w:bottom w:w="100" w:type="dxa"/>
              <w:end w:w="120" w:type="dxa"/>
            </w:tcMar>
            <w:shd w:fill="F2F6FA"/>
          </w:tcPr>
          <w:p>
            <w:pPr>
              <w:spacing w:after="40"/>
            </w:pPr>
            <w:r>
              <w:rPr>
                <w:sz w:val="18"/>
              </w:rPr>
              <w:t>file_extension</w:t>
            </w:r>
          </w:p>
        </w:tc>
        <w:tc>
          <w:tcPr>
            <w:tcW w:type="dxa" w:w="3360"/>
            <w:vAlign w:val="center"/>
            <w:tcMar>
              <w:top w:w="100" w:type="dxa"/>
              <w:start w:w="120" w:type="dxa"/>
              <w:bottom w:w="100" w:type="dxa"/>
              <w:end w:w="120" w:type="dxa"/>
            </w:tcMar>
            <w:shd w:fill="F2F6FA"/>
          </w:tcPr>
          <w:p>
            <w:pPr>
              <w:spacing w:after="40"/>
            </w:pPr>
            <w:r>
              <w:rPr>
                <w:sz w:val="18"/>
              </w:rPr>
              <w:t>.xlsx</w:t>
            </w:r>
          </w:p>
        </w:tc>
        <w:tc>
          <w:tcPr>
            <w:tcW w:type="dxa" w:w="3360"/>
            <w:vAlign w:val="center"/>
            <w:tcMar>
              <w:top w:w="100" w:type="dxa"/>
              <w:start w:w="120" w:type="dxa"/>
              <w:bottom w:w="100" w:type="dxa"/>
              <w:end w:w="120" w:type="dxa"/>
            </w:tcMar>
            <w:shd w:fill="F2F6FA"/>
          </w:tcPr>
          <w:p>
            <w:pPr>
              <w:spacing w:after="40"/>
            </w:pPr>
            <w:r>
              <w:rPr>
                <w:sz w:val="18"/>
              </w:rPr>
              <w:t>Filter and classify</w:t>
            </w:r>
          </w:p>
        </w:tc>
      </w:tr>
      <w:tr>
        <w:tc>
          <w:tcPr>
            <w:tcW w:type="dxa" w:w="3360"/>
            <w:vAlign w:val="center"/>
            <w:tcMar>
              <w:top w:w="100" w:type="dxa"/>
              <w:start w:w="120" w:type="dxa"/>
              <w:bottom w:w="100" w:type="dxa"/>
              <w:end w:w="120" w:type="dxa"/>
            </w:tcMar>
          </w:tcPr>
          <w:p>
            <w:pPr>
              <w:spacing w:after="40"/>
            </w:pPr>
            <w:r>
              <w:rPr>
                <w:sz w:val="18"/>
              </w:rPr>
              <w:t>chunk_index</w:t>
            </w:r>
          </w:p>
        </w:tc>
        <w:tc>
          <w:tcPr>
            <w:tcW w:type="dxa" w:w="3360"/>
            <w:vAlign w:val="center"/>
            <w:tcMar>
              <w:top w:w="100" w:type="dxa"/>
              <w:start w:w="120" w:type="dxa"/>
              <w:bottom w:w="100" w:type="dxa"/>
              <w:end w:w="120" w:type="dxa"/>
            </w:tcMar>
          </w:tcPr>
          <w:p>
            <w:pPr>
              <w:spacing w:after="40"/>
            </w:pPr>
            <w:r>
              <w:rPr>
                <w:sz w:val="18"/>
              </w:rPr>
              <w:t>3</w:t>
            </w:r>
          </w:p>
        </w:tc>
        <w:tc>
          <w:tcPr>
            <w:tcW w:type="dxa" w:w="3360"/>
            <w:vAlign w:val="center"/>
            <w:tcMar>
              <w:top w:w="100" w:type="dxa"/>
              <w:start w:w="120" w:type="dxa"/>
              <w:bottom w:w="100" w:type="dxa"/>
              <w:end w:w="120" w:type="dxa"/>
            </w:tcMar>
          </w:tcPr>
          <w:p>
            <w:pPr>
              <w:spacing w:after="40"/>
            </w:pPr>
            <w:r>
              <w:rPr>
                <w:sz w:val="18"/>
              </w:rPr>
              <w:t>Open the matching excerpt</w:t>
            </w:r>
          </w:p>
        </w:tc>
      </w:tr>
      <w:tr>
        <w:tc>
          <w:tcPr>
            <w:tcW w:type="dxa" w:w="3360"/>
            <w:vAlign w:val="center"/>
            <w:tcMar>
              <w:top w:w="100" w:type="dxa"/>
              <w:start w:w="120" w:type="dxa"/>
              <w:bottom w:w="100" w:type="dxa"/>
              <w:end w:w="120" w:type="dxa"/>
            </w:tcMar>
            <w:shd w:fill="F2F6FA"/>
          </w:tcPr>
          <w:p>
            <w:pPr>
              <w:spacing w:after="40"/>
            </w:pPr>
            <w:r>
              <w:rPr>
                <w:sz w:val="18"/>
              </w:rPr>
              <w:t>chunk_total</w:t>
            </w:r>
          </w:p>
        </w:tc>
        <w:tc>
          <w:tcPr>
            <w:tcW w:type="dxa" w:w="3360"/>
            <w:vAlign w:val="center"/>
            <w:tcMar>
              <w:top w:w="100" w:type="dxa"/>
              <w:start w:w="120" w:type="dxa"/>
              <w:bottom w:w="100" w:type="dxa"/>
              <w:end w:w="120" w:type="dxa"/>
            </w:tcMar>
            <w:shd w:fill="F2F6FA"/>
          </w:tcPr>
          <w:p>
            <w:pPr>
              <w:spacing w:after="40"/>
            </w:pPr>
            <w:r>
              <w:rPr>
                <w:sz w:val="18"/>
              </w:rPr>
              <w:t>12</w:t>
            </w:r>
          </w:p>
        </w:tc>
        <w:tc>
          <w:tcPr>
            <w:tcW w:type="dxa" w:w="3360"/>
            <w:vAlign w:val="center"/>
            <w:tcMar>
              <w:top w:w="100" w:type="dxa"/>
              <w:start w:w="120" w:type="dxa"/>
              <w:bottom w:w="100" w:type="dxa"/>
              <w:end w:w="120" w:type="dxa"/>
            </w:tcMar>
            <w:shd w:fill="F2F6FA"/>
          </w:tcPr>
          <w:p>
            <w:pPr>
              <w:spacing w:after="40"/>
            </w:pPr>
            <w:r>
              <w:rPr>
                <w:sz w:val="18"/>
              </w:rPr>
              <w:t>Show context and progress</w:t>
            </w:r>
          </w:p>
        </w:tc>
      </w:tr>
      <w:tr>
        <w:tc>
          <w:tcPr>
            <w:tcW w:type="dxa" w:w="3360"/>
            <w:vAlign w:val="center"/>
            <w:tcMar>
              <w:top w:w="100" w:type="dxa"/>
              <w:start w:w="120" w:type="dxa"/>
              <w:bottom w:w="100" w:type="dxa"/>
              <w:end w:w="120" w:type="dxa"/>
            </w:tcMar>
          </w:tcPr>
          <w:p>
            <w:pPr>
              <w:spacing w:after="40"/>
            </w:pPr>
            <w:r>
              <w:rPr>
                <w:sz w:val="18"/>
              </w:rPr>
              <w:t>file_modified_at</w:t>
            </w:r>
          </w:p>
        </w:tc>
        <w:tc>
          <w:tcPr>
            <w:tcW w:type="dxa" w:w="3360"/>
            <w:vAlign w:val="center"/>
            <w:tcMar>
              <w:top w:w="100" w:type="dxa"/>
              <w:start w:w="120" w:type="dxa"/>
              <w:bottom w:w="100" w:type="dxa"/>
              <w:end w:w="120" w:type="dxa"/>
            </w:tcMar>
          </w:tcPr>
          <w:p>
            <w:pPr>
              <w:spacing w:after="40"/>
            </w:pPr>
            <w:r>
              <w:rPr>
                <w:sz w:val="18"/>
              </w:rPr>
              <w:t>2026-10-03T00:00:00Z</w:t>
            </w:r>
          </w:p>
        </w:tc>
        <w:tc>
          <w:tcPr>
            <w:tcW w:type="dxa" w:w="3360"/>
            <w:vAlign w:val="center"/>
            <w:tcMar>
              <w:top w:w="100" w:type="dxa"/>
              <w:start w:w="120" w:type="dxa"/>
              <w:bottom w:w="100" w:type="dxa"/>
              <w:end w:w="120" w:type="dxa"/>
            </w:tcMar>
          </w:tcPr>
          <w:p>
            <w:pPr>
              <w:spacing w:after="40"/>
            </w:pPr>
            <w:r>
              <w:rPr>
                <w:sz w:val="18"/>
              </w:rPr>
              <w:t>Skip unchanged files</w:t>
            </w:r>
          </w:p>
        </w:tc>
      </w:tr>
    </w:tbl>
    <w:p/>
    <w:p>
      <w:pPr>
        <w:spacing w:after="140" w:line="259" w:lineRule="auto"/>
      </w:pPr>
      <w:r>
        <w:t>A path list may contain a drive-letter path from a backup export. The path normalizer should convert it to the configured UNC representation while keeping enough information to troubleshoot the mapping. Repeated paths in a changed list should be handled idempotently.</w:t>
      </w:r>
    </w:p>
    <w:p>
      <w:pPr>
        <w:pStyle w:val="Heading1"/>
      </w:pPr>
      <w:r>
        <w:t>Search terms</w:t>
      </w:r>
    </w:p>
    <w:p>
      <w:pPr>
        <w:spacing w:after="140" w:line="259" w:lineRule="auto"/>
      </w:pPr>
      <w:r>
        <w:t>Useful exact terms for regression searches include mixed content, EnsureCoreWebView2Async, PostWebMessageAsString, injected JavaScript, file_modified_at, chunk_index, MarkItDown, and evt-00001. A semantic search query may use a synonym, but the returned excerpt should still provide the original technical phrase.</w:t>
      </w:r>
    </w:p>
    <w:p>
      <w:pPr>
        <w:pStyle w:val="ListBullet"/>
      </w:pPr>
      <w:r>
        <w:rPr>
          <w:b/>
        </w:rPr>
        <w:t xml:space="preserve">Query fixture 1: </w:t>
      </w:r>
      <w:r>
        <w:t>mixed content security risk on Android</w:t>
      </w:r>
    </w:p>
    <w:p>
      <w:pPr>
        <w:pStyle w:val="ListBullet"/>
      </w:pPr>
      <w:r>
        <w:rPr>
          <w:b/>
        </w:rPr>
        <w:t xml:space="preserve">Query fixture 2: </w:t>
      </w:r>
      <w:r>
        <w:t>large bridge payload latency</w:t>
      </w:r>
    </w:p>
    <w:p>
      <w:pPr>
        <w:pStyle w:val="ListBullet"/>
      </w:pPr>
      <w:r>
        <w:rPr>
          <w:b/>
        </w:rPr>
        <w:t xml:space="preserve">Query fixture 3: </w:t>
      </w:r>
      <w:r>
        <w:t>WPF runtime initialization</w:t>
      </w:r>
    </w:p>
    <w:p>
      <w:pPr>
        <w:pStyle w:val="ListBullet"/>
      </w:pPr>
      <w:r>
        <w:rPr>
          <w:b/>
        </w:rPr>
        <w:t xml:space="preserve">Query fixture 4: </w:t>
      </w:r>
      <w:r>
        <w:t>sheet name preservation</w:t>
      </w:r>
    </w:p>
    <w:p>
      <w:pPr>
        <w:pStyle w:val="ListBullet"/>
      </w:pPr>
      <w:r>
        <w:rPr>
          <w:b/>
        </w:rPr>
        <w:t xml:space="preserve">Query fixture 5: </w:t>
      </w:r>
      <w:r>
        <w:t>duplicate content hash</w:t>
      </w:r>
    </w:p>
    <w:p>
      <w:pPr>
        <w:pStyle w:val="ListBullet"/>
      </w:pPr>
      <w:r>
        <w:rPr>
          <w:b/>
        </w:rPr>
        <w:t xml:space="preserve">Query fixture 6: </w:t>
      </w:r>
      <w:r>
        <w:t>changed and deleted XML paths</w:t>
      </w:r>
    </w:p>
    <w:p>
      <w:pPr>
        <w:pStyle w:val="ListBullet"/>
      </w:pPr>
      <w:r>
        <w:rPr>
          <w:b/>
        </w:rPr>
        <w:t xml:space="preserve">Query fixture 7: </w:t>
      </w:r>
      <w:r>
        <w:t>mixed content security risk on Android</w:t>
      </w:r>
    </w:p>
    <w:p>
      <w:pPr>
        <w:pStyle w:val="ListBullet"/>
      </w:pPr>
      <w:r>
        <w:rPr>
          <w:b/>
        </w:rPr>
        <w:t xml:space="preserve">Query fixture 8: </w:t>
      </w:r>
      <w:r>
        <w:t>large bridge payload latency</w:t>
      </w:r>
    </w:p>
    <w:p>
      <w:pPr>
        <w:pStyle w:val="ListBullet"/>
      </w:pPr>
      <w:r>
        <w:rPr>
          <w:b/>
        </w:rPr>
        <w:t xml:space="preserve">Query fixture 9: </w:t>
      </w:r>
      <w:r>
        <w:t>WPF runtime initialization</w:t>
      </w:r>
    </w:p>
    <w:p>
      <w:pPr>
        <w:pStyle w:val="ListBullet"/>
      </w:pPr>
      <w:r>
        <w:rPr>
          <w:b/>
        </w:rPr>
        <w:t xml:space="preserve">Query fixture 10: </w:t>
      </w:r>
      <w:r>
        <w:t>sheet name preservation</w:t>
      </w:r>
    </w:p>
    <w:p>
      <w:pPr>
        <w:pStyle w:val="ListBullet"/>
      </w:pPr>
      <w:r>
        <w:rPr>
          <w:b/>
        </w:rPr>
        <w:t xml:space="preserve">Query fixture 11: </w:t>
      </w:r>
      <w:r>
        <w:t>duplicate content hash</w:t>
      </w:r>
    </w:p>
    <w:p>
      <w:pPr>
        <w:pStyle w:val="ListBullet"/>
      </w:pPr>
      <w:r>
        <w:rPr>
          <w:b/>
        </w:rPr>
        <w:t xml:space="preserve">Query fixture 12: </w:t>
      </w:r>
      <w:r>
        <w:t>changed and deleted XML paths</w:t>
      </w:r>
    </w:p>
    <w:p>
      <w:pPr>
        <w:pStyle w:val="ListBullet"/>
      </w:pPr>
      <w:r>
        <w:rPr>
          <w:b/>
        </w:rPr>
        <w:t xml:space="preserve">Query fixture 13: </w:t>
      </w:r>
      <w:r>
        <w:t>mixed content security risk on Android</w:t>
      </w:r>
    </w:p>
    <w:p>
      <w:pPr>
        <w:pStyle w:val="ListBullet"/>
      </w:pPr>
      <w:r>
        <w:rPr>
          <w:b/>
        </w:rPr>
        <w:t xml:space="preserve">Query fixture 14: </w:t>
      </w:r>
      <w:r>
        <w:t>large bridge payload latency</w:t>
      </w:r>
    </w:p>
    <w:p>
      <w:pPr>
        <w:pStyle w:val="ListBullet"/>
      </w:pPr>
      <w:r>
        <w:rPr>
          <w:b/>
        </w:rPr>
        <w:t xml:space="preserve">Query fixture 15: </w:t>
      </w:r>
      <w:r>
        <w:t>WPF runtime initialization</w:t>
      </w:r>
    </w:p>
    <w:p>
      <w:pPr>
        <w:pStyle w:val="ListBullet"/>
      </w:pPr>
      <w:r>
        <w:rPr>
          <w:b/>
        </w:rPr>
        <w:t xml:space="preserve">Query fixture 16: </w:t>
      </w:r>
      <w:r>
        <w:t>sheet name preservation</w:t>
      </w:r>
    </w:p>
    <w:p>
      <w:pPr>
        <w:pStyle w:val="ListBullet"/>
      </w:pPr>
      <w:r>
        <w:rPr>
          <w:b/>
        </w:rPr>
        <w:t xml:space="preserve">Query fixture 17: </w:t>
      </w:r>
      <w:r>
        <w:t>duplicate content hash</w:t>
      </w:r>
    </w:p>
    <w:p>
      <w:pPr>
        <w:pStyle w:val="ListBullet"/>
      </w:pPr>
      <w:r>
        <w:rPr>
          <w:b/>
        </w:rPr>
        <w:t xml:space="preserve">Query fixture 18: </w:t>
      </w:r>
      <w:r>
        <w:t>changed and deleted XML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5959"/>
        <w:sz w:val="16"/>
      </w:rPr>
      <w:t>WebView Indexing Field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WebView Indexing Field Guide</dc:title>
  <dc:subject>Mixed document conversion and search metadata</dc:subject>
  <dc:creator>Test Corpus</dc:creator>
  <cp:keywords/>
  <dc:description>generated by python-docx</dc:description>
  <cp:lastModifiedBy/>
  <cp:revision>1</cp:revision>
  <dcterms:created xsi:type="dcterms:W3CDTF">2013-12-23T23:15:00Z</dcterms:created>
  <dcterms:modified xsi:type="dcterms:W3CDTF">2013-12-23T23:15:00Z</dcterms:modified>
  <cp:category/>
</cp:coreProperties>
</file>