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de-DE"/>
        </w:rPr>
        <w:t xml:space="preserve">SIMATS </w:t>
      </w:r>
      <w:r>
        <w:rPr>
          <w:spacing w:val="-2"/>
          <w:rtl w:val="0"/>
          <w:lang w:val="de-DE"/>
        </w:rPr>
        <w:t>ENGINEERING</w:t>
      </w:r>
    </w:p>
    <w:p>
      <w:pPr>
        <w:pStyle w:val="Heading 2"/>
      </w:pPr>
      <w:r>
        <w:rPr>
          <w:rtl w:val="0"/>
          <w:lang w:val="es-ES_tradnl"/>
        </w:rPr>
        <w:t>ASSESSMENT TOOL 2 : Scenario-</w:t>
      </w:r>
      <w:r>
        <w:rPr>
          <w:spacing w:val="-2"/>
          <w:rtl w:val="0"/>
          <w:lang w:val="en-US"/>
        </w:rPr>
        <w:t>Based</w:t>
      </w:r>
    </w:p>
    <w:p>
      <w:pPr>
        <w:pStyle w:val="Body Text"/>
        <w:spacing w:before="34"/>
        <w:rPr>
          <w:b w:val="1"/>
          <w:bCs w:val="1"/>
          <w:sz w:val="20"/>
          <w:szCs w:val="20"/>
        </w:rPr>
      </w:pPr>
    </w:p>
    <w:p>
      <w:pPr>
        <w:pStyle w:val="Body Text"/>
        <w:sectPr>
          <w:headerReference w:type="default" r:id="rId4"/>
          <w:footerReference w:type="default" r:id="rId5"/>
          <w:pgSz w:w="12240" w:h="15840" w:orient="portrait"/>
          <w:pgMar w:top="760" w:right="720" w:bottom="280" w:left="360" w:header="720" w:footer="720"/>
          <w:bidi w:val="0"/>
        </w:sectPr>
      </w:pPr>
      <w:r/>
    </w:p>
    <w:p>
      <w:pPr>
        <w:pStyle w:val="Body"/>
        <w:tabs>
          <w:tab w:val="left" w:pos="2983"/>
        </w:tabs>
        <w:spacing w:before="92"/>
        <w:ind w:left="424" w:firstLine="0"/>
        <w:rPr>
          <w:sz w:val="25"/>
          <w:szCs w:val="25"/>
        </w:rPr>
      </w:pPr>
      <w:r>
        <w:rPr>
          <w:b w:val="1"/>
          <w:bCs w:val="1"/>
          <w:sz w:val="25"/>
          <w:szCs w:val="25"/>
          <w:rtl w:val="0"/>
          <w:lang w:val="en-US"/>
        </w:rPr>
        <w:t xml:space="preserve">COURSE </w:t>
      </w:r>
      <w:r>
        <w:rPr>
          <w:b w:val="1"/>
          <w:bCs w:val="1"/>
          <w:spacing w:val="-2"/>
          <w:sz w:val="25"/>
          <w:szCs w:val="25"/>
          <w:rtl w:val="0"/>
        </w:rPr>
        <w:t>NAME:</w:t>
      </w:r>
      <w:r>
        <w:rPr>
          <w:b w:val="1"/>
          <w:bCs w:val="1"/>
          <w:sz w:val="25"/>
          <w:szCs w:val="25"/>
        </w:rPr>
        <w:tab/>
      </w:r>
      <w:r>
        <w:rPr>
          <w:sz w:val="25"/>
          <w:szCs w:val="25"/>
          <w:rtl w:val="0"/>
        </w:rPr>
        <w:t>Cloud</w:t>
      </w:r>
      <w:r>
        <w:rPr>
          <w:spacing w:val="-2"/>
          <w:sz w:val="25"/>
          <w:szCs w:val="25"/>
          <w:rtl w:val="0"/>
          <w:lang w:val="en-US"/>
        </w:rPr>
        <w:t xml:space="preserve"> Computing</w:t>
      </w:r>
    </w:p>
    <w:p>
      <w:pPr>
        <w:pStyle w:val="Body"/>
        <w:ind w:left="2983" w:firstLine="0"/>
        <w:rPr>
          <w:sz w:val="25"/>
          <w:szCs w:val="25"/>
        </w:rPr>
      </w:pPr>
      <w:r>
        <w:rPr>
          <w:sz w:val="25"/>
          <w:szCs w:val="25"/>
          <w:rtl w:val="0"/>
        </w:rPr>
        <w:t>and</w:t>
      </w:r>
      <w:r>
        <w:rPr>
          <w:spacing w:val="-18"/>
          <w:sz w:val="25"/>
          <w:szCs w:val="25"/>
          <w:rtl w:val="0"/>
        </w:rPr>
        <w:t xml:space="preserve"> </w:t>
      </w:r>
      <w:r>
        <w:rPr>
          <w:sz w:val="25"/>
          <w:szCs w:val="25"/>
          <w:rtl w:val="0"/>
        </w:rPr>
        <w:t>Big</w:t>
      </w:r>
      <w:r>
        <w:rPr>
          <w:spacing w:val="-17"/>
          <w:sz w:val="25"/>
          <w:szCs w:val="25"/>
          <w:rtl w:val="0"/>
        </w:rPr>
        <w:t xml:space="preserve"> </w:t>
      </w:r>
      <w:r>
        <w:rPr>
          <w:sz w:val="25"/>
          <w:szCs w:val="25"/>
          <w:rtl w:val="0"/>
          <w:lang w:val="nl-NL"/>
        </w:rPr>
        <w:t xml:space="preserve">Data </w:t>
      </w:r>
      <w:r>
        <w:rPr>
          <w:spacing w:val="-2"/>
          <w:sz w:val="25"/>
          <w:szCs w:val="25"/>
          <w:rtl w:val="0"/>
        </w:rPr>
        <w:t>Analytics</w:t>
      </w:r>
    </w:p>
    <w:p>
      <w:pPr>
        <w:pStyle w:val="Body"/>
        <w:tabs>
          <w:tab w:val="left" w:pos="2983"/>
        </w:tabs>
        <w:spacing w:before="92"/>
        <w:ind w:left="424" w:firstLine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tabs>
          <w:tab w:val="left" w:pos="2983"/>
        </w:tabs>
        <w:spacing w:before="92"/>
        <w:ind w:left="424" w:firstLine="0"/>
        <w:rPr>
          <w:sz w:val="25"/>
          <w:szCs w:val="25"/>
        </w:rPr>
      </w:pPr>
      <w:r>
        <w:rPr>
          <w:b w:val="1"/>
          <w:bCs w:val="1"/>
          <w:sz w:val="25"/>
          <w:szCs w:val="25"/>
          <w:rtl w:val="0"/>
          <w:lang w:val="en-US"/>
        </w:rPr>
        <w:t xml:space="preserve">COURSE </w:t>
      </w:r>
      <w:r>
        <w:rPr>
          <w:b w:val="1"/>
          <w:bCs w:val="1"/>
          <w:spacing w:val="-2"/>
          <w:sz w:val="25"/>
          <w:szCs w:val="25"/>
          <w:rtl w:val="0"/>
          <w:lang w:val="es-ES_tradnl"/>
        </w:rPr>
        <w:t>CODE:</w:t>
      </w:r>
      <w:r>
        <w:rPr>
          <w:b w:val="1"/>
          <w:bCs w:val="1"/>
          <w:sz w:val="25"/>
          <w:szCs w:val="25"/>
        </w:rPr>
        <w:tab/>
      </w:r>
      <w:r>
        <w:rPr>
          <w:spacing w:val="-2"/>
          <w:sz w:val="25"/>
          <w:szCs w:val="25"/>
          <w:rtl w:val="0"/>
        </w:rPr>
        <w:t>CSA15</w:t>
      </w:r>
    </w:p>
    <w:p>
      <w:pPr>
        <w:pStyle w:val="Body"/>
        <w:rPr>
          <w:sz w:val="25"/>
          <w:szCs w:val="25"/>
        </w:rPr>
        <w:sectPr>
          <w:type w:val="continuous"/>
          <w:pgSz w:w="12240" w:h="15840" w:orient="portrait"/>
          <w:pgMar w:top="760" w:right="720" w:bottom="280" w:left="360" w:header="720" w:footer="720"/>
          <w:cols w:num="2" w:equalWidth="0">
            <w:col w:w="4956" w:space="164"/>
            <w:col w:w="6040" w:space="0"/>
          </w:cols>
          <w:bidi w:val="0"/>
        </w:sectPr>
      </w:pPr>
      <w:r>
        <w:rPr>
          <w:sz w:val="25"/>
          <w:szCs w:val="25"/>
        </w:rPr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72"/>
        <w:rPr>
          <w:sz w:val="20"/>
          <w:szCs w:val="20"/>
        </w:rPr>
      </w:pPr>
    </w:p>
    <w:p>
      <w:pPr>
        <w:pStyle w:val="Body"/>
        <w:spacing w:line="20" w:lineRule="exact"/>
        <w:ind w:left="640" w:firstLine="0"/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 xmlns:a="http://schemas.openxmlformats.org/drawingml/2006/main">
              <wp:inline distT="0" distB="0" distL="0" distR="0">
                <wp:extent cx="6502401" cy="0"/>
                <wp:effectExtent l="0" t="0" r="0" b="0"/>
                <wp:docPr id="1073741825" name="officeArt object" descr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A6A6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6" style="visibility:visible;width:512.0pt;height:0.0pt;">
                <v:fill on="f"/>
                <v:stroke filltype="solid" color="#A6A6A6" opacity="100.0%" weight="0.8pt" dashstyle="solid" endcap="flat" joinstyle="round" linestyle="single" startarrow="none" startarrowwidth="medium" startarrowlength="medium" endarrow="none" endarrowwidth="medium" endarrowlength="medium"/>
              </v:line>
            </w:pict>
          </mc:Fallback>
        </mc:AlternateContent>
      </w:r>
    </w:p>
    <w:p>
      <w:pPr>
        <w:pStyle w:val="Heading 3"/>
        <w:spacing w:before="227"/>
      </w:pPr>
      <w:r>
        <w:rPr>
          <w:rtl w:val="0"/>
          <w:lang w:val="en-US"/>
        </w:rPr>
        <w:t xml:space="preserve">COURSE OUTCOME </w:t>
      </w:r>
      <w:r>
        <w:rPr>
          <w:spacing w:val="0"/>
          <w:rtl w:val="0"/>
          <w:lang w:val="de-DE"/>
        </w:rPr>
        <w:t>COVERED</w:t>
      </w:r>
    </w:p>
    <w:p>
      <w:pPr>
        <w:pStyle w:val="Body"/>
        <w:spacing w:before="40" w:line="276" w:lineRule="auto"/>
        <w:ind w:left="640" w:firstLine="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CO2: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Analyze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virtualization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architectures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to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identify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performance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and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security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issues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</w:rPr>
        <w:t>in</w:t>
      </w:r>
      <w:r>
        <w:rPr>
          <w:i w:val="1"/>
          <w:iCs w:val="1"/>
          <w:spacing w:val="-4"/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 xml:space="preserve">cloud computing environments. </w:t>
      </w:r>
      <w:r>
        <w:rPr>
          <w:sz w:val="24"/>
          <w:szCs w:val="24"/>
          <w:rtl w:val="0"/>
          <w:lang w:val="es-ES_tradnl"/>
        </w:rPr>
        <w:t>(BL3)</w:t>
      </w:r>
    </w:p>
    <w:p>
      <w:pPr>
        <w:pStyle w:val="Body Text"/>
        <w:spacing w:before="114"/>
        <w:rPr>
          <w:sz w:val="20"/>
          <w:szCs w:val="20"/>
        </w:rPr>
      </w:pPr>
    </w:p>
    <w:p>
      <w:pPr>
        <w:pStyle w:val="Body Text"/>
        <w:sectPr>
          <w:type w:val="continuous"/>
          <w:pgSz w:w="12240" w:h="15840" w:orient="portrait"/>
          <w:pgMar w:top="760" w:right="720" w:bottom="280" w:left="360" w:header="720" w:footer="720"/>
          <w:bidi w:val="0"/>
        </w:sectPr>
      </w:pPr>
      <w:r/>
    </w:p>
    <w:p>
      <w:pPr>
        <w:pStyle w:val="Body Text"/>
        <w:spacing w:before="92"/>
        <w:ind w:left="424" w:right="38" w:firstLine="0"/>
      </w:pPr>
      <w:r>
        <w:rPr>
          <w:rtl w:val="0"/>
          <w:lang w:val="en-US"/>
        </w:rPr>
        <w:t>Dave's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Taxonomy: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Manipulation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(Level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2) Question Count: 5</w:t>
      </w:r>
    </w:p>
    <w:p>
      <w:pPr>
        <w:pStyle w:val="Heading 3"/>
        <w:spacing w:before="92"/>
        <w:ind w:left="424" w:firstLine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Heading 3"/>
        <w:spacing w:before="92"/>
        <w:ind w:left="424" w:firstLine="0"/>
      </w:pPr>
      <w:r>
        <w:rPr>
          <w:rtl w:val="0"/>
        </w:rPr>
        <w:t xml:space="preserve">Total Marks: </w:t>
      </w:r>
      <w:r>
        <w:rPr>
          <w:spacing w:val="0"/>
          <w:rtl w:val="0"/>
        </w:rPr>
        <w:t>25</w:t>
      </w:r>
    </w:p>
    <w:p>
      <w:pPr>
        <w:pStyle w:val="Heading 3"/>
        <w:sectPr>
          <w:type w:val="continuous"/>
          <w:pgSz w:w="12240" w:h="15840" w:orient="portrait"/>
          <w:pgMar w:top="760" w:right="720" w:bottom="280" w:left="360" w:header="720" w:footer="720"/>
          <w:cols w:num="2" w:equalWidth="0">
            <w:col w:w="4872" w:space="3404"/>
            <w:col w:w="2884" w:space="0"/>
          </w:cols>
          <w:bidi w:val="0"/>
        </w:sectPr>
      </w:pPr>
      <w:r/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72" w:after="1"/>
        <w:rPr>
          <w:b w:val="1"/>
          <w:bCs w:val="1"/>
          <w:sz w:val="20"/>
          <w:szCs w:val="20"/>
        </w:rPr>
      </w:pPr>
    </w:p>
    <w:p>
      <w:pPr>
        <w:pStyle w:val="Body"/>
        <w:spacing w:line="20" w:lineRule="exact"/>
        <w:ind w:left="640" w:firstLine="0"/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 xmlns:a="http://schemas.openxmlformats.org/drawingml/2006/main">
              <wp:inline distT="0" distB="0" distL="0" distR="0">
                <wp:extent cx="6502401" cy="0"/>
                <wp:effectExtent l="0" t="0" r="0" b="0"/>
                <wp:docPr id="1073741826" name="officeArt object" descr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A6A6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7" style="visibility:visible;width:512.0pt;height:0.0pt;">
                <v:fill on="f"/>
                <v:stroke filltype="solid" color="#A6A6A6" opacity="100.0%" weight="0.8pt" dashstyle="solid" endcap="flat" joinstyle="round" linestyle="single" startarrow="none" startarrowwidth="medium" startarrowlength="medium" endarrow="none" endarrowwidth="medium" endarrowlength="medium"/>
              </v:line>
            </w:pict>
          </mc:Fallback>
        </mc:AlternateContent>
      </w:r>
    </w:p>
    <w:p>
      <w:pPr>
        <w:pStyle w:val="Heading 3"/>
        <w:spacing w:before="187"/>
      </w:pPr>
      <w:r>
        <w:rPr>
          <w:rtl w:val="0"/>
          <w:lang w:val="en-US"/>
        </w:rPr>
        <w:t xml:space="preserve">Code of </w:t>
      </w:r>
      <w:r>
        <w:rPr>
          <w:spacing w:val="0"/>
          <w:rtl w:val="0"/>
          <w:lang w:val="es-ES_tradnl"/>
        </w:rPr>
        <w:t>Conduct</w:t>
      </w:r>
    </w:p>
    <w:p>
      <w:pPr>
        <w:pStyle w:val="Body Text"/>
        <w:tabs>
          <w:tab w:val="left" w:pos="3502"/>
        </w:tabs>
        <w:spacing w:before="40"/>
        <w:ind w:left="640" w:right="445" w:firstLine="0"/>
      </w:pPr>
      <w:r>
        <w:rPr>
          <w:rtl w:val="0"/>
          <w:lang w:val="en-US"/>
        </w:rPr>
        <w:t xml:space="preserve">I </w:t>
      </w:r>
      <w:r>
        <w:rPr>
          <w:rFonts w:ascii="Times New Roman" w:cs="Times New Roman" w:hAnsi="Times New Roman" w:eastAsia="Times New Roman"/>
          <w:u w:val="single"/>
        </w:rPr>
        <w:tab/>
      </w:r>
      <w:r>
        <w:rPr>
          <w:rtl w:val="0"/>
          <w:lang w:val="en-US"/>
        </w:rPr>
        <w:t>(Name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/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No)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certify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that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this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submission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original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work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 that I have adhered to the guidelines specified for this assessment.</w:t>
      </w:r>
    </w:p>
    <w:p>
      <w:pPr>
        <w:pStyle w:val="Body Text"/>
        <w:tabs>
          <w:tab w:val="left" w:pos="6051"/>
        </w:tabs>
        <w:spacing w:before="40" w:line="273" w:lineRule="auto"/>
        <w:ind w:left="640" w:right="1126" w:firstLine="0"/>
        <w:rPr>
          <w:rFonts w:ascii="Times New Roman" w:cs="Times New Roman" w:hAnsi="Times New Roman" w:eastAsia="Times New Roman"/>
        </w:rPr>
      </w:pPr>
      <w:r>
        <w:rPr>
          <w:rtl w:val="0"/>
          <w:lang w:val="en-US"/>
        </w:rPr>
        <w:t>I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understand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that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violation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academic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integrity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rules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will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result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disciplinary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action. Signature of the student: </w:t>
      </w:r>
      <w:r>
        <w:rPr>
          <w:rFonts w:ascii="Times New Roman" w:cs="Times New Roman" w:hAnsi="Times New Roman" w:eastAsia="Times New Roman"/>
          <w:u w:val="single"/>
        </w:rPr>
        <w:tab/>
      </w:r>
    </w:p>
    <w:p>
      <w:pPr>
        <w:pStyle w:val="Body Text"/>
        <w:spacing w:before="43"/>
        <w:rPr>
          <w:rFonts w:ascii="Times New Roman" w:cs="Times New Roman" w:hAnsi="Times New Roman" w:eastAsia="Times New Roman"/>
        </w:rPr>
      </w:pPr>
    </w:p>
    <w:p>
      <w:pPr>
        <w:pStyle w:val="Heading 3"/>
        <w:spacing w:line="273" w:lineRule="auto"/>
        <w:ind w:right="7463"/>
      </w:pPr>
      <w:r>
        <w:rPr>
          <w:rtl w:val="0"/>
          <w:lang w:val="en-US"/>
        </w:rPr>
        <w:t>Assessment Tasks Scenario-Based</w:t>
      </w:r>
      <w:r>
        <w:rPr>
          <w:spacing w:val="0"/>
          <w:rtl w:val="0"/>
        </w:rPr>
        <w:t xml:space="preserve"> </w:t>
      </w:r>
      <w:r>
        <w:rPr>
          <w:rtl w:val="0"/>
          <w:lang w:val="it-IT"/>
        </w:rPr>
        <w:t>Questions</w:t>
      </w:r>
    </w:p>
    <w:p>
      <w:pPr>
        <w:pStyle w:val="Body Text"/>
        <w:spacing w:before="42"/>
        <w:rPr>
          <w:b w:val="1"/>
          <w:bCs w:val="1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Q1: Video Streaming Platform Migration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Architecture Design (Scalability &amp; Caching)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fr-FR"/>
        </w:rPr>
        <w:t>microservices architecture</w:t>
      </w:r>
      <w:r>
        <w:rPr>
          <w:rFonts w:ascii="Times Roman" w:hAnsi="Times Roman"/>
          <w:rtl w:val="0"/>
          <w:lang w:val="en-US"/>
        </w:rPr>
        <w:t xml:space="preserve"> deployed on managed Kubernetes (EKS/AKS/GKE) so encoding, catalog, recommendation, and playback services scale independently.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CDN (CloudFront/Akamai/Cloudflare)</w:t>
      </w:r>
      <w:r>
        <w:rPr>
          <w:rFonts w:ascii="Times Roman" w:hAnsi="Times Roman"/>
          <w:rtl w:val="0"/>
          <w:lang w:val="en-US"/>
        </w:rPr>
        <w:t xml:space="preserve"> at the edge caches video segments close to users, drastically cutting origin load and buffering.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Adaptive bitrate streaming (HLS/DASH)</w:t>
      </w:r>
      <w:r>
        <w:rPr>
          <w:rFonts w:ascii="Times Roman" w:hAnsi="Times Roman"/>
          <w:rtl w:val="0"/>
          <w:lang w:val="en-US"/>
        </w:rPr>
        <w:t xml:space="preserve"> with pre-transcoded quality renditions stored in object storage (S3) lets clients switch quality based on bandwidth.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In-memory caching (Redis/Memcached)</w:t>
      </w:r>
      <w:r>
        <w:rPr>
          <w:rFonts w:ascii="Times Roman" w:hAnsi="Times Roman"/>
          <w:rtl w:val="0"/>
          <w:lang w:val="en-US"/>
        </w:rPr>
        <w:t xml:space="preserve"> for metadata, session data, and trending content lists reduces database hits.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Multi-tier storage</w:t>
      </w:r>
      <w:r>
        <w:rPr>
          <w:rFonts w:ascii="Times Roman" w:hAnsi="Times Roman"/>
          <w:rtl w:val="0"/>
          <w:lang w:val="en-US"/>
        </w:rPr>
        <w:t>: hot content on SSD-backed storage, cold/archival content on cheaper cold storage tiers.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Load Balancing &amp; Auto-Scaling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Global load balancer (DNS-based, e.g., Route 53 latency routing)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directs users to the nearest regional cluster.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Application Load Balancers</w:t>
      </w:r>
      <w:r>
        <w:rPr>
          <w:rFonts w:ascii="Times Roman" w:hAnsi="Times Roman"/>
          <w:rtl w:val="0"/>
          <w:lang w:val="en-US"/>
        </w:rPr>
        <w:t xml:space="preserve"> distribute requests across streaming server instances within a region.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Auto-scaling groups</w:t>
      </w:r>
      <w:r>
        <w:rPr>
          <w:rFonts w:ascii="Times Roman" w:hAnsi="Times Roman"/>
          <w:rtl w:val="0"/>
          <w:lang w:val="en-US"/>
        </w:rPr>
        <w:t xml:space="preserve"> monitor CPU/network metrics and spin up/down instances during traffic spikes (e.g., new episode release)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ensuring elasticity without manual intervention.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Horizontal Pod Autoscaler (HPA)</w:t>
      </w:r>
      <w:r>
        <w:rPr>
          <w:rFonts w:ascii="Times Roman" w:hAnsi="Times Roman"/>
          <w:rtl w:val="0"/>
          <w:lang w:val="en-US"/>
        </w:rPr>
        <w:t xml:space="preserve"> in Kubernetes scales microservice pods based on real-time load.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Cost Optimization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Use </w:t>
      </w:r>
      <w:r>
        <w:rPr>
          <w:rFonts w:ascii="Times Roman" w:hAnsi="Times Roman"/>
          <w:b w:val="1"/>
          <w:bCs w:val="1"/>
          <w:rtl w:val="0"/>
          <w:lang w:val="en-US"/>
        </w:rPr>
        <w:t>Reserved/Savings Plan instances</w:t>
      </w:r>
      <w:r>
        <w:rPr>
          <w:rFonts w:ascii="Times Roman" w:hAnsi="Times Roman"/>
          <w:rtl w:val="0"/>
          <w:lang w:val="en-US"/>
        </w:rPr>
        <w:t xml:space="preserve"> for predictable baseline load, </w:t>
      </w:r>
      <w:r>
        <w:rPr>
          <w:rFonts w:ascii="Times Roman" w:hAnsi="Times Roman"/>
          <w:b w:val="1"/>
          <w:bCs w:val="1"/>
          <w:rtl w:val="0"/>
          <w:lang w:val="en-US"/>
        </w:rPr>
        <w:t>Spot instances</w:t>
      </w:r>
      <w:r>
        <w:rPr>
          <w:rFonts w:ascii="Times Roman" w:hAnsi="Times Roman"/>
          <w:rtl w:val="0"/>
          <w:lang w:val="en-US"/>
        </w:rPr>
        <w:t xml:space="preserve"> for batch transcoding jobs.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CDN caching</w:t>
      </w:r>
      <w:r>
        <w:rPr>
          <w:rFonts w:ascii="Times Roman" w:hAnsi="Times Roman"/>
          <w:rtl w:val="0"/>
          <w:lang w:val="en-US"/>
        </w:rPr>
        <w:t xml:space="preserve"> reduces egress bandwidth costs (the biggest cost driver for streaming).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Tiered storage lifecycle policies</w:t>
      </w:r>
      <w:r>
        <w:rPr>
          <w:rFonts w:ascii="Times Roman" w:hAnsi="Times Roman"/>
          <w:rtl w:val="0"/>
          <w:lang w:val="en-US"/>
        </w:rPr>
        <w:t xml:space="preserve"> move infrequently watched content to cheaper storage automatically.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Pay-per-use serverless functions</w:t>
      </w:r>
      <w:r>
        <w:rPr>
          <w:rFonts w:ascii="Times Roman" w:hAnsi="Times Roman"/>
          <w:rtl w:val="0"/>
          <w:lang w:val="en-US"/>
        </w:rPr>
        <w:t xml:space="preserve"> (e.g., Lambda) for on-demand transcoding rather than always-on servers.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Q2: Fintech Multi-Cloud Container Deployment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Solution: Container Orchestration + Multi-Cloud Strategy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Standardize on </w:t>
      </w:r>
      <w:r>
        <w:rPr>
          <w:rFonts w:ascii="Times Roman" w:hAnsi="Times Roman"/>
          <w:b w:val="1"/>
          <w:bCs w:val="1"/>
          <w:rtl w:val="0"/>
          <w:lang w:val="en-US"/>
        </w:rPr>
        <w:t>Docker containers</w:t>
      </w:r>
      <w:r>
        <w:rPr>
          <w:rFonts w:ascii="Times Roman" w:hAnsi="Times Roman"/>
          <w:rtl w:val="0"/>
          <w:lang w:val="en-US"/>
        </w:rPr>
        <w:t xml:space="preserve"> with </w:t>
      </w:r>
      <w:r>
        <w:rPr>
          <w:rFonts w:ascii="Times Roman" w:hAnsi="Times Roman"/>
          <w:b w:val="1"/>
          <w:bCs w:val="1"/>
          <w:rtl w:val="0"/>
        </w:rPr>
        <w:t>Kubernetes</w:t>
      </w:r>
      <w:r>
        <w:rPr>
          <w:rFonts w:ascii="Times Roman" w:hAnsi="Times Roman"/>
          <w:rtl w:val="0"/>
          <w:lang w:val="en-US"/>
        </w:rPr>
        <w:t xml:space="preserve"> as the orchestration layer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Kubernetes is cloud-agnostic, so the same manifests can deploy on AWS EKS, Azure AKS, or GCP GKE.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en-US"/>
        </w:rPr>
        <w:t>multi-cloud management platform</w:t>
      </w:r>
      <w:r>
        <w:rPr>
          <w:rFonts w:ascii="Times Roman" w:hAnsi="Times Roman"/>
          <w:rtl w:val="0"/>
          <w:lang w:val="en-US"/>
        </w:rPr>
        <w:t xml:space="preserve"> (e.g., Anthos, Rancher, or Azure Arc) for unified policy, monitoring, and deployment control across providers.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 xml:space="preserve">Adopt </w:t>
      </w:r>
      <w:r>
        <w:rPr>
          <w:rFonts w:ascii="Times Roman" w:hAnsi="Times Roman"/>
          <w:b w:val="1"/>
          <w:bCs w:val="1"/>
          <w:rtl w:val="0"/>
          <w:lang w:val="pt-PT"/>
        </w:rPr>
        <w:t>Infrastructure as Code (Terraform)</w:t>
      </w:r>
      <w:r>
        <w:rPr>
          <w:rFonts w:ascii="Times Roman" w:hAnsi="Times Roman"/>
          <w:rtl w:val="0"/>
          <w:lang w:val="en-US"/>
        </w:rPr>
        <w:t xml:space="preserve"> to keep deployments consistent and reproducible across clouds.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Implement a </w:t>
      </w:r>
      <w:r>
        <w:rPr>
          <w:rFonts w:ascii="Times Roman" w:hAnsi="Times Roman"/>
          <w:b w:val="1"/>
          <w:bCs w:val="1"/>
          <w:rtl w:val="0"/>
          <w:lang w:val="nl-NL"/>
        </w:rPr>
        <w:t>GitOps pipeline</w:t>
      </w:r>
      <w:r>
        <w:rPr>
          <w:rFonts w:ascii="Times Roman" w:hAnsi="Times Roman"/>
          <w:rtl w:val="0"/>
          <w:lang w:val="en-US"/>
        </w:rPr>
        <w:t xml:space="preserve"> (ArgoCD/Flux) so deployments are version-controlled and consistent regardless of target cloud.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Service Discovery &amp; Scaling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en-US"/>
        </w:rPr>
        <w:t>service mesh</w:t>
      </w:r>
      <w:r>
        <w:rPr>
          <w:rFonts w:ascii="Times Roman" w:hAnsi="Times Roman"/>
          <w:rtl w:val="0"/>
          <w:lang w:val="en-US"/>
        </w:rPr>
        <w:t xml:space="preserve"> (Istio/Linkerd) for cross-cluster service discovery, traffic routing, and mutual TLS between microservices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critical for fintech security.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Kubernetes-native service discovery (DNS-based)</w:t>
      </w:r>
      <w:r>
        <w:rPr>
          <w:rFonts w:ascii="Times Roman" w:hAnsi="Times Roman"/>
          <w:rtl w:val="0"/>
          <w:lang w:val="en-US"/>
        </w:rPr>
        <w:t xml:space="preserve"> combined with a </w:t>
      </w:r>
      <w:r>
        <w:rPr>
          <w:rFonts w:ascii="Times Roman" w:hAnsi="Times Roman"/>
          <w:b w:val="1"/>
          <w:bCs w:val="1"/>
          <w:rtl w:val="0"/>
          <w:lang w:val="en-US"/>
        </w:rPr>
        <w:t>global API gateway</w:t>
      </w:r>
      <w:r>
        <w:rPr>
          <w:rFonts w:ascii="Times Roman" w:hAnsi="Times Roman"/>
          <w:rtl w:val="0"/>
          <w:lang w:val="en-US"/>
        </w:rPr>
        <w:t xml:space="preserve"> routes client requests to the nearest healthy cluster.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Cluster autoscaler + HPA</w:t>
      </w:r>
      <w:r>
        <w:rPr>
          <w:rFonts w:ascii="Times Roman" w:hAnsi="Times Roman"/>
          <w:rtl w:val="0"/>
          <w:lang w:val="en-US"/>
        </w:rPr>
        <w:t xml:space="preserve"> scale pods and nodes independently in each cloud based on regional demand.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Benefits vs. Risks of Multi-Cloud</w:t>
      </w:r>
    </w:p>
    <w:tbl>
      <w:tblPr>
        <w:tblW w:w="979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18"/>
        <w:gridCol w:w="5579"/>
      </w:tblGrid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2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Benefits</w:t>
            </w:r>
          </w:p>
        </w:tc>
        <w:tc>
          <w:tcPr>
            <w:tcW w:type="dxa" w:w="5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Risks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2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Avoids vendor lock-in</w:t>
            </w:r>
          </w:p>
        </w:tc>
        <w:tc>
          <w:tcPr>
            <w:tcW w:type="dxa" w:w="5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Increased operational complexity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42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Regulatory/data residency flexibility</w:t>
            </w:r>
          </w:p>
        </w:tc>
        <w:tc>
          <w:tcPr>
            <w:tcW w:type="dxa" w:w="5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Inconsistent networking/security models across providers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42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Better resilience (no single point of failure)</w:t>
            </w:r>
          </w:p>
        </w:tc>
        <w:tc>
          <w:tcPr>
            <w:tcW w:type="dxa" w:w="5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Higher cost of skilled multi-cloud staff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21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Negotiating leverage with providers</w:t>
            </w:r>
          </w:p>
        </w:tc>
        <w:tc>
          <w:tcPr>
            <w:tcW w:type="dxa" w:w="5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Data transfer costs between clouds</w:t>
            </w:r>
          </w:p>
        </w:tc>
      </w:tr>
    </w:tbl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Q3: E-Learning Platform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Backup &amp; Disaster Recovery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Solution Design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3-2-1 backup strategy</w:t>
      </w:r>
      <w:r>
        <w:rPr>
          <w:rFonts w:ascii="Times Roman" w:hAnsi="Times Roman"/>
          <w:rtl w:val="0"/>
          <w:lang w:val="en-US"/>
        </w:rPr>
        <w:t>: 3 copies of data, on 2 different storage types, 1 off-site/off-region copy.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Cloud-native backup services</w:t>
      </w:r>
      <w:r>
        <w:rPr>
          <w:rFonts w:ascii="Times Roman" w:hAnsi="Times Roman"/>
          <w:rtl w:val="0"/>
          <w:lang w:val="en-US"/>
        </w:rPr>
        <w:t xml:space="preserve"> (AWS Backup, Azure Backup) for automated, policy-driven snapshots of databases and file storage.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Cross-region replication</w:t>
      </w:r>
      <w:r>
        <w:rPr>
          <w:rFonts w:ascii="Times Roman" w:hAnsi="Times Roman"/>
          <w:rtl w:val="0"/>
          <w:lang w:val="en-US"/>
        </w:rPr>
        <w:t xml:space="preserve"> (e.g., S3 Cross-Region Replication) ensures a live standby copy in a geographically separate region.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Versioning enabled on storage buckets</w:t>
      </w:r>
      <w:r>
        <w:rPr>
          <w:rFonts w:ascii="Times Roman" w:hAnsi="Times Roman"/>
          <w:rtl w:val="0"/>
          <w:lang w:val="en-US"/>
        </w:rPr>
        <w:t xml:space="preserve"> so accidental deletions can be rolled back to a prior object version instantly.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Point-in-time recovery</w:t>
      </w:r>
      <w:r>
        <w:rPr>
          <w:rFonts w:ascii="Times Roman" w:hAnsi="Times Roman"/>
          <w:rtl w:val="0"/>
          <w:lang w:val="en-US"/>
        </w:rPr>
        <w:t xml:space="preserve"> for databases (e.g., RDS PITR) to restore to the exact moment before data loss.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RTO and RPO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RPO (Recovery Point Objective)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achieved via frequent, automated incremental backups and continuous replication, minimizing data loss window (e.g., RPO of minutes using continuous log shipping).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RTO (Recovery Time Objective)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 xml:space="preserve">achieved via </w:t>
      </w:r>
      <w:r>
        <w:rPr>
          <w:rFonts w:ascii="Times Roman" w:hAnsi="Times Roman"/>
          <w:b w:val="1"/>
          <w:bCs w:val="1"/>
          <w:rtl w:val="0"/>
          <w:lang w:val="en-US"/>
        </w:rPr>
        <w:t>warm standby</w:t>
      </w:r>
      <w:r>
        <w:rPr>
          <w:rFonts w:ascii="Times Roman" w:hAnsi="Times Roman"/>
          <w:rtl w:val="0"/>
          <w:lang w:val="en-US"/>
        </w:rPr>
        <w:t xml:space="preserve"> infrastructure (pre-provisioned but scaled-down resources in a secondary region) that can be scaled up quickly, rather than a cold rebuild.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Regular </w:t>
      </w:r>
      <w:r>
        <w:rPr>
          <w:rFonts w:ascii="Times Roman" w:hAnsi="Times Roman"/>
          <w:b w:val="1"/>
          <w:bCs w:val="1"/>
          <w:rtl w:val="0"/>
          <w:lang w:val="da-DK"/>
        </w:rPr>
        <w:t>DR drills</w:t>
      </w:r>
      <w:r>
        <w:rPr>
          <w:rFonts w:ascii="Times Roman" w:hAnsi="Times Roman"/>
          <w:rtl w:val="0"/>
          <w:lang w:val="en-US"/>
        </w:rPr>
        <w:t xml:space="preserve"> validate that actual recovery times meet the target RTO/RPO.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Business Continuity Steps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Detect failure/deletion via monitoring and alerts.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Isolate the affected system to prevent further data corruption.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Restore from the most recent clean backup/version.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 over to standby region if primary is unavailable.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Validate data integrity post-recovery.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Conduct a post-incident review and update backup policies.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Q4: Government Hybrid Cloud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Hybrid Architecture Design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On-premises data center</w:t>
      </w:r>
      <w:r>
        <w:rPr>
          <w:rFonts w:ascii="Times Roman" w:hAnsi="Times Roman"/>
          <w:rtl w:val="0"/>
          <w:lang w:val="en-US"/>
        </w:rPr>
        <w:t xml:space="preserve"> hosts sensitive/compliance-bound workloads (citizen records, classified data).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Public cloud</w:t>
      </w:r>
      <w:r>
        <w:rPr>
          <w:rFonts w:ascii="Times Roman" w:hAnsi="Times Roman"/>
          <w:rtl w:val="0"/>
          <w:lang w:val="en-US"/>
        </w:rPr>
        <w:t xml:space="preserve"> hosts non-sensitive, scalable workloads (public portals, non-critical analytics).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Secure connectivity</w:t>
      </w:r>
      <w:r>
        <w:rPr>
          <w:rFonts w:ascii="Times Roman" w:hAnsi="Times Roman"/>
          <w:rtl w:val="0"/>
          <w:lang w:val="it-IT"/>
        </w:rPr>
        <w:t xml:space="preserve"> via </w:t>
      </w:r>
      <w:r>
        <w:rPr>
          <w:rFonts w:ascii="Times Roman" w:hAnsi="Times Roman"/>
          <w:b w:val="1"/>
          <w:bCs w:val="1"/>
          <w:rtl w:val="0"/>
          <w:lang w:val="en-US"/>
        </w:rPr>
        <w:t>VPN or dedicated line (AWS Direct Connect / Azure ExpressRoute)</w:t>
      </w:r>
      <w:r>
        <w:rPr>
          <w:rFonts w:ascii="Times Roman" w:hAnsi="Times Roman"/>
          <w:rtl w:val="0"/>
          <w:lang w:val="en-US"/>
        </w:rPr>
        <w:t xml:space="preserve"> instead of public internet, ensuring encrypted, low-latency, private communication between environments.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API gateway</w:t>
      </w:r>
      <w:r>
        <w:rPr>
          <w:rFonts w:ascii="Times Roman" w:hAnsi="Times Roman"/>
          <w:rtl w:val="0"/>
          <w:lang w:val="en-US"/>
        </w:rPr>
        <w:t xml:space="preserve"> acts as a controlled boundary, exposing only necessary services from on-prem to cloud and vice versa.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Identity Management &amp; Encryption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Federated Identity Management</w:t>
      </w:r>
      <w:r>
        <w:rPr>
          <w:rFonts w:ascii="Times Roman" w:hAnsi="Times Roman"/>
          <w:rtl w:val="0"/>
          <w:lang w:val="en-US"/>
        </w:rPr>
        <w:t xml:space="preserve"> (e.g., Active Directory Federation Services integrated with Azure AD / AWS IAM Identity Center) provides single sign-on and consistent access policy across both environments.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Role-Based Access Control (RBAC)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rtl w:val="0"/>
          <w:lang w:val="en-US"/>
        </w:rPr>
        <w:t>least-privilege principles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enforced uniformly.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Encryption in transit</w:t>
      </w:r>
      <w:r>
        <w:rPr>
          <w:rFonts w:ascii="Times Roman" w:hAnsi="Times Roman"/>
          <w:rtl w:val="0"/>
          <w:lang w:val="en-US"/>
        </w:rPr>
        <w:t xml:space="preserve"> (TLS 1.2+/VPN tunnels) and </w:t>
      </w:r>
      <w:r>
        <w:rPr>
          <w:rFonts w:ascii="Times Roman" w:hAnsi="Times Roman"/>
          <w:b w:val="1"/>
          <w:bCs w:val="1"/>
          <w:rtl w:val="0"/>
          <w:lang w:val="en-US"/>
        </w:rPr>
        <w:t>encryption at rest</w:t>
      </w:r>
      <w:r>
        <w:rPr>
          <w:rFonts w:ascii="Times Roman" w:hAnsi="Times Roman"/>
          <w:rtl w:val="0"/>
          <w:lang w:val="en-US"/>
        </w:rPr>
        <w:t xml:space="preserve"> (AES-256, with keys managed via HSM or cloud KMS) for all sensitive data, whether on-prem or cloud.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Multi-factor authentication (MFA)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for all administrative access.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Challenges in Hybrid Cloud Management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Maintaining consistent security policy across two different environments.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Network latency and complexity of secure interconnects.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Data synchronization and integrity between on-prem and cloud databases.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Compliance auditing across a distributed environment.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Higher operational overhead requiring skilled hybrid-cloud administrators.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Q5: SaaS High Availability &amp; Fault Tolerance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Multi-Region Deployment Strategy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Deploy the application in </w:t>
      </w:r>
      <w:r>
        <w:rPr>
          <w:rFonts w:ascii="Times Roman" w:hAnsi="Times Roman"/>
          <w:b w:val="1"/>
          <w:bCs w:val="1"/>
          <w:rtl w:val="0"/>
          <w:lang w:val="en-US"/>
        </w:rPr>
        <w:t>at least two geographically separate regions</w:t>
      </w:r>
      <w:r>
        <w:rPr>
          <w:rFonts w:ascii="Times Roman" w:hAnsi="Times Roman"/>
          <w:rtl w:val="0"/>
          <w:lang w:val="en-US"/>
        </w:rPr>
        <w:t>, each with a full stack (compute, database, cache).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Use </w:t>
      </w:r>
      <w:r>
        <w:rPr>
          <w:rFonts w:ascii="Times Roman" w:hAnsi="Times Roman"/>
          <w:b w:val="1"/>
          <w:bCs w:val="1"/>
          <w:rtl w:val="0"/>
          <w:lang w:val="en-US"/>
        </w:rPr>
        <w:t>active-active</w:t>
      </w:r>
      <w:r>
        <w:rPr>
          <w:rFonts w:ascii="Times Roman" w:hAnsi="Times Roman"/>
          <w:rtl w:val="0"/>
          <w:lang w:val="en-US"/>
        </w:rPr>
        <w:t xml:space="preserve"> (both regions serve traffic) or </w:t>
      </w:r>
      <w:r>
        <w:rPr>
          <w:rFonts w:ascii="Times Roman" w:hAnsi="Times Roman"/>
          <w:b w:val="1"/>
          <w:bCs w:val="1"/>
          <w:rtl w:val="0"/>
          <w:lang w:val="fr-FR"/>
        </w:rPr>
        <w:t>active-passive</w:t>
      </w:r>
      <w:r>
        <w:rPr>
          <w:rFonts w:ascii="Times Roman" w:hAnsi="Times Roman"/>
          <w:rtl w:val="0"/>
          <w:lang w:val="en-US"/>
        </w:rPr>
        <w:t xml:space="preserve"> (standby takes over on failure) depending on cost/complexity tolerance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active-active gives better availability but costs more.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Global load balancer with health checks</w:t>
      </w:r>
      <w:r>
        <w:rPr>
          <w:rFonts w:ascii="Times Roman" w:hAnsi="Times Roman"/>
          <w:rtl w:val="0"/>
          <w:lang w:val="en-US"/>
        </w:rPr>
        <w:t xml:space="preserve"> (e.g., Route 53 with health-check-based failover, or Azure Traffic Manager) routes users away from an unhealthy region automatically.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 Replication &amp; Failover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Synchronous replication</w:t>
      </w:r>
      <w:r>
        <w:rPr>
          <w:rFonts w:ascii="Times Roman" w:hAnsi="Times Roman"/>
          <w:rtl w:val="0"/>
          <w:lang w:val="en-US"/>
        </w:rPr>
        <w:t xml:space="preserve"> for critical transactional data (higher consistency, some latency cost) or </w:t>
      </w:r>
      <w:r>
        <w:rPr>
          <w:rFonts w:ascii="Times Roman" w:hAnsi="Times Roman"/>
          <w:b w:val="1"/>
          <w:bCs w:val="1"/>
          <w:rtl w:val="0"/>
          <w:lang w:val="fr-FR"/>
        </w:rPr>
        <w:t>asynchronous replication</w:t>
      </w:r>
      <w:r>
        <w:rPr>
          <w:rFonts w:ascii="Times Roman" w:hAnsi="Times Roman"/>
          <w:rtl w:val="0"/>
          <w:lang w:val="en-US"/>
        </w:rPr>
        <w:t xml:space="preserve"> for less critical data (lower latency, small risk of data lag).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Database options: </w:t>
      </w:r>
      <w:r>
        <w:rPr>
          <w:rFonts w:ascii="Times Roman" w:hAnsi="Times Roman"/>
          <w:b w:val="1"/>
          <w:bCs w:val="1"/>
          <w:rtl w:val="0"/>
          <w:lang w:val="en-US"/>
        </w:rPr>
        <w:t>multi-region managed databases</w:t>
      </w:r>
      <w:r>
        <w:rPr>
          <w:rFonts w:ascii="Times Roman" w:hAnsi="Times Roman"/>
          <w:rtl w:val="0"/>
          <w:lang w:val="en-US"/>
        </w:rPr>
        <w:t xml:space="preserve"> (e.g., Amazon Aurora Global Database, Cosmos DB multi-region writes) handle replication automatically.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Automated failover</w:t>
      </w:r>
      <w:r>
        <w:rPr>
          <w:rFonts w:ascii="Times Roman" w:hAnsi="Times Roman"/>
          <w:rtl w:val="0"/>
          <w:lang w:val="en-US"/>
        </w:rPr>
        <w:t>: health checks detect a region failure and DNS/load balancer reroutes traffic within seconds to minutes; database promotes a replica to primary.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Monitoring &amp; Alerting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Centralized </w:t>
      </w:r>
      <w:r>
        <w:rPr>
          <w:rFonts w:ascii="Times Roman" w:hAnsi="Times Roman"/>
          <w:b w:val="1"/>
          <w:bCs w:val="1"/>
          <w:rtl w:val="0"/>
          <w:lang w:val="en-US"/>
        </w:rPr>
        <w:t>observability stack</w:t>
      </w:r>
      <w:r>
        <w:rPr>
          <w:rFonts w:ascii="Times Roman" w:hAnsi="Times Roman"/>
          <w:rtl w:val="0"/>
          <w:lang w:val="en-US"/>
        </w:rPr>
        <w:t xml:space="preserve"> (Prometheus + Grafana, or CloudWatch/Azure Monitor) tracking latency, error rates, and resource saturation per region.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Synthetic monitoring</w:t>
      </w:r>
      <w:r>
        <w:rPr>
          <w:rFonts w:ascii="Times Roman" w:hAnsi="Times Roman"/>
          <w:rtl w:val="0"/>
          <w:lang w:val="en-US"/>
        </w:rPr>
        <w:t xml:space="preserve"> (simulated user transactions) to detect degradation before real users are affected.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Automated alerting</w:t>
      </w:r>
      <w:r>
        <w:rPr>
          <w:rFonts w:ascii="Times Roman" w:hAnsi="Times Roman"/>
          <w:rtl w:val="0"/>
          <w:lang w:val="en-US"/>
        </w:rPr>
        <w:t xml:space="preserve"> (PagerDuty/OpsGenie) with escalation policies for on-call response.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SLO/SLA dashboards</w:t>
      </w:r>
      <w:r>
        <w:rPr>
          <w:rFonts w:ascii="Times Roman" w:hAnsi="Times Roman"/>
          <w:rtl w:val="0"/>
          <w:lang w:val="en-US"/>
        </w:rPr>
        <w:t xml:space="preserve"> to proactively catch trends before they breach availability targets.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sectPr>
          <w:type w:val="continuous"/>
          <w:pgSz w:w="12240" w:h="15840" w:orient="portrait"/>
          <w:pgMar w:top="760" w:right="720" w:bottom="280" w:left="360" w:header="720" w:footer="720"/>
          <w:bidi w:val="0"/>
        </w:sectPr>
      </w:pPr>
    </w:p>
    <w:p>
      <w:pPr>
        <w:pStyle w:val="Body Text"/>
      </w:pPr>
    </w:p>
    <w:p>
      <w:pPr>
        <w:pStyle w:val="Body Text"/>
        <w:spacing w:before="120"/>
      </w:pPr>
    </w:p>
    <w:p>
      <w:pPr>
        <w:pStyle w:val="Heading 3"/>
      </w:pPr>
      <w:r>
        <w:rPr>
          <w:rtl w:val="0"/>
          <w:lang w:val="en-US"/>
        </w:rPr>
        <w:t xml:space="preserve">Scenario-Based </w:t>
      </w:r>
      <w:r>
        <w:rPr>
          <w:spacing w:val="-2"/>
          <w:rtl w:val="0"/>
        </w:rPr>
        <w:t>Rubric</w:t>
      </w:r>
    </w:p>
    <w:p>
      <w:pPr>
        <w:pStyle w:val="Body Text"/>
        <w:spacing w:before="126"/>
        <w:rPr>
          <w:b w:val="1"/>
          <w:bCs w:val="1"/>
          <w:sz w:val="20"/>
          <w:szCs w:val="20"/>
        </w:rPr>
      </w:pPr>
    </w:p>
    <w:tbl>
      <w:tblPr>
        <w:tblW w:w="10242" w:type="dxa"/>
        <w:jc w:val="left"/>
        <w:tblInd w:w="42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07"/>
        <w:gridCol w:w="1707"/>
        <w:gridCol w:w="1707"/>
        <w:gridCol w:w="1707"/>
        <w:gridCol w:w="1707"/>
        <w:gridCol w:w="1707"/>
      </w:tblGrid>
      <w:tr>
        <w:tblPrEx>
          <w:shd w:val="clear" w:color="auto" w:fill="ced7e7"/>
        </w:tblPrEx>
        <w:trPr>
          <w:trHeight w:val="993" w:hRule="atLeast"/>
        </w:trPr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2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2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Weightage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2"/>
            <w:tcMar>
              <w:top w:type="dxa" w:w="80"/>
              <w:left w:type="dxa" w:w="188"/>
              <w:bottom w:type="dxa" w:w="80"/>
              <w:right w:type="dxa" w:w="554"/>
            </w:tcMar>
            <w:vAlign w:val="top"/>
          </w:tcPr>
          <w:p>
            <w:pPr>
              <w:pStyle w:val="Table Paragraph"/>
              <w:spacing w:line="250" w:lineRule="atLeast"/>
              <w:ind w:right="474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Level 4 -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Exemplary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2"/>
            <w:tcMar>
              <w:top w:type="dxa" w:w="80"/>
              <w:left w:type="dxa" w:w="187"/>
              <w:bottom w:type="dxa" w:w="80"/>
              <w:right w:type="dxa" w:w="652"/>
            </w:tcMar>
            <w:vAlign w:val="top"/>
          </w:tcPr>
          <w:p>
            <w:pPr>
              <w:pStyle w:val="Table Paragraph"/>
              <w:spacing w:line="250" w:lineRule="atLeast"/>
              <w:ind w:left="107" w:right="572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Level 3 -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Proficient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2"/>
            <w:tcMar>
              <w:top w:type="dxa" w:w="80"/>
              <w:left w:type="dxa" w:w="188"/>
              <w:bottom w:type="dxa" w:w="80"/>
              <w:right w:type="dxa" w:w="481"/>
            </w:tcMar>
            <w:vAlign w:val="top"/>
          </w:tcPr>
          <w:p>
            <w:pPr>
              <w:pStyle w:val="Table Paragraph"/>
              <w:spacing w:line="250" w:lineRule="atLeast"/>
              <w:ind w:right="401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Level 2 -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Developing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2f2"/>
            <w:tcMar>
              <w:top w:type="dxa" w:w="80"/>
              <w:left w:type="dxa" w:w="188"/>
              <w:bottom w:type="dxa" w:w="80"/>
              <w:right w:type="dxa" w:w="591"/>
            </w:tcMar>
            <w:vAlign w:val="top"/>
          </w:tcPr>
          <w:p>
            <w:pPr>
              <w:pStyle w:val="Table Paragraph"/>
              <w:spacing w:line="250" w:lineRule="atLeast"/>
              <w:ind w:right="511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Level 1 -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Beginning</w:t>
            </w:r>
          </w:p>
        </w:tc>
      </w:tr>
      <w:tr>
        <w:tblPrEx>
          <w:shd w:val="clear" w:color="auto" w:fill="ced7e7"/>
        </w:tblPrEx>
        <w:trPr>
          <w:trHeight w:val="1493" w:hRule="atLeast"/>
        </w:trPr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197"/>
            </w:tcMar>
            <w:vAlign w:val="top"/>
          </w:tcPr>
          <w:p>
            <w:pPr>
              <w:pStyle w:val="Table Paragraph"/>
              <w:ind w:right="117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Understanding </w:t>
            </w:r>
            <w:r>
              <w:rPr>
                <w:shd w:val="nil" w:color="auto" w:fill="auto"/>
                <w:rtl w:val="0"/>
                <w:lang w:val="en-US"/>
              </w:rPr>
              <w:t>of Scenario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197"/>
            </w:tcMar>
            <w:vAlign w:val="top"/>
          </w:tcPr>
          <w:p>
            <w:pPr>
              <w:pStyle w:val="Table Paragraph"/>
              <w:spacing w:line="250" w:lineRule="atLeast"/>
              <w:ind w:right="117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Demonstrates complete understanding </w:t>
            </w:r>
            <w:r>
              <w:rPr>
                <w:shd w:val="nil" w:color="auto" w:fill="auto"/>
                <w:rtl w:val="0"/>
                <w:lang w:val="en-US"/>
              </w:rPr>
              <w:t>of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the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scenario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context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247"/>
            </w:tcMar>
            <w:vAlign w:val="top"/>
          </w:tcPr>
          <w:p>
            <w:pPr>
              <w:pStyle w:val="Table Paragraph"/>
              <w:ind w:left="107" w:right="167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Good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understanding </w:t>
            </w:r>
            <w:r>
              <w:rPr>
                <w:shd w:val="nil" w:color="auto" w:fill="auto"/>
                <w:rtl w:val="0"/>
                <w:lang w:val="en-US"/>
              </w:rPr>
              <w:t xml:space="preserve">with minor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gaps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Partial understanding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197"/>
            </w:tcMar>
            <w:vAlign w:val="top"/>
          </w:tcPr>
          <w:p>
            <w:pPr>
              <w:pStyle w:val="Table Paragraph"/>
              <w:ind w:right="117"/>
            </w:pPr>
            <w:r>
              <w:rPr>
                <w:shd w:val="nil" w:color="auto" w:fill="auto"/>
                <w:rtl w:val="0"/>
                <w:lang w:val="en-US"/>
              </w:rPr>
              <w:t>Fails to understand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the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scenario</w:t>
            </w:r>
          </w:p>
        </w:tc>
      </w:tr>
      <w:tr>
        <w:tblPrEx>
          <w:shd w:val="clear" w:color="auto" w:fill="ced7e7"/>
        </w:tblPrEx>
        <w:trPr>
          <w:trHeight w:val="993" w:hRule="atLeast"/>
        </w:trPr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ind w:right="105"/>
            </w:pPr>
            <w:r>
              <w:rPr>
                <w:shd w:val="nil" w:color="auto" w:fill="auto"/>
                <w:rtl w:val="0"/>
                <w:lang w:val="en-US"/>
              </w:rPr>
              <w:t>Identification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of Risks / Issues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30"/>
            </w:tcMar>
            <w:vAlign w:val="top"/>
          </w:tcPr>
          <w:p>
            <w:pPr>
              <w:pStyle w:val="Table Paragraph"/>
              <w:spacing w:line="250" w:lineRule="atLeast"/>
              <w:ind w:right="350"/>
            </w:pPr>
            <w:r>
              <w:rPr>
                <w:shd w:val="nil" w:color="auto" w:fill="auto"/>
                <w:rtl w:val="0"/>
                <w:lang w:val="en-US"/>
              </w:rPr>
              <w:t>Identifies all major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issues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correctly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247"/>
            </w:tcMar>
            <w:vAlign w:val="top"/>
          </w:tcPr>
          <w:p>
            <w:pPr>
              <w:pStyle w:val="Table Paragraph"/>
              <w:ind w:left="107" w:right="167" w:firstLine="0"/>
            </w:pPr>
            <w:r>
              <w:rPr>
                <w:shd w:val="nil" w:color="auto" w:fill="auto"/>
                <w:rtl w:val="0"/>
                <w:lang w:val="en-US"/>
              </w:rPr>
              <w:t>Identifies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most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issues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381"/>
            </w:tcMar>
            <w:vAlign w:val="top"/>
          </w:tcPr>
          <w:p>
            <w:pPr>
              <w:pStyle w:val="Table Paragraph"/>
              <w:ind w:right="301"/>
            </w:pPr>
            <w:r>
              <w:rPr>
                <w:shd w:val="nil" w:color="auto" w:fill="auto"/>
                <w:rtl w:val="0"/>
                <w:lang w:val="en-US"/>
              </w:rPr>
              <w:t>Limited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issue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identification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369"/>
            </w:tcMar>
            <w:vAlign w:val="top"/>
          </w:tcPr>
          <w:p>
            <w:pPr>
              <w:pStyle w:val="Table Paragraph"/>
              <w:ind w:right="289"/>
            </w:pPr>
            <w:r>
              <w:rPr>
                <w:shd w:val="nil" w:color="auto" w:fill="auto"/>
                <w:rtl w:val="0"/>
                <w:lang w:val="en-US"/>
              </w:rPr>
              <w:t>Misses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major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issues</w:t>
            </w:r>
          </w:p>
        </w:tc>
      </w:tr>
      <w:tr>
        <w:tblPrEx>
          <w:shd w:val="clear" w:color="auto" w:fill="ced7e7"/>
        </w:tblPrEx>
        <w:trPr>
          <w:trHeight w:val="993" w:hRule="atLeast"/>
        </w:trPr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344"/>
            </w:tcMar>
            <w:vAlign w:val="top"/>
          </w:tcPr>
          <w:p>
            <w:pPr>
              <w:pStyle w:val="Table Paragraph"/>
              <w:ind w:right="264"/>
            </w:pPr>
            <w:r>
              <w:rPr>
                <w:shd w:val="nil" w:color="auto" w:fill="auto"/>
                <w:rtl w:val="0"/>
                <w:lang w:val="en-US"/>
              </w:rPr>
              <w:t>Application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of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Concepts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0" w:lineRule="atLeast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Applies virtualization concepts effectively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ind w:left="107" w:right="106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Applies </w:t>
            </w:r>
            <w:r>
              <w:rPr>
                <w:shd w:val="nil" w:color="auto" w:fill="auto"/>
                <w:rtl w:val="0"/>
                <w:lang w:val="en-US"/>
              </w:rPr>
              <w:t>concepts with minor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mistakes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554"/>
            </w:tcMar>
            <w:vAlign w:val="top"/>
          </w:tcPr>
          <w:p>
            <w:pPr>
              <w:pStyle w:val="Table Paragraph"/>
              <w:ind w:right="474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Partially correct application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554"/>
            </w:tcMar>
            <w:vAlign w:val="top"/>
          </w:tcPr>
          <w:p>
            <w:pPr>
              <w:pStyle w:val="Table Paragraph"/>
              <w:ind w:right="474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Weak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application</w:t>
            </w:r>
          </w:p>
        </w:tc>
      </w:tr>
      <w:tr>
        <w:tblPrEx>
          <w:shd w:val="clear" w:color="auto" w:fill="ced7e7"/>
        </w:tblPrEx>
        <w:trPr>
          <w:trHeight w:val="1243" w:hRule="atLeast"/>
        </w:trPr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Decision Justification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209"/>
            </w:tcMar>
            <w:vAlign w:val="top"/>
          </w:tcPr>
          <w:p>
            <w:pPr>
              <w:pStyle w:val="Table Paragraph"/>
              <w:spacing w:line="250" w:lineRule="atLeast"/>
              <w:ind w:right="129"/>
            </w:pPr>
            <w:r>
              <w:rPr>
                <w:shd w:val="nil" w:color="auto" w:fill="auto"/>
                <w:rtl w:val="0"/>
                <w:lang w:val="en-US"/>
              </w:rPr>
              <w:t>Decisions are well justified and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 xml:space="preserve">technically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strong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ind w:left="107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Reasonable justification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554"/>
            </w:tcMar>
            <w:vAlign w:val="top"/>
          </w:tcPr>
          <w:p>
            <w:pPr>
              <w:pStyle w:val="Table Paragraph"/>
              <w:ind w:right="474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Weak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justification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shd w:val="nil" w:color="auto" w:fill="auto"/>
                <w:rtl w:val="0"/>
                <w:lang w:val="en-US"/>
              </w:rPr>
              <w:t xml:space="preserve">No useful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justification</w:t>
            </w:r>
          </w:p>
        </w:tc>
      </w:tr>
      <w:tr>
        <w:tblPrEx>
          <w:shd w:val="clear" w:color="auto" w:fill="ced7e7"/>
        </w:tblPrEx>
        <w:trPr>
          <w:trHeight w:val="993" w:hRule="atLeast"/>
        </w:trPr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Clarity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15%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199"/>
            </w:tcMar>
            <w:vAlign w:val="top"/>
          </w:tcPr>
          <w:p>
            <w:pPr>
              <w:pStyle w:val="Table Paragraph"/>
              <w:spacing w:line="250" w:lineRule="atLeast"/>
              <w:ind w:right="119"/>
            </w:pPr>
            <w:r>
              <w:rPr>
                <w:shd w:val="nil" w:color="auto" w:fill="auto"/>
                <w:rtl w:val="0"/>
                <w:lang w:val="en-US"/>
              </w:rPr>
              <w:t>Clear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and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well-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organized response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ind w:left="107" w:firstLine="0"/>
            </w:pPr>
            <w:r>
              <w:rPr>
                <w:shd w:val="nil" w:color="auto" w:fill="auto"/>
                <w:rtl w:val="0"/>
                <w:lang w:val="en-US"/>
              </w:rPr>
              <w:t xml:space="preserve">Generally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clear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625"/>
            </w:tcMar>
            <w:vAlign w:val="top"/>
          </w:tcPr>
          <w:p>
            <w:pPr>
              <w:pStyle w:val="Table Paragraph"/>
              <w:ind w:right="545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Somewhat unclear</w:t>
            </w:r>
          </w:p>
        </w:tc>
        <w:tc>
          <w:tcPr>
            <w:tcW w:type="dxa" w:w="17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554"/>
            </w:tcMar>
            <w:vAlign w:val="top"/>
          </w:tcPr>
          <w:p>
            <w:pPr>
              <w:pStyle w:val="Table Paragraph"/>
              <w:ind w:right="474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Poorly presented</w:t>
            </w:r>
          </w:p>
        </w:tc>
      </w:tr>
    </w:tbl>
    <w:p>
      <w:pPr>
        <w:pStyle w:val="Body Text"/>
        <w:spacing w:before="126"/>
        <w:ind w:left="321" w:hanging="321"/>
      </w:pPr>
      <w:r>
        <w:rPr>
          <w:b w:val="1"/>
          <w:bCs w:val="1"/>
          <w:sz w:val="20"/>
          <w:szCs w:val="20"/>
        </w:rPr>
      </w:r>
    </w:p>
    <w:sectPr>
      <w:headerReference w:type="default" r:id="rId6"/>
      <w:pgSz w:w="12240" w:h="15840" w:orient="portrait"/>
      <w:pgMar w:top="760" w:right="720" w:bottom="280" w:left="36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60" w:after="0" w:line="240" w:lineRule="auto"/>
      <w:ind w:left="360" w:right="0" w:firstLine="0"/>
      <w:jc w:val="center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40" w:after="0" w:line="240" w:lineRule="auto"/>
      <w:ind w:left="360" w:right="0" w:firstLine="0"/>
      <w:jc w:val="center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64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08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