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95784" w14:textId="0B383986" w:rsidR="00805AA8" w:rsidRDefault="00A21B72" w:rsidP="00503B50">
      <w:pPr>
        <w:spacing w:before="10" w:after="10"/>
        <w:ind w:left="-288" w:right="-144"/>
        <w:jc w:val="both"/>
      </w:pPr>
      <w:r w:rsidRPr="0079125D">
        <w:rPr>
          <w:noProof/>
        </w:rPr>
        <mc:AlternateContent>
          <mc:Choice Requires="wps">
            <w:drawing>
              <wp:anchor distT="0" distB="0" distL="114300" distR="114300" simplePos="0" relativeHeight="251627008" behindDoc="0" locked="0" layoutInCell="1" allowOverlap="1" wp14:anchorId="48787DFD" wp14:editId="52CC2CE6">
                <wp:simplePos x="0" y="0"/>
                <wp:positionH relativeFrom="column">
                  <wp:posOffset>927100</wp:posOffset>
                </wp:positionH>
                <wp:positionV relativeFrom="paragraph">
                  <wp:posOffset>285750</wp:posOffset>
                </wp:positionV>
                <wp:extent cx="6070600" cy="584200"/>
                <wp:effectExtent l="0" t="0" r="25400" b="25400"/>
                <wp:wrapNone/>
                <wp:docPr id="772261901" name="Rectangle 3"/>
                <wp:cNvGraphicFramePr/>
                <a:graphic xmlns:a="http://schemas.openxmlformats.org/drawingml/2006/main">
                  <a:graphicData uri="http://schemas.microsoft.com/office/word/2010/wordprocessingShape">
                    <wps:wsp>
                      <wps:cNvSpPr/>
                      <wps:spPr>
                        <a:xfrm>
                          <a:off x="0" y="0"/>
                          <a:ext cx="6070600" cy="584200"/>
                        </a:xfrm>
                        <a:prstGeom prst="rect">
                          <a:avLst/>
                        </a:prstGeom>
                        <a:solidFill>
                          <a:srgbClr val="FF0000"/>
                        </a:solidFill>
                        <a:ln>
                          <a:solidFill>
                            <a:schemeClr val="bg1"/>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026A65AE" w14:textId="3E8D1CA8" w:rsidR="00457B74" w:rsidRPr="00A21B72" w:rsidRDefault="00A21B72" w:rsidP="00A21B72">
                            <w:pPr>
                              <w:ind w:left="-2736"/>
                              <w:jc w:val="center"/>
                              <w:rPr>
                                <w:rStyle w:val="Heading1Char"/>
                                <w:color w:val="FFFFFF" w:themeColor="background1"/>
                              </w:rPr>
                            </w:pPr>
                            <w:r>
                              <w:rPr>
                                <w:rStyle w:val="Heading1Char"/>
                                <w:color w:val="FFFFFF" w:themeColor="background1"/>
                              </w:rPr>
                              <w:t xml:space="preserve">                             </w:t>
                            </w:r>
                            <w:r w:rsidR="00457B74" w:rsidRPr="00A21B72">
                              <w:rPr>
                                <w:rStyle w:val="Heading1Char"/>
                                <w:color w:val="FFFFFF" w:themeColor="background1"/>
                              </w:rPr>
                              <w:t>KOTAK MAHINDRA BANK LIMITED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787DFD" id="Rectangle 3" o:spid="_x0000_s1026" style="position:absolute;left:0;text-align:left;margin-left:73pt;margin-top:22.5pt;width:478pt;height:46pt;z-index:25162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" fillcolor="red" strokecolor="white [3212]" strokeweight="1pt">
                <v:textbox>
                  <w:txbxContent>
                    <w:p w14:paraId="026A65AE" w14:textId="3E8D1CA8" w:rsidR="00457B74" w:rsidRPr="00A21B72" w:rsidRDefault="00A21B72" w:rsidP="00A21B72">
                      <w:pPr>
                        <w:ind w:left="-2736"/>
                        <w:jc w:val="center"/>
                        <w:rPr>
                          <w:rStyle w:val="Heading1Char"/>
                          <w:color w:val="FFFFFF" w:themeColor="background1"/>
                        </w:rPr>
                      </w:pPr>
                      <w:r>
                        <w:rPr>
                          <w:rStyle w:val="Heading1Char"/>
                          <w:color w:val="FFFFFF" w:themeColor="background1"/>
                        </w:rPr>
                        <w:t xml:space="preserve">                             </w:t>
                      </w:r>
                      <w:r w:rsidR="00457B74" w:rsidRPr="00A21B72">
                        <w:rPr>
                          <w:rStyle w:val="Heading1Char"/>
                          <w:color w:val="FFFFFF" w:themeColor="background1"/>
                        </w:rPr>
                        <w:t>KOTAK MAHINDRA BANK LIMITED</w:t>
                      </w:r>
                    </w:p>
                  </w:txbxContent>
                </v:textbox>
              </v:rect>
            </w:pict>
          </mc:Fallback>
        </mc:AlternateContent>
      </w:r>
      <w:r w:rsidRPr="0079125D">
        <w:rPr>
          <w:noProof/>
        </w:rPr>
        <w:drawing>
          <wp:inline distT="0" distB="0" distL="0" distR="0" wp14:anchorId="62CECD41" wp14:editId="30A097F0">
            <wp:extent cx="1222375" cy="1216942"/>
            <wp:effectExtent l="0" t="0" r="0" b="2540"/>
            <wp:docPr id="868972966" name="Picture 6" descr="A blue circle with whit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2966" name="Picture 6" descr="A blue circle with white and red logo&#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227592" cy="1222136"/>
                    </a:xfrm>
                    <a:prstGeom prst="rect">
                      <a:avLst/>
                    </a:prstGeom>
                  </pic:spPr>
                </pic:pic>
              </a:graphicData>
            </a:graphic>
          </wp:inline>
        </w:drawing>
      </w:r>
    </w:p>
    <w:p w14:paraId="249ECB1A" w14:textId="77777777" w:rsidR="00CB445B" w:rsidRDefault="00CB445B" w:rsidP="00503B50">
      <w:pPr>
        <w:spacing w:before="10" w:after="10"/>
        <w:ind w:left="-288" w:right="-144"/>
        <w:jc w:val="both"/>
      </w:pPr>
    </w:p>
    <w:p w14:paraId="5314EFE4" w14:textId="77777777" w:rsidR="005C51C1" w:rsidRDefault="005C51C1" w:rsidP="005C51C1">
      <w:pPr>
        <w:spacing w:before="10" w:after="10"/>
        <w:ind w:left="-288" w:right="-144"/>
        <w:jc w:val="center"/>
        <w:rPr>
          <w:b/>
          <w:bCs/>
          <w:sz w:val="40"/>
          <w:szCs w:val="40"/>
          <w14:shadow w14:blurRad="50800" w14:dist="38100" w14:dir="2700000" w14:sx="100000" w14:sy="100000" w14:kx="0" w14:ky="0" w14:algn="tl">
            <w14:srgbClr w14:val="000000">
              <w14:alpha w14:val="60000"/>
            </w14:srgbClr>
          </w14:shadow>
        </w:rPr>
      </w:pPr>
    </w:p>
    <w:p w14:paraId="5AC679B7" w14:textId="6E3A712E" w:rsidR="00CB445B" w:rsidRPr="005C51C1" w:rsidRDefault="005C51C1" w:rsidP="005C51C1">
      <w:pPr>
        <w:spacing w:before="10" w:after="10"/>
        <w:ind w:left="-288" w:right="-144"/>
        <w:jc w:val="center"/>
        <w:rPr>
          <w:b/>
          <w:bCs/>
          <w:sz w:val="40"/>
          <w:szCs w:val="40"/>
          <w14:shadow w14:blurRad="50800" w14:dist="38100" w14:dir="2700000" w14:sx="100000" w14:sy="100000" w14:kx="0" w14:ky="0" w14:algn="tl">
            <w14:srgbClr w14:val="000000">
              <w14:alpha w14:val="60000"/>
            </w14:srgbClr>
          </w14:shadow>
        </w:rPr>
      </w:pPr>
      <w:r w:rsidRPr="005C51C1">
        <w:rPr>
          <w:b/>
          <w:bCs/>
          <w:sz w:val="40"/>
          <w:szCs w:val="40"/>
          <w14:shadow w14:blurRad="50800" w14:dist="38100" w14:dir="2700000" w14:sx="100000" w14:sy="100000" w14:kx="0" w14:ky="0" w14:algn="tl">
            <w14:srgbClr w14:val="000000">
              <w14:alpha w14:val="60000"/>
            </w14:srgbClr>
          </w14:shadow>
        </w:rPr>
        <w:t>EQUITY RESEARCH REPORT</w:t>
      </w:r>
    </w:p>
    <w:p w14:paraId="5924D6D3" w14:textId="77777777" w:rsidR="005C51C1" w:rsidRDefault="005C51C1" w:rsidP="005C51C1">
      <w:pPr>
        <w:spacing w:before="10" w:after="10"/>
        <w:ind w:left="-288" w:right="-144"/>
        <w:jc w:val="center"/>
        <w:rPr>
          <w:sz w:val="40"/>
          <w:szCs w:val="40"/>
        </w:rPr>
      </w:pPr>
    </w:p>
    <w:p w14:paraId="17EA02CF" w14:textId="30BCE187" w:rsidR="006B768E" w:rsidRPr="005C51C1" w:rsidRDefault="006B768E" w:rsidP="005C51C1">
      <w:pPr>
        <w:spacing w:before="10" w:after="10"/>
        <w:ind w:left="-288" w:right="-144"/>
        <w:jc w:val="center"/>
        <w:rPr>
          <w:sz w:val="40"/>
          <w:szCs w:val="40"/>
        </w:rPr>
      </w:pPr>
      <w:r w:rsidRPr="005C51C1">
        <w:rPr>
          <w:sz w:val="40"/>
          <w:szCs w:val="40"/>
        </w:rPr>
        <w:t>VIKAS GUPTA</w:t>
      </w:r>
    </w:p>
    <w:p w14:paraId="3BB2B86F" w14:textId="7DF37634" w:rsidR="006B768E" w:rsidRDefault="006B768E" w:rsidP="005C51C1">
      <w:pPr>
        <w:spacing w:before="10" w:after="10"/>
        <w:ind w:left="-288" w:right="-144"/>
        <w:jc w:val="center"/>
        <w:rPr>
          <w:sz w:val="40"/>
          <w:szCs w:val="40"/>
        </w:rPr>
      </w:pPr>
      <w:r w:rsidRPr="005C51C1">
        <w:rPr>
          <w:sz w:val="40"/>
          <w:szCs w:val="40"/>
        </w:rPr>
        <w:t>A00047802</w:t>
      </w:r>
    </w:p>
    <w:p w14:paraId="5DAD9408" w14:textId="1375FECE" w:rsidR="005C51C1" w:rsidRPr="005C51C1" w:rsidRDefault="005C51C1" w:rsidP="005C51C1">
      <w:pPr>
        <w:spacing w:before="10" w:after="10"/>
        <w:ind w:left="-288" w:right="-144"/>
        <w:jc w:val="center"/>
        <w:rPr>
          <w:sz w:val="40"/>
          <w:szCs w:val="40"/>
        </w:rPr>
      </w:pPr>
      <w:r w:rsidRPr="005C51C1">
        <w:rPr>
          <w:sz w:val="40"/>
          <w:szCs w:val="40"/>
        </w:rPr>
        <w:t>M.Sc Finance (Jan 2025)</w:t>
      </w:r>
    </w:p>
    <w:p w14:paraId="35647FB0" w14:textId="0DAA776B" w:rsidR="006B768E" w:rsidRPr="005C51C1" w:rsidRDefault="00CB445B" w:rsidP="005C51C1">
      <w:pPr>
        <w:spacing w:before="10" w:after="10"/>
        <w:ind w:left="-288" w:right="-144"/>
        <w:jc w:val="center"/>
        <w:rPr>
          <w:sz w:val="40"/>
          <w:szCs w:val="40"/>
        </w:rPr>
      </w:pPr>
      <w:r w:rsidRPr="005C51C1">
        <w:rPr>
          <w:sz w:val="40"/>
          <w:szCs w:val="40"/>
        </w:rPr>
        <w:t>DUBLIN CITY UNIVERSITY</w:t>
      </w:r>
    </w:p>
    <w:p w14:paraId="14C632C9" w14:textId="58CB1237" w:rsidR="00CB445B" w:rsidRPr="005C51C1" w:rsidRDefault="00CB445B" w:rsidP="005C51C1">
      <w:pPr>
        <w:spacing w:before="10" w:after="10"/>
        <w:ind w:left="-288" w:right="-144"/>
        <w:jc w:val="center"/>
        <w:rPr>
          <w:sz w:val="40"/>
          <w:szCs w:val="40"/>
        </w:rPr>
      </w:pPr>
      <w:r w:rsidRPr="005C51C1">
        <w:rPr>
          <w:sz w:val="40"/>
          <w:szCs w:val="40"/>
        </w:rPr>
        <w:t>CORPORATE FINANCE</w:t>
      </w:r>
    </w:p>
    <w:p w14:paraId="0FC2B1DD" w14:textId="17BDD369" w:rsidR="005F2F78" w:rsidRPr="0079125D" w:rsidRDefault="005F2F78" w:rsidP="00503B50">
      <w:pPr>
        <w:spacing w:before="10" w:after="10"/>
        <w:ind w:left="-288" w:right="-144"/>
        <w:jc w:val="both"/>
      </w:pPr>
    </w:p>
    <w:p w14:paraId="2C72F86F" w14:textId="29AA1BC7" w:rsidR="007D2DEF" w:rsidRPr="0079125D" w:rsidRDefault="005F2F78" w:rsidP="00503B50">
      <w:pPr>
        <w:spacing w:before="10" w:after="10"/>
      </w:pPr>
      <w:r w:rsidRPr="0079125D">
        <w:br w:type="page"/>
      </w:r>
    </w:p>
    <w:p w14:paraId="73EAF4CA" w14:textId="5EAA89C5" w:rsidR="00A21B72" w:rsidRPr="0079125D" w:rsidRDefault="0036536C" w:rsidP="00503B50">
      <w:pPr>
        <w:spacing w:before="10" w:after="10"/>
        <w:rPr>
          <w:rFonts w:ascii="Calibri" w:hAnsi="Calibri" w:cs="Calibri"/>
          <w:color w:val="FF0000"/>
          <w:sz w:val="52"/>
          <w:szCs w:val="52"/>
        </w:rPr>
      </w:pPr>
      <w:r w:rsidRPr="0079125D">
        <w:rPr>
          <w:rFonts w:ascii="Calibri" w:hAnsi="Calibri" w:cs="Calibri"/>
          <w:noProof/>
          <w:color w:val="FF0000"/>
          <w:sz w:val="52"/>
          <w:szCs w:val="52"/>
        </w:rPr>
        <w:lastRenderedPageBreak/>
        <w:drawing>
          <wp:anchor distT="0" distB="0" distL="114300" distR="114300" simplePos="0" relativeHeight="251629056" behindDoc="0" locked="0" layoutInCell="1" allowOverlap="1" wp14:anchorId="57E45909" wp14:editId="3962B063">
            <wp:simplePos x="0" y="0"/>
            <wp:positionH relativeFrom="column">
              <wp:posOffset>6038850</wp:posOffset>
            </wp:positionH>
            <wp:positionV relativeFrom="paragraph">
              <wp:posOffset>3175</wp:posOffset>
            </wp:positionV>
            <wp:extent cx="728345" cy="725170"/>
            <wp:effectExtent l="0" t="0" r="0" b="0"/>
            <wp:wrapSquare wrapText="bothSides"/>
            <wp:docPr id="100662336" name="Picture 8" descr="A blue circle with whit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336" name="Picture 8" descr="A blue circle with white and red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28345" cy="725170"/>
                    </a:xfrm>
                    <a:prstGeom prst="rect">
                      <a:avLst/>
                    </a:prstGeom>
                  </pic:spPr>
                </pic:pic>
              </a:graphicData>
            </a:graphic>
            <wp14:sizeRelH relativeFrom="margin">
              <wp14:pctWidth>0</wp14:pctWidth>
            </wp14:sizeRelH>
            <wp14:sizeRelV relativeFrom="margin">
              <wp14:pctHeight>0</wp14:pctHeight>
            </wp14:sizeRelV>
          </wp:anchor>
        </w:drawing>
      </w:r>
      <w:r w:rsidRPr="0079125D">
        <w:rPr>
          <w:rFonts w:ascii="Calibri" w:hAnsi="Calibri" w:cs="Calibri"/>
          <w:color w:val="FF0000"/>
          <w:sz w:val="52"/>
          <w:szCs w:val="52"/>
        </w:rPr>
        <w:t xml:space="preserve">Equity Research Report </w:t>
      </w:r>
    </w:p>
    <w:p w14:paraId="32518C4E" w14:textId="2FC509D6" w:rsidR="00503B50" w:rsidRPr="0079125D" w:rsidRDefault="0036536C" w:rsidP="00503B50">
      <w:pPr>
        <w:pBdr>
          <w:bottom w:val="single" w:sz="6" w:space="1" w:color="auto"/>
        </w:pBdr>
        <w:spacing w:before="10" w:after="10"/>
        <w:ind w:right="-144"/>
        <w:jc w:val="both"/>
        <w:rPr>
          <w:rFonts w:ascii="Calibri" w:hAnsi="Calibri" w:cs="Calibri"/>
          <w:sz w:val="36"/>
          <w:szCs w:val="36"/>
        </w:rPr>
      </w:pPr>
      <w:r w:rsidRPr="0079125D">
        <w:t xml:space="preserve">                   </w:t>
      </w:r>
      <w:r w:rsidRPr="0079125D">
        <w:rPr>
          <w:rFonts w:ascii="Calibri" w:hAnsi="Calibri" w:cs="Calibri"/>
          <w:sz w:val="36"/>
          <w:szCs w:val="36"/>
        </w:rPr>
        <w:t>NSE/BSE Exchange</w:t>
      </w:r>
    </w:p>
    <w:p w14:paraId="597032BE" w14:textId="49260C13" w:rsidR="00503B50" w:rsidRPr="0079125D" w:rsidRDefault="00503B50" w:rsidP="00503B50">
      <w:pPr>
        <w:tabs>
          <w:tab w:val="left" w:pos="2129"/>
        </w:tabs>
        <w:spacing w:before="20" w:after="10"/>
        <w:ind w:right="-144"/>
        <w:jc w:val="both"/>
        <w:rPr>
          <w:rFonts w:ascii="Calibri" w:hAnsi="Calibri" w:cs="Calibri"/>
          <w:color w:val="FF0000"/>
          <w:sz w:val="24"/>
          <w:szCs w:val="24"/>
        </w:rPr>
      </w:pPr>
      <w:r w:rsidRPr="0079125D">
        <w:rPr>
          <w:rFonts w:ascii="Calibri" w:hAnsi="Calibri" w:cs="Calibri"/>
          <w:sz w:val="24"/>
          <w:szCs w:val="24"/>
        </w:rPr>
        <w:t xml:space="preserve">Current Price: INR 2147.75                                       Target Price: INR 2281.24              </w:t>
      </w:r>
      <w:r w:rsidR="005040BC">
        <w:rPr>
          <w:rFonts w:ascii="Calibri" w:hAnsi="Calibri" w:cs="Calibri"/>
          <w:sz w:val="24"/>
          <w:szCs w:val="24"/>
        </w:rPr>
        <w:t xml:space="preserve">  </w:t>
      </w:r>
      <w:r w:rsidRPr="0079125D">
        <w:rPr>
          <w:rFonts w:ascii="Calibri" w:hAnsi="Calibri" w:cs="Calibri"/>
          <w:sz w:val="24"/>
          <w:szCs w:val="24"/>
        </w:rPr>
        <w:t xml:space="preserve"> Recommendation: </w:t>
      </w:r>
      <w:r w:rsidR="00104FD6" w:rsidRPr="0079125D">
        <w:rPr>
          <w:rFonts w:ascii="Calibri" w:hAnsi="Calibri" w:cs="Calibri"/>
          <w:color w:val="FF0000"/>
          <w:sz w:val="24"/>
          <w:szCs w:val="24"/>
        </w:rPr>
        <w:t>Hold</w:t>
      </w:r>
    </w:p>
    <w:p w14:paraId="350DB14C" w14:textId="35229D83" w:rsidR="00517245" w:rsidRPr="00626D23" w:rsidRDefault="00503B50" w:rsidP="00426671">
      <w:pPr>
        <w:pBdr>
          <w:bottom w:val="single" w:sz="6" w:space="1" w:color="auto"/>
        </w:pBdr>
        <w:tabs>
          <w:tab w:val="left" w:pos="2129"/>
        </w:tabs>
        <w:spacing w:before="20" w:after="20"/>
        <w:ind w:right="-144"/>
        <w:jc w:val="both"/>
        <w:rPr>
          <w:rFonts w:ascii="Calibri" w:hAnsi="Calibri" w:cs="Calibri"/>
          <w:sz w:val="24"/>
          <w:szCs w:val="24"/>
        </w:rPr>
      </w:pPr>
      <w:r w:rsidRPr="0079125D">
        <w:rPr>
          <w:rFonts w:ascii="Calibri" w:hAnsi="Calibri" w:cs="Calibri"/>
          <w:sz w:val="24"/>
          <w:szCs w:val="24"/>
        </w:rPr>
        <w:t>NSE Ticker: KOTAKBANK                                              BSE TICKER: 500247                           Headquarters:</w:t>
      </w:r>
      <w:r w:rsidR="00DC6F4B" w:rsidRPr="0079125D">
        <w:rPr>
          <w:rFonts w:ascii="Calibri" w:hAnsi="Calibri" w:cs="Calibri"/>
          <w:sz w:val="24"/>
          <w:szCs w:val="24"/>
        </w:rPr>
        <w:t xml:space="preserve"> Mumbai, Ind</w:t>
      </w:r>
      <w:r w:rsidR="00CA6A48">
        <w:rPr>
          <w:rFonts w:ascii="Calibri" w:hAnsi="Calibri" w:cs="Calibri"/>
          <w:sz w:val="24"/>
          <w:szCs w:val="24"/>
        </w:rPr>
        <w:t>ia</w:t>
      </w:r>
    </w:p>
    <w:p w14:paraId="31A3FD3D" w14:textId="77777777" w:rsidR="00CA6A48" w:rsidRDefault="00CA6A48" w:rsidP="004818A5">
      <w:pPr>
        <w:spacing w:before="16" w:after="16"/>
        <w:jc w:val="both"/>
        <w:rPr>
          <w:rFonts w:ascii="Calibri" w:eastAsia="Times New Roman" w:hAnsi="Calibri" w:cs="Calibri"/>
          <w:kern w:val="0"/>
          <w:sz w:val="24"/>
          <w:szCs w:val="24"/>
          <w14:ligatures w14:val="none"/>
        </w:rPr>
      </w:pPr>
    </w:p>
    <w:p w14:paraId="5126D0DC" w14:textId="6A3439DB" w:rsidR="00CA6A48" w:rsidRPr="00CA6A48" w:rsidRDefault="00CA6A48" w:rsidP="004818A5">
      <w:pPr>
        <w:spacing w:before="16" w:after="16"/>
        <w:jc w:val="both"/>
        <w:rPr>
          <w:rFonts w:ascii="Calibri" w:eastAsia="Times New Roman" w:hAnsi="Calibri" w:cs="Calibri"/>
          <w:color w:val="FF0000"/>
          <w:kern w:val="0"/>
          <w:sz w:val="32"/>
          <w:szCs w:val="32"/>
          <w14:ligatures w14:val="none"/>
        </w:rPr>
      </w:pPr>
      <w:r w:rsidRPr="00CA6A48">
        <w:rPr>
          <w:rFonts w:ascii="Calibri" w:eastAsia="Times New Roman" w:hAnsi="Calibri" w:cs="Calibri"/>
          <w:color w:val="FF0000"/>
          <w:kern w:val="0"/>
          <w:sz w:val="32"/>
          <w:szCs w:val="32"/>
          <w14:ligatures w14:val="none"/>
        </w:rPr>
        <w:t>Highlights</w:t>
      </w:r>
    </w:p>
    <w:p w14:paraId="630407BF" w14:textId="546FCB27" w:rsidR="00B01BA0" w:rsidRDefault="00CA6A48" w:rsidP="00B01BA0">
      <w:pPr>
        <w:spacing w:before="16" w:after="16"/>
        <w:jc w:val="both"/>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 xml:space="preserve">We recommend </w:t>
      </w:r>
      <w:r w:rsidR="00176BEE">
        <w:rPr>
          <w:rFonts w:ascii="Calibri" w:eastAsia="Times New Roman" w:hAnsi="Calibri" w:cs="Calibri"/>
          <w:kern w:val="0"/>
          <w:sz w:val="24"/>
          <w:szCs w:val="24"/>
          <w14:ligatures w14:val="none"/>
        </w:rPr>
        <w:t>holding</w:t>
      </w:r>
      <w:r>
        <w:rPr>
          <w:rFonts w:ascii="Calibri" w:eastAsia="Times New Roman" w:hAnsi="Calibri" w:cs="Calibri"/>
          <w:kern w:val="0"/>
          <w:sz w:val="24"/>
          <w:szCs w:val="24"/>
          <w14:ligatures w14:val="none"/>
        </w:rPr>
        <w:t xml:space="preserve"> the share of KOTAKBANK </w:t>
      </w:r>
      <w:r w:rsidR="00A936C3">
        <w:rPr>
          <w:rFonts w:ascii="Calibri" w:eastAsia="Times New Roman" w:hAnsi="Calibri" w:cs="Calibri"/>
          <w:kern w:val="0"/>
          <w:sz w:val="24"/>
          <w:szCs w:val="24"/>
          <w14:ligatures w14:val="none"/>
        </w:rPr>
        <w:t>based on one year growth of 6.2%. Our recommendation is primarily driven by:</w:t>
      </w:r>
    </w:p>
    <w:p w14:paraId="2EE5B156" w14:textId="2CAA0AF9" w:rsidR="00A936C3" w:rsidRPr="00B01BA0" w:rsidRDefault="00BC155A" w:rsidP="00B01BA0">
      <w:pPr>
        <w:pStyle w:val="ListParagraph"/>
        <w:numPr>
          <w:ilvl w:val="0"/>
          <w:numId w:val="36"/>
        </w:numPr>
        <w:spacing w:before="16" w:after="16"/>
        <w:jc w:val="both"/>
        <w:rPr>
          <w:rFonts w:ascii="Calibri" w:eastAsia="Times New Roman" w:hAnsi="Calibri" w:cs="Calibri"/>
          <w:kern w:val="0"/>
          <w:sz w:val="24"/>
          <w:szCs w:val="24"/>
          <w14:ligatures w14:val="none"/>
        </w:rPr>
      </w:pPr>
      <w:r w:rsidRPr="00B01BA0">
        <w:rPr>
          <w:rFonts w:ascii="Calibri" w:eastAsia="Times New Roman" w:hAnsi="Calibri" w:cs="Calibri"/>
          <w:kern w:val="0"/>
          <w:sz w:val="24"/>
          <w:szCs w:val="24"/>
          <w14:ligatures w14:val="none"/>
        </w:rPr>
        <w:t xml:space="preserve">A DCF to Equity (FCFE) model that uses the risk-free rate (India 10Y G-Sec): 6.55% to produce an intrinsic value of ₹3,172.65 per share. </w:t>
      </w:r>
    </w:p>
    <w:p w14:paraId="4D50F534" w14:textId="77777777" w:rsidR="00741FCB" w:rsidRDefault="00BC155A" w:rsidP="00741FCB">
      <w:pPr>
        <w:pStyle w:val="ListParagraph"/>
        <w:numPr>
          <w:ilvl w:val="0"/>
          <w:numId w:val="36"/>
        </w:numPr>
        <w:spacing w:before="16" w:after="16"/>
        <w:rPr>
          <w:rFonts w:ascii="Calibri" w:eastAsia="Times New Roman" w:hAnsi="Calibri" w:cs="Calibri"/>
          <w:kern w:val="0"/>
          <w:sz w:val="24"/>
          <w:szCs w:val="24"/>
          <w14:ligatures w14:val="none"/>
        </w:rPr>
      </w:pPr>
      <w:r w:rsidRPr="00B01BA0">
        <w:rPr>
          <w:rFonts w:ascii="Calibri" w:eastAsia="Times New Roman" w:hAnsi="Calibri" w:cs="Calibri"/>
          <w:kern w:val="0"/>
          <w:sz w:val="24"/>
          <w:szCs w:val="24"/>
          <w14:ligatures w14:val="none"/>
        </w:rPr>
        <w:t>India's equity risk premium is 7.0%; the selected beta is 0.60; the resulting cost of equity, or WACC, is 10.75%; and the long-term terminal growth is 5.0%.</w:t>
      </w:r>
    </w:p>
    <w:p w14:paraId="39542620" w14:textId="1C197133" w:rsidR="00741FCB" w:rsidRPr="00741FCB" w:rsidRDefault="00D82969" w:rsidP="00741FCB">
      <w:pPr>
        <w:pStyle w:val="ListParagraph"/>
        <w:numPr>
          <w:ilvl w:val="0"/>
          <w:numId w:val="36"/>
        </w:numPr>
        <w:spacing w:before="16" w:after="16"/>
        <w:rPr>
          <w:rFonts w:ascii="Calibri" w:eastAsia="Times New Roman" w:hAnsi="Calibri" w:cs="Calibri"/>
          <w:kern w:val="0"/>
          <w:sz w:val="24"/>
          <w:szCs w:val="24"/>
          <w14:ligatures w14:val="none"/>
        </w:rPr>
      </w:pPr>
      <w:r w:rsidRPr="00741FCB">
        <w:rPr>
          <w:rFonts w:ascii="Calibri" w:hAnsi="Calibri" w:cs="Calibri"/>
          <w:sz w:val="24"/>
          <w:szCs w:val="24"/>
        </w:rPr>
        <w:t>Using pricing-to-book (P/B) multiples of peer banks, and therefore an average sector P/B of 2.13, we calculated relative value for Kotak at ₹1,686.96 per share based on a FY25 estimated consolidated book value of ~₹792 per share.</w:t>
      </w:r>
    </w:p>
    <w:p w14:paraId="4DE55FD4" w14:textId="24FA2C8D" w:rsidR="00D82969" w:rsidRPr="00741FCB" w:rsidRDefault="00D82969" w:rsidP="00741FCB">
      <w:pPr>
        <w:pStyle w:val="ListParagraph"/>
        <w:numPr>
          <w:ilvl w:val="0"/>
          <w:numId w:val="36"/>
        </w:numPr>
        <w:spacing w:before="16" w:after="16"/>
        <w:rPr>
          <w:rFonts w:ascii="Calibri" w:eastAsia="Times New Roman" w:hAnsi="Calibri" w:cs="Calibri"/>
          <w:kern w:val="0"/>
          <w:sz w:val="24"/>
          <w:szCs w:val="24"/>
          <w14:ligatures w14:val="none"/>
        </w:rPr>
      </w:pPr>
      <w:r w:rsidRPr="00741FCB">
        <w:rPr>
          <w:rFonts w:ascii="Calibri" w:hAnsi="Calibri" w:cs="Calibri"/>
          <w:sz w:val="24"/>
          <w:szCs w:val="24"/>
        </w:rPr>
        <w:t xml:space="preserve">Additionally, we combined (blended) </w:t>
      </w:r>
      <w:r w:rsidR="00741FCB" w:rsidRPr="00741FCB">
        <w:rPr>
          <w:rFonts w:ascii="Calibri" w:hAnsi="Calibri" w:cs="Calibri"/>
          <w:sz w:val="24"/>
          <w:szCs w:val="24"/>
        </w:rPr>
        <w:t>discounted</w:t>
      </w:r>
      <w:r w:rsidRPr="00741FCB">
        <w:rPr>
          <w:rFonts w:ascii="Calibri" w:hAnsi="Calibri" w:cs="Calibri"/>
          <w:sz w:val="24"/>
          <w:szCs w:val="24"/>
        </w:rPr>
        <w:t xml:space="preserve"> cash flow (DCF) and peer multiples valuation models to arrive at a fair value of ₹2,281.24.</w:t>
      </w:r>
    </w:p>
    <w:p w14:paraId="792BD615" w14:textId="573C0C0C" w:rsidR="00D82969" w:rsidRPr="00626D23" w:rsidRDefault="00FB4E9A" w:rsidP="004818A5">
      <w:pPr>
        <w:spacing w:before="16" w:after="16"/>
        <w:jc w:val="both"/>
        <w:rPr>
          <w:rFonts w:ascii="Calibri" w:hAnsi="Calibri" w:cs="Calibri"/>
          <w:sz w:val="24"/>
          <w:szCs w:val="24"/>
        </w:rPr>
      </w:pPr>
      <w:r>
        <w:rPr>
          <w:noProof/>
        </w:rPr>
        <w:drawing>
          <wp:anchor distT="0" distB="0" distL="114300" distR="114300" simplePos="0" relativeHeight="251687424" behindDoc="0" locked="0" layoutInCell="1" allowOverlap="1" wp14:anchorId="44E05A34" wp14:editId="7D933B3E">
            <wp:simplePos x="0" y="0"/>
            <wp:positionH relativeFrom="margin">
              <wp:posOffset>3427012</wp:posOffset>
            </wp:positionH>
            <wp:positionV relativeFrom="paragraph">
              <wp:posOffset>513080</wp:posOffset>
            </wp:positionV>
            <wp:extent cx="3641090" cy="2130425"/>
            <wp:effectExtent l="0" t="0" r="16510" b="3175"/>
            <wp:wrapThrough wrapText="bothSides">
              <wp:wrapPolygon edited="0">
                <wp:start x="0" y="0"/>
                <wp:lineTo x="0" y="21439"/>
                <wp:lineTo x="21585" y="21439"/>
                <wp:lineTo x="21585" y="0"/>
                <wp:lineTo x="0" y="0"/>
              </wp:wrapPolygon>
            </wp:wrapThrough>
            <wp:docPr id="2084097018"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D82969" w:rsidRPr="00626D23">
        <w:rPr>
          <w:rFonts w:ascii="Calibri" w:hAnsi="Calibri" w:cs="Calibri"/>
          <w:sz w:val="24"/>
          <w:szCs w:val="24"/>
        </w:rPr>
        <w:t>Based on our analysis, we believe Kotak is fairly valued at approximately this level. The bank is a quality franchise, has solid balance sheet and profitability; however, those positives are already largely reflected in the current stock market price.</w:t>
      </w:r>
      <w:r w:rsidR="00977C75">
        <w:rPr>
          <w:rFonts w:ascii="Calibri" w:hAnsi="Calibri" w:cs="Calibri"/>
          <w:sz w:val="24"/>
          <w:szCs w:val="24"/>
        </w:rPr>
        <w:t xml:space="preserve"> </w:t>
      </w:r>
      <w:r w:rsidR="00D82969" w:rsidRPr="00626D23">
        <w:rPr>
          <w:rFonts w:ascii="Calibri" w:hAnsi="Calibri" w:cs="Calibri"/>
          <w:sz w:val="24"/>
          <w:szCs w:val="24"/>
        </w:rPr>
        <w:t>Thus, we believe Kotak is:</w:t>
      </w:r>
    </w:p>
    <w:p w14:paraId="622D681A" w14:textId="67625072" w:rsidR="00977C75" w:rsidRDefault="00D82969" w:rsidP="004818A5">
      <w:pPr>
        <w:pStyle w:val="ListParagraph"/>
        <w:numPr>
          <w:ilvl w:val="0"/>
          <w:numId w:val="37"/>
        </w:numPr>
        <w:spacing w:before="16" w:after="16"/>
        <w:jc w:val="both"/>
        <w:rPr>
          <w:rFonts w:ascii="Calibri" w:hAnsi="Calibri" w:cs="Calibri"/>
          <w:sz w:val="24"/>
          <w:szCs w:val="24"/>
        </w:rPr>
      </w:pPr>
      <w:r w:rsidRPr="00977C75">
        <w:rPr>
          <w:rFonts w:ascii="Calibri" w:hAnsi="Calibri" w:cs="Calibri"/>
          <w:sz w:val="24"/>
          <w:szCs w:val="24"/>
        </w:rPr>
        <w:t>A core long-term investment for investors looking for exposure to high-quality private sector bank with prudent credit practices, multiple sources of non-interest income and strong capital reserves</w:t>
      </w:r>
      <w:r w:rsidR="00977C75">
        <w:rPr>
          <w:rFonts w:ascii="Calibri" w:hAnsi="Calibri" w:cs="Calibri"/>
          <w:sz w:val="24"/>
          <w:szCs w:val="24"/>
        </w:rPr>
        <w:t>.</w:t>
      </w:r>
    </w:p>
    <w:p w14:paraId="54CCF4BB" w14:textId="6D9FBF3C" w:rsidR="00CE5090" w:rsidRPr="00977C75" w:rsidRDefault="00D82969" w:rsidP="004818A5">
      <w:pPr>
        <w:pStyle w:val="ListParagraph"/>
        <w:numPr>
          <w:ilvl w:val="0"/>
          <w:numId w:val="37"/>
        </w:numPr>
        <w:spacing w:before="16" w:after="16"/>
        <w:jc w:val="both"/>
        <w:rPr>
          <w:rFonts w:ascii="Calibri" w:hAnsi="Calibri" w:cs="Calibri"/>
          <w:sz w:val="24"/>
          <w:szCs w:val="24"/>
        </w:rPr>
      </w:pPr>
      <w:r w:rsidRPr="00977C75">
        <w:rPr>
          <w:rFonts w:ascii="Calibri" w:hAnsi="Calibri" w:cs="Calibri"/>
          <w:sz w:val="24"/>
          <w:szCs w:val="24"/>
        </w:rPr>
        <w:t xml:space="preserve">However, limited near-term potential for revaluation due to ~6% additional appreciation potential toward combined fair value; premium valuation levels for P/B and P/E metrics compared to </w:t>
      </w:r>
      <w:r w:rsidR="00F15F6F" w:rsidRPr="00977C75">
        <w:rPr>
          <w:rFonts w:ascii="Calibri" w:hAnsi="Calibri" w:cs="Calibri"/>
          <w:sz w:val="24"/>
          <w:szCs w:val="24"/>
        </w:rPr>
        <w:t>several of</w:t>
      </w:r>
      <w:r w:rsidRPr="00977C75">
        <w:rPr>
          <w:rFonts w:ascii="Calibri" w:hAnsi="Calibri" w:cs="Calibri"/>
          <w:sz w:val="24"/>
          <w:szCs w:val="24"/>
        </w:rPr>
        <w:t xml:space="preserve"> its competitors.</w:t>
      </w:r>
    </w:p>
    <w:p w14:paraId="5A3A9EE6" w14:textId="5DC7DB7C" w:rsidR="00274A93" w:rsidRPr="00626D23" w:rsidRDefault="00274A93" w:rsidP="004818A5">
      <w:pPr>
        <w:spacing w:before="16" w:after="16"/>
        <w:jc w:val="both"/>
        <w:rPr>
          <w:rFonts w:ascii="Calibri" w:hAnsi="Calibri" w:cs="Calibri"/>
          <w:sz w:val="24"/>
          <w:szCs w:val="24"/>
        </w:rPr>
      </w:pPr>
    </w:p>
    <w:p w14:paraId="2ED79D23" w14:textId="4CB9E131" w:rsidR="00357550" w:rsidRPr="00F34F27" w:rsidRDefault="00357550" w:rsidP="004818A5">
      <w:pPr>
        <w:spacing w:before="16" w:after="16"/>
        <w:jc w:val="both"/>
        <w:rPr>
          <w:rFonts w:ascii="Calibri" w:eastAsia="Times New Roman" w:hAnsi="Calibri" w:cs="Calibri"/>
          <w:color w:val="FF0000"/>
          <w:kern w:val="0"/>
          <w:sz w:val="32"/>
          <w:szCs w:val="32"/>
          <w14:ligatures w14:val="none"/>
        </w:rPr>
      </w:pPr>
      <w:r w:rsidRPr="00176BEE">
        <w:rPr>
          <w:rFonts w:ascii="Calibri" w:eastAsia="Times New Roman" w:hAnsi="Calibri" w:cs="Calibri"/>
          <w:color w:val="FF0000"/>
          <w:kern w:val="0"/>
          <w:sz w:val="32"/>
          <w:szCs w:val="32"/>
          <w14:ligatures w14:val="none"/>
        </w:rPr>
        <w:t>Industry Overview and Competitive Positioning</w:t>
      </w:r>
    </w:p>
    <w:p w14:paraId="5D43E0AB" w14:textId="29C27BA3" w:rsidR="00357550" w:rsidRDefault="00CF4CAB"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 Indian banking sector is a key aspect of India's overall financial system. The banking system supports India's economic growth, creates credit, and includes people through access to banking services. There are four main types of banks in India: public sector banks (government-owned), private sector banks (privately owned), foreign banks (non-Indian banks), and regional rural banks (specialty lenders for rural areas).</w:t>
      </w:r>
      <w:r w:rsidR="004416E4">
        <w:rPr>
          <w:rFonts w:ascii="Calibri" w:eastAsia="Times New Roman" w:hAnsi="Calibri" w:cs="Calibri"/>
          <w:kern w:val="0"/>
          <w:sz w:val="24"/>
          <w:szCs w:val="24"/>
          <w14:ligatures w14:val="none"/>
        </w:rPr>
        <w:t xml:space="preserve"> </w:t>
      </w:r>
      <w:r w:rsidRPr="00626D23">
        <w:rPr>
          <w:rFonts w:ascii="Calibri" w:eastAsia="Times New Roman" w:hAnsi="Calibri" w:cs="Calibri"/>
          <w:kern w:val="0"/>
          <w:sz w:val="24"/>
          <w:szCs w:val="24"/>
          <w14:ligatures w14:val="none"/>
        </w:rPr>
        <w:t xml:space="preserve">In the past decade, the Indian banking sector has evolved dramatically </w:t>
      </w:r>
      <w:r w:rsidR="00766BD1" w:rsidRPr="00626D23">
        <w:rPr>
          <w:rFonts w:ascii="Calibri" w:eastAsia="Times New Roman" w:hAnsi="Calibri" w:cs="Calibri"/>
          <w:kern w:val="0"/>
          <w:sz w:val="24"/>
          <w:szCs w:val="24"/>
          <w14:ligatures w14:val="none"/>
        </w:rPr>
        <w:t>because of</w:t>
      </w:r>
      <w:r w:rsidRPr="00626D23">
        <w:rPr>
          <w:rFonts w:ascii="Calibri" w:eastAsia="Times New Roman" w:hAnsi="Calibri" w:cs="Calibri"/>
          <w:kern w:val="0"/>
          <w:sz w:val="24"/>
          <w:szCs w:val="24"/>
          <w14:ligatures w14:val="none"/>
        </w:rPr>
        <w:t xml:space="preserve"> numerous regulatory changes, advancements in technology and digital banking, and consolidation of the banking industry. Following the challenges faced by the banking sector during the COVID-19 pandemic, banks have rebounded strongly with the help of robust lending activity, solid asset quality, and adequate capital strength.</w:t>
      </w:r>
      <w:r w:rsidR="004416E4">
        <w:rPr>
          <w:rFonts w:ascii="Calibri" w:eastAsia="Times New Roman" w:hAnsi="Calibri" w:cs="Calibri"/>
          <w:kern w:val="0"/>
          <w:sz w:val="24"/>
          <w:szCs w:val="24"/>
          <w14:ligatures w14:val="none"/>
        </w:rPr>
        <w:t xml:space="preserve"> </w:t>
      </w:r>
      <w:r w:rsidRPr="00626D23">
        <w:rPr>
          <w:rFonts w:ascii="Calibri" w:eastAsia="Times New Roman" w:hAnsi="Calibri" w:cs="Calibri"/>
          <w:kern w:val="0"/>
          <w:sz w:val="24"/>
          <w:szCs w:val="24"/>
          <w14:ligatures w14:val="none"/>
        </w:rPr>
        <w:t xml:space="preserve">The Reserve Bank of India (RBI) reported that the growth of total bank lending has remained high at over 11% annually, with private banks consistently gaining </w:t>
      </w:r>
      <w:r w:rsidRPr="00626D23">
        <w:rPr>
          <w:rFonts w:ascii="Calibri" w:eastAsia="Times New Roman" w:hAnsi="Calibri" w:cs="Calibri"/>
          <w:kern w:val="0"/>
          <w:sz w:val="24"/>
          <w:szCs w:val="24"/>
          <w14:ligatures w14:val="none"/>
        </w:rPr>
        <w:lastRenderedPageBreak/>
        <w:t>market share at the expense of their public sector counterparts. The banking sector has matured and is now experiencing a continual cycle of growth, with increased competition, a focus on improving operational efficiency, and increased use of technology in the banking process.</w:t>
      </w:r>
    </w:p>
    <w:p w14:paraId="230CEF9D" w14:textId="77777777" w:rsidR="004416E4" w:rsidRDefault="004416E4" w:rsidP="004818A5">
      <w:pPr>
        <w:spacing w:before="16" w:after="16"/>
        <w:jc w:val="both"/>
        <w:rPr>
          <w:rFonts w:ascii="Calibri" w:eastAsia="Times New Roman" w:hAnsi="Calibri" w:cs="Calibri"/>
          <w:kern w:val="0"/>
          <w:sz w:val="24"/>
          <w:szCs w:val="24"/>
          <w14:ligatures w14:val="none"/>
        </w:rPr>
      </w:pPr>
    </w:p>
    <w:p w14:paraId="3E6B5F21" w14:textId="77777777" w:rsidR="004416E4" w:rsidRDefault="004416E4" w:rsidP="004818A5">
      <w:pPr>
        <w:spacing w:before="16" w:after="16"/>
        <w:jc w:val="both"/>
        <w:rPr>
          <w:rFonts w:ascii="Calibri" w:eastAsia="Times New Roman" w:hAnsi="Calibri" w:cs="Calibri"/>
          <w:kern w:val="0"/>
          <w:sz w:val="24"/>
          <w:szCs w:val="24"/>
          <w14:ligatures w14:val="none"/>
        </w:rPr>
      </w:pPr>
    </w:p>
    <w:p w14:paraId="3A532DED" w14:textId="77777777" w:rsidR="004416E4" w:rsidRDefault="004416E4" w:rsidP="004818A5">
      <w:pPr>
        <w:spacing w:before="16" w:after="16"/>
        <w:jc w:val="both"/>
        <w:rPr>
          <w:rFonts w:ascii="Calibri" w:eastAsia="Times New Roman" w:hAnsi="Calibri" w:cs="Calibri"/>
          <w:kern w:val="0"/>
          <w:sz w:val="24"/>
          <w:szCs w:val="24"/>
          <w14:ligatures w14:val="none"/>
        </w:rPr>
      </w:pPr>
    </w:p>
    <w:p w14:paraId="097C88EC" w14:textId="1C54A1B4" w:rsidR="00176BEE" w:rsidRPr="004416E4" w:rsidRDefault="00176BEE" w:rsidP="00176BEE">
      <w:pPr>
        <w:spacing w:before="16" w:after="16"/>
        <w:jc w:val="both"/>
        <w:rPr>
          <w:rFonts w:ascii="Calibri" w:hAnsi="Calibri" w:cs="Calibri"/>
          <w:color w:val="FF0000"/>
          <w:sz w:val="28"/>
          <w:szCs w:val="28"/>
        </w:rPr>
      </w:pPr>
      <w:r w:rsidRPr="004416E4">
        <w:rPr>
          <w:rFonts w:ascii="Calibri" w:hAnsi="Calibri" w:cs="Calibri"/>
          <w:color w:val="FF0000"/>
          <w:sz w:val="28"/>
          <w:szCs w:val="28"/>
        </w:rPr>
        <w:t>Business Model</w:t>
      </w:r>
      <w:r w:rsidR="00207649">
        <w:rPr>
          <w:rFonts w:ascii="Calibri" w:hAnsi="Calibri" w:cs="Calibri"/>
          <w:color w:val="FF0000"/>
          <w:sz w:val="28"/>
          <w:szCs w:val="28"/>
        </w:rPr>
        <w:t xml:space="preserve"> </w:t>
      </w:r>
    </w:p>
    <w:tbl>
      <w:tblPr>
        <w:tblW w:w="1078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7"/>
        <w:gridCol w:w="2864"/>
        <w:gridCol w:w="3727"/>
      </w:tblGrid>
      <w:tr w:rsidR="00176BEE" w:rsidRPr="00626D23" w14:paraId="03ADA21F" w14:textId="77777777" w:rsidTr="004416E4">
        <w:trPr>
          <w:trHeight w:val="359"/>
          <w:tblHeader/>
          <w:tblCellSpacing w:w="15" w:type="dxa"/>
        </w:trPr>
        <w:tc>
          <w:tcPr>
            <w:tcW w:w="0" w:type="auto"/>
            <w:vAlign w:val="center"/>
            <w:hideMark/>
          </w:tcPr>
          <w:p w14:paraId="099D7C49" w14:textId="77777777" w:rsidR="00176BEE" w:rsidRPr="004416E4" w:rsidRDefault="00176BEE" w:rsidP="004416E4">
            <w:pPr>
              <w:spacing w:before="16" w:after="16"/>
              <w:jc w:val="center"/>
              <w:rPr>
                <w:rFonts w:ascii="Calibri" w:eastAsia="Times New Roman" w:hAnsi="Calibri" w:cs="Calibri"/>
                <w:b/>
                <w:bCs/>
                <w:kern w:val="0"/>
                <w:sz w:val="24"/>
                <w:szCs w:val="24"/>
                <w14:ligatures w14:val="none"/>
              </w:rPr>
            </w:pPr>
            <w:r w:rsidRPr="004416E4">
              <w:rPr>
                <w:rFonts w:ascii="Calibri" w:eastAsia="Times New Roman" w:hAnsi="Calibri" w:cs="Calibri"/>
                <w:b/>
                <w:bCs/>
                <w:kern w:val="0"/>
                <w:sz w:val="24"/>
                <w:szCs w:val="24"/>
                <w14:ligatures w14:val="none"/>
              </w:rPr>
              <w:t>Subsidiary</w:t>
            </w:r>
          </w:p>
        </w:tc>
        <w:tc>
          <w:tcPr>
            <w:tcW w:w="0" w:type="auto"/>
            <w:vAlign w:val="center"/>
            <w:hideMark/>
          </w:tcPr>
          <w:p w14:paraId="79B5B8FC" w14:textId="77777777" w:rsidR="00176BEE" w:rsidRPr="004416E4" w:rsidRDefault="00176BEE" w:rsidP="004416E4">
            <w:pPr>
              <w:spacing w:before="16" w:after="16"/>
              <w:jc w:val="center"/>
              <w:rPr>
                <w:rFonts w:ascii="Calibri" w:eastAsia="Times New Roman" w:hAnsi="Calibri" w:cs="Calibri"/>
                <w:b/>
                <w:bCs/>
                <w:kern w:val="0"/>
                <w:sz w:val="24"/>
                <w:szCs w:val="24"/>
                <w14:ligatures w14:val="none"/>
              </w:rPr>
            </w:pPr>
            <w:r w:rsidRPr="004416E4">
              <w:rPr>
                <w:rFonts w:ascii="Calibri" w:eastAsia="Times New Roman" w:hAnsi="Calibri" w:cs="Calibri"/>
                <w:b/>
                <w:bCs/>
                <w:kern w:val="0"/>
                <w:sz w:val="24"/>
                <w:szCs w:val="24"/>
                <w14:ligatures w14:val="none"/>
              </w:rPr>
              <w:t>Business Segment</w:t>
            </w:r>
          </w:p>
        </w:tc>
        <w:tc>
          <w:tcPr>
            <w:tcW w:w="0" w:type="auto"/>
            <w:vAlign w:val="center"/>
            <w:hideMark/>
          </w:tcPr>
          <w:p w14:paraId="4B868BCA" w14:textId="77777777" w:rsidR="00176BEE" w:rsidRPr="004416E4" w:rsidRDefault="00176BEE" w:rsidP="004416E4">
            <w:pPr>
              <w:spacing w:before="16" w:after="16"/>
              <w:jc w:val="center"/>
              <w:rPr>
                <w:rFonts w:ascii="Calibri" w:eastAsia="Times New Roman" w:hAnsi="Calibri" w:cs="Calibri"/>
                <w:b/>
                <w:bCs/>
                <w:kern w:val="0"/>
                <w:sz w:val="24"/>
                <w:szCs w:val="24"/>
                <w14:ligatures w14:val="none"/>
              </w:rPr>
            </w:pPr>
            <w:r w:rsidRPr="004416E4">
              <w:rPr>
                <w:rFonts w:ascii="Calibri" w:eastAsia="Times New Roman" w:hAnsi="Calibri" w:cs="Calibri"/>
                <w:b/>
                <w:bCs/>
                <w:kern w:val="0"/>
                <w:sz w:val="24"/>
                <w:szCs w:val="24"/>
                <w14:ligatures w14:val="none"/>
              </w:rPr>
              <w:t>Key Role</w:t>
            </w:r>
          </w:p>
        </w:tc>
      </w:tr>
      <w:tr w:rsidR="00176BEE" w:rsidRPr="00626D23" w14:paraId="1007296D" w14:textId="77777777" w:rsidTr="004416E4">
        <w:trPr>
          <w:trHeight w:val="359"/>
          <w:tblCellSpacing w:w="15" w:type="dxa"/>
        </w:trPr>
        <w:tc>
          <w:tcPr>
            <w:tcW w:w="0" w:type="auto"/>
            <w:vAlign w:val="center"/>
            <w:hideMark/>
          </w:tcPr>
          <w:p w14:paraId="37313BA8"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Mahindra Prime Ltd.</w:t>
            </w:r>
          </w:p>
        </w:tc>
        <w:tc>
          <w:tcPr>
            <w:tcW w:w="0" w:type="auto"/>
            <w:vAlign w:val="center"/>
            <w:hideMark/>
          </w:tcPr>
          <w:p w14:paraId="76CA5EF0"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Vehicle finance</w:t>
            </w:r>
          </w:p>
        </w:tc>
        <w:tc>
          <w:tcPr>
            <w:tcW w:w="0" w:type="auto"/>
            <w:vAlign w:val="center"/>
            <w:hideMark/>
          </w:tcPr>
          <w:p w14:paraId="4CA92542"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Retail lending growth</w:t>
            </w:r>
          </w:p>
        </w:tc>
      </w:tr>
      <w:tr w:rsidR="00176BEE" w:rsidRPr="00626D23" w14:paraId="176DEBA2" w14:textId="77777777" w:rsidTr="004416E4">
        <w:trPr>
          <w:trHeight w:val="371"/>
          <w:tblCellSpacing w:w="15" w:type="dxa"/>
        </w:trPr>
        <w:tc>
          <w:tcPr>
            <w:tcW w:w="0" w:type="auto"/>
            <w:vAlign w:val="center"/>
            <w:hideMark/>
          </w:tcPr>
          <w:p w14:paraId="7DCCE2E8"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Securities Ltd.</w:t>
            </w:r>
          </w:p>
        </w:tc>
        <w:tc>
          <w:tcPr>
            <w:tcW w:w="0" w:type="auto"/>
            <w:vAlign w:val="center"/>
            <w:hideMark/>
          </w:tcPr>
          <w:p w14:paraId="3829D3D8"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Brokerage &amp; Investment</w:t>
            </w:r>
          </w:p>
        </w:tc>
        <w:tc>
          <w:tcPr>
            <w:tcW w:w="0" w:type="auto"/>
            <w:vAlign w:val="center"/>
            <w:hideMark/>
          </w:tcPr>
          <w:p w14:paraId="37B0DF29"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Capital market distribution</w:t>
            </w:r>
          </w:p>
        </w:tc>
      </w:tr>
      <w:tr w:rsidR="00176BEE" w:rsidRPr="00626D23" w14:paraId="1603EF13" w14:textId="77777777" w:rsidTr="004416E4">
        <w:trPr>
          <w:trHeight w:val="359"/>
          <w:tblCellSpacing w:w="15" w:type="dxa"/>
        </w:trPr>
        <w:tc>
          <w:tcPr>
            <w:tcW w:w="0" w:type="auto"/>
            <w:vAlign w:val="center"/>
            <w:hideMark/>
          </w:tcPr>
          <w:p w14:paraId="6EF5611E"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Mahindra Asset Management</w:t>
            </w:r>
          </w:p>
        </w:tc>
        <w:tc>
          <w:tcPr>
            <w:tcW w:w="0" w:type="auto"/>
            <w:vAlign w:val="center"/>
            <w:hideMark/>
          </w:tcPr>
          <w:p w14:paraId="569BAFBD"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Mutual funds</w:t>
            </w:r>
          </w:p>
        </w:tc>
        <w:tc>
          <w:tcPr>
            <w:tcW w:w="0" w:type="auto"/>
            <w:vAlign w:val="center"/>
            <w:hideMark/>
          </w:tcPr>
          <w:p w14:paraId="2DB1B89B"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Fee-based AUM income</w:t>
            </w:r>
          </w:p>
        </w:tc>
      </w:tr>
      <w:tr w:rsidR="00176BEE" w:rsidRPr="00626D23" w14:paraId="57CC331C" w14:textId="77777777" w:rsidTr="004416E4">
        <w:trPr>
          <w:trHeight w:val="359"/>
          <w:tblCellSpacing w:w="15" w:type="dxa"/>
        </w:trPr>
        <w:tc>
          <w:tcPr>
            <w:tcW w:w="0" w:type="auto"/>
            <w:vAlign w:val="center"/>
            <w:hideMark/>
          </w:tcPr>
          <w:p w14:paraId="2FF75A6F"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Mahindra Life Insurance</w:t>
            </w:r>
          </w:p>
        </w:tc>
        <w:tc>
          <w:tcPr>
            <w:tcW w:w="0" w:type="auto"/>
            <w:vAlign w:val="center"/>
            <w:hideMark/>
          </w:tcPr>
          <w:p w14:paraId="3F552672"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Life insurance</w:t>
            </w:r>
          </w:p>
        </w:tc>
        <w:tc>
          <w:tcPr>
            <w:tcW w:w="0" w:type="auto"/>
            <w:vAlign w:val="center"/>
            <w:hideMark/>
          </w:tcPr>
          <w:p w14:paraId="40B0C040"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Cross-sold protection business</w:t>
            </w:r>
          </w:p>
        </w:tc>
      </w:tr>
      <w:tr w:rsidR="00176BEE" w:rsidRPr="00626D23" w14:paraId="7F1F5A6F" w14:textId="77777777" w:rsidTr="004416E4">
        <w:trPr>
          <w:trHeight w:val="359"/>
          <w:tblCellSpacing w:w="15" w:type="dxa"/>
        </w:trPr>
        <w:tc>
          <w:tcPr>
            <w:tcW w:w="0" w:type="auto"/>
            <w:vAlign w:val="center"/>
            <w:hideMark/>
          </w:tcPr>
          <w:p w14:paraId="4FD1AD89"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General Insurance</w:t>
            </w:r>
          </w:p>
        </w:tc>
        <w:tc>
          <w:tcPr>
            <w:tcW w:w="0" w:type="auto"/>
            <w:vAlign w:val="center"/>
            <w:hideMark/>
          </w:tcPr>
          <w:p w14:paraId="39FB3DFB"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Non-life insurance</w:t>
            </w:r>
          </w:p>
        </w:tc>
        <w:tc>
          <w:tcPr>
            <w:tcW w:w="0" w:type="auto"/>
            <w:vAlign w:val="center"/>
            <w:hideMark/>
          </w:tcPr>
          <w:p w14:paraId="76859E85"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Diversified fee stream</w:t>
            </w:r>
          </w:p>
        </w:tc>
      </w:tr>
      <w:tr w:rsidR="00176BEE" w:rsidRPr="00626D23" w14:paraId="4F8E32AC" w14:textId="77777777" w:rsidTr="004416E4">
        <w:trPr>
          <w:trHeight w:val="359"/>
          <w:tblCellSpacing w:w="15" w:type="dxa"/>
        </w:trPr>
        <w:tc>
          <w:tcPr>
            <w:tcW w:w="0" w:type="auto"/>
            <w:vAlign w:val="center"/>
            <w:hideMark/>
          </w:tcPr>
          <w:p w14:paraId="70DD59EB"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Investment Advisors</w:t>
            </w:r>
          </w:p>
        </w:tc>
        <w:tc>
          <w:tcPr>
            <w:tcW w:w="0" w:type="auto"/>
            <w:vAlign w:val="center"/>
            <w:hideMark/>
          </w:tcPr>
          <w:p w14:paraId="76CF877A"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Alternative investments</w:t>
            </w:r>
          </w:p>
        </w:tc>
        <w:tc>
          <w:tcPr>
            <w:tcW w:w="0" w:type="auto"/>
            <w:vAlign w:val="center"/>
            <w:hideMark/>
          </w:tcPr>
          <w:p w14:paraId="128D3DF2" w14:textId="77777777" w:rsidR="00176BEE" w:rsidRPr="00626D23" w:rsidRDefault="00176BEE" w:rsidP="004416E4">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Private equity, real estate funds</w:t>
            </w:r>
          </w:p>
        </w:tc>
      </w:tr>
    </w:tbl>
    <w:p w14:paraId="122DFE2C" w14:textId="77777777" w:rsidR="00176BEE" w:rsidRPr="00626D23" w:rsidRDefault="00176BEE" w:rsidP="004818A5">
      <w:pPr>
        <w:spacing w:before="16" w:after="16"/>
        <w:jc w:val="both"/>
        <w:rPr>
          <w:rFonts w:ascii="Calibri" w:eastAsia="Times New Roman" w:hAnsi="Calibri" w:cs="Calibri"/>
          <w:kern w:val="0"/>
          <w:sz w:val="24"/>
          <w:szCs w:val="24"/>
          <w14:ligatures w14:val="none"/>
        </w:rPr>
      </w:pPr>
    </w:p>
    <w:p w14:paraId="61E82271" w14:textId="77777777" w:rsidR="00176BEE" w:rsidRPr="004416E4" w:rsidRDefault="00176BEE" w:rsidP="00176BEE">
      <w:pPr>
        <w:spacing w:before="16" w:after="16"/>
        <w:jc w:val="both"/>
        <w:rPr>
          <w:rFonts w:ascii="Calibri" w:eastAsia="Times New Roman" w:hAnsi="Calibri" w:cs="Calibri"/>
          <w:color w:val="FF0000"/>
          <w:kern w:val="0"/>
          <w:sz w:val="28"/>
          <w:szCs w:val="28"/>
          <w14:ligatures w14:val="none"/>
        </w:rPr>
      </w:pPr>
      <w:r w:rsidRPr="004416E4">
        <w:rPr>
          <w:rFonts w:ascii="Calibri" w:eastAsia="Times New Roman" w:hAnsi="Calibri" w:cs="Calibri"/>
          <w:color w:val="FF0000"/>
          <w:kern w:val="0"/>
          <w:sz w:val="28"/>
          <w:szCs w:val="28"/>
          <w14:ligatures w14:val="none"/>
        </w:rPr>
        <w:t>Strategy</w:t>
      </w:r>
    </w:p>
    <w:p w14:paraId="02C4CBB2" w14:textId="4735B494" w:rsidR="00176BEE" w:rsidRPr="00626D23" w:rsidRDefault="00176BEE" w:rsidP="00176BEE">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Mahindra Bank’s core strategic vision is to become India’s most trusted and digitally advanced financial institution, with a focus on profitable, risk-conscious growth.</w:t>
      </w:r>
      <w:r w:rsidR="004416E4">
        <w:rPr>
          <w:rFonts w:ascii="Calibri" w:eastAsia="Times New Roman" w:hAnsi="Calibri" w:cs="Calibri"/>
          <w:kern w:val="0"/>
          <w:sz w:val="24"/>
          <w:szCs w:val="24"/>
          <w14:ligatures w14:val="none"/>
        </w:rPr>
        <w:t xml:space="preserve"> </w:t>
      </w:r>
      <w:r w:rsidRPr="00626D23">
        <w:rPr>
          <w:rFonts w:ascii="Calibri" w:eastAsia="Times New Roman" w:hAnsi="Calibri" w:cs="Calibri"/>
          <w:kern w:val="0"/>
          <w:sz w:val="24"/>
          <w:szCs w:val="24"/>
          <w14:ligatures w14:val="none"/>
        </w:rPr>
        <w:t>Key elements of its strategy include:</w:t>
      </w:r>
    </w:p>
    <w:p w14:paraId="5898694F" w14:textId="77777777" w:rsidR="004416E4" w:rsidRDefault="00176BEE" w:rsidP="00176BEE">
      <w:pPr>
        <w:pStyle w:val="ListParagraph"/>
        <w:numPr>
          <w:ilvl w:val="0"/>
          <w:numId w:val="38"/>
        </w:numPr>
        <w:spacing w:before="16" w:after="16"/>
        <w:jc w:val="both"/>
        <w:rPr>
          <w:rFonts w:ascii="Calibri" w:hAnsi="Calibri" w:cs="Calibri"/>
          <w:sz w:val="24"/>
          <w:szCs w:val="24"/>
        </w:rPr>
      </w:pPr>
      <w:r w:rsidRPr="004416E4">
        <w:rPr>
          <w:rFonts w:ascii="Calibri" w:hAnsi="Calibri" w:cs="Calibri"/>
          <w:sz w:val="24"/>
          <w:szCs w:val="24"/>
        </w:rPr>
        <w:t>Recognition of a Great Need for Digital Transformation by Increasing Investment in Analytics, Mobile Platforms, and Automation.</w:t>
      </w:r>
    </w:p>
    <w:p w14:paraId="5003E870" w14:textId="77777777" w:rsidR="004416E4" w:rsidRDefault="00176BEE" w:rsidP="00176BEE">
      <w:pPr>
        <w:pStyle w:val="ListParagraph"/>
        <w:numPr>
          <w:ilvl w:val="0"/>
          <w:numId w:val="38"/>
        </w:numPr>
        <w:spacing w:before="16" w:after="16"/>
        <w:jc w:val="both"/>
        <w:rPr>
          <w:rFonts w:ascii="Calibri" w:hAnsi="Calibri" w:cs="Calibri"/>
          <w:sz w:val="24"/>
          <w:szCs w:val="24"/>
        </w:rPr>
      </w:pPr>
      <w:r w:rsidRPr="004416E4">
        <w:rPr>
          <w:rFonts w:ascii="Calibri" w:hAnsi="Calibri" w:cs="Calibri"/>
          <w:sz w:val="24"/>
          <w:szCs w:val="24"/>
        </w:rPr>
        <w:t>Expansion into New Customer Segments of the Mass Affluent or NRI Customers While Increasing the Penetration in the Rural Semi-Urban Markets.</w:t>
      </w:r>
    </w:p>
    <w:p w14:paraId="3F189732" w14:textId="77777777" w:rsidR="004416E4" w:rsidRDefault="00176BEE" w:rsidP="00176BEE">
      <w:pPr>
        <w:pStyle w:val="ListParagraph"/>
        <w:numPr>
          <w:ilvl w:val="0"/>
          <w:numId w:val="38"/>
        </w:numPr>
        <w:spacing w:before="16" w:after="16"/>
        <w:jc w:val="both"/>
        <w:rPr>
          <w:rFonts w:ascii="Calibri" w:hAnsi="Calibri" w:cs="Calibri"/>
          <w:sz w:val="24"/>
          <w:szCs w:val="24"/>
        </w:rPr>
      </w:pPr>
      <w:r w:rsidRPr="004416E4">
        <w:rPr>
          <w:rFonts w:ascii="Calibri" w:hAnsi="Calibri" w:cs="Calibri"/>
          <w:sz w:val="24"/>
          <w:szCs w:val="24"/>
        </w:rPr>
        <w:t>Stock Capital Efficiency by Maintaining that CET-1 Ratios Remain Above 21% and Credit Costs Should Remain Between 0.3 to 0.4% to Have the Ability to Absorb Future Shocks and Pursue Selective Acquisitions.</w:t>
      </w:r>
    </w:p>
    <w:p w14:paraId="05D4A8ED" w14:textId="77777777" w:rsidR="004416E4" w:rsidRDefault="00176BEE" w:rsidP="00176BEE">
      <w:pPr>
        <w:pStyle w:val="ListParagraph"/>
        <w:numPr>
          <w:ilvl w:val="0"/>
          <w:numId w:val="38"/>
        </w:numPr>
        <w:spacing w:before="16" w:after="16"/>
        <w:jc w:val="both"/>
        <w:rPr>
          <w:rFonts w:ascii="Calibri" w:hAnsi="Calibri" w:cs="Calibri"/>
          <w:sz w:val="24"/>
          <w:szCs w:val="24"/>
        </w:rPr>
      </w:pPr>
      <w:r w:rsidRPr="004416E4">
        <w:rPr>
          <w:rFonts w:ascii="Calibri" w:hAnsi="Calibri" w:cs="Calibri"/>
          <w:sz w:val="24"/>
          <w:szCs w:val="24"/>
        </w:rPr>
        <w:t>Cross-selling Benefits Based Off an Eco System of Subsidiaries to Offer Bundled Products to Create a Competitive Advantage Compared to the Single Product Line Banks.</w:t>
      </w:r>
    </w:p>
    <w:p w14:paraId="7B3C8D89" w14:textId="77777777" w:rsidR="004416E4" w:rsidRDefault="00176BEE" w:rsidP="00176BEE">
      <w:pPr>
        <w:pStyle w:val="ListParagraph"/>
        <w:numPr>
          <w:ilvl w:val="0"/>
          <w:numId w:val="38"/>
        </w:numPr>
        <w:spacing w:before="16" w:after="16"/>
        <w:jc w:val="both"/>
        <w:rPr>
          <w:rFonts w:ascii="Calibri" w:hAnsi="Calibri" w:cs="Calibri"/>
          <w:sz w:val="24"/>
          <w:szCs w:val="24"/>
        </w:rPr>
      </w:pPr>
      <w:r w:rsidRPr="004416E4">
        <w:rPr>
          <w:rFonts w:ascii="Calibri" w:hAnsi="Calibri" w:cs="Calibri"/>
          <w:sz w:val="24"/>
          <w:szCs w:val="24"/>
        </w:rPr>
        <w:t xml:space="preserve">Risk-adjusted Growth: Primary Focus on Quality Lending </w:t>
      </w:r>
      <w:proofErr w:type="gramStart"/>
      <w:r w:rsidRPr="004416E4">
        <w:rPr>
          <w:rFonts w:ascii="Calibri" w:hAnsi="Calibri" w:cs="Calibri"/>
          <w:sz w:val="24"/>
          <w:szCs w:val="24"/>
        </w:rPr>
        <w:t>Of</w:t>
      </w:r>
      <w:proofErr w:type="gramEnd"/>
      <w:r w:rsidRPr="004416E4">
        <w:rPr>
          <w:rFonts w:ascii="Calibri" w:hAnsi="Calibri" w:cs="Calibri"/>
          <w:sz w:val="24"/>
          <w:szCs w:val="24"/>
        </w:rPr>
        <w:t xml:space="preserve"> Secured Retail/Housing and Top Corporates To Sustain About 15% Return on Equity.</w:t>
      </w:r>
    </w:p>
    <w:p w14:paraId="187E541C" w14:textId="11B39DBC" w:rsidR="004416E4" w:rsidRPr="004416E4" w:rsidRDefault="00176BEE" w:rsidP="004416E4">
      <w:pPr>
        <w:pStyle w:val="ListParagraph"/>
        <w:numPr>
          <w:ilvl w:val="0"/>
          <w:numId w:val="38"/>
        </w:numPr>
        <w:spacing w:before="16" w:after="16"/>
        <w:jc w:val="both"/>
        <w:rPr>
          <w:rFonts w:ascii="Calibri" w:hAnsi="Calibri" w:cs="Calibri"/>
          <w:sz w:val="24"/>
          <w:szCs w:val="24"/>
        </w:rPr>
      </w:pPr>
      <w:r w:rsidRPr="004416E4">
        <w:rPr>
          <w:rFonts w:ascii="Calibri" w:hAnsi="Calibri" w:cs="Calibri"/>
          <w:sz w:val="24"/>
          <w:szCs w:val="24"/>
        </w:rPr>
        <w:t>Committed to Sustainability and ESG by Increasing Green Financing and Increased Disclosures Per the SEBI BRSR framework.</w:t>
      </w:r>
    </w:p>
    <w:p w14:paraId="7D254023" w14:textId="0FA3B4FF" w:rsidR="00176BEE" w:rsidRPr="004416E4" w:rsidRDefault="004416E4" w:rsidP="004416E4">
      <w:pPr>
        <w:spacing w:before="36" w:after="16"/>
        <w:jc w:val="both"/>
        <w:rPr>
          <w:rFonts w:ascii="Calibri" w:hAnsi="Calibri" w:cs="Calibri"/>
          <w:color w:val="FF0000"/>
          <w:sz w:val="28"/>
          <w:szCs w:val="28"/>
        </w:rPr>
      </w:pPr>
      <w:r w:rsidRPr="004416E4">
        <w:rPr>
          <w:rFonts w:ascii="Calibri" w:hAnsi="Calibri" w:cs="Calibri"/>
          <w:color w:val="FF0000"/>
          <w:sz w:val="28"/>
          <w:szCs w:val="28"/>
        </w:rPr>
        <w:t>Supply Chain</w:t>
      </w:r>
    </w:p>
    <w:p w14:paraId="191A788D" w14:textId="7692E667" w:rsidR="00176BEE" w:rsidRPr="00626D23" w:rsidRDefault="00176BEE" w:rsidP="00176BEE">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main source of funding for Kotak Mahindra Bank is retail deposits, which are bolstered by a balanced mix of current and savings accounts, guaranteeing stable liquidity and a low cost of funds. When necessary, the bank also borrows money from other financial institutions and raises money through term deposits. </w:t>
      </w:r>
      <w:r w:rsidRPr="00626D23">
        <w:rPr>
          <w:rFonts w:ascii="Calibri" w:eastAsia="Times New Roman" w:hAnsi="Calibri" w:cs="Calibri"/>
          <w:kern w:val="0"/>
          <w:sz w:val="24"/>
          <w:szCs w:val="24"/>
          <w14:ligatures w14:val="none"/>
        </w:rPr>
        <w:br/>
        <w:t xml:space="preserve">Customers throughout India can access and enjoy banking thanks to its extensive branch network, numerous ATMs, and robust digital platforms. The bank's emphasis on technology-driven services and effective distribution is reflected in the fact that </w:t>
      </w:r>
      <w:r w:rsidR="00483735" w:rsidRPr="00626D23">
        <w:rPr>
          <w:rFonts w:ascii="Calibri" w:eastAsia="Times New Roman" w:hAnsi="Calibri" w:cs="Calibri"/>
          <w:kern w:val="0"/>
          <w:sz w:val="24"/>
          <w:szCs w:val="24"/>
          <w14:ligatures w14:val="none"/>
        </w:rPr>
        <w:t>most</w:t>
      </w:r>
      <w:r w:rsidRPr="00626D23">
        <w:rPr>
          <w:rFonts w:ascii="Calibri" w:eastAsia="Times New Roman" w:hAnsi="Calibri" w:cs="Calibri"/>
          <w:kern w:val="0"/>
          <w:sz w:val="24"/>
          <w:szCs w:val="24"/>
          <w14:ligatures w14:val="none"/>
        </w:rPr>
        <w:t xml:space="preserve"> transactions are now completed digitally.</w:t>
      </w:r>
    </w:p>
    <w:p w14:paraId="278F7A30" w14:textId="77777777" w:rsidR="00176BEE" w:rsidRPr="00483735" w:rsidRDefault="00176BEE" w:rsidP="00483735">
      <w:pPr>
        <w:spacing w:before="36" w:after="16"/>
        <w:jc w:val="both"/>
        <w:rPr>
          <w:rFonts w:ascii="Calibri" w:eastAsia="Times New Roman" w:hAnsi="Calibri" w:cs="Calibri"/>
          <w:color w:val="FF0000"/>
          <w:kern w:val="0"/>
          <w:sz w:val="28"/>
          <w:szCs w:val="28"/>
          <w14:ligatures w14:val="none"/>
        </w:rPr>
      </w:pPr>
      <w:r w:rsidRPr="00483735">
        <w:rPr>
          <w:rFonts w:ascii="Calibri" w:eastAsia="Times New Roman" w:hAnsi="Calibri" w:cs="Calibri"/>
          <w:color w:val="FF0000"/>
          <w:kern w:val="0"/>
          <w:sz w:val="28"/>
          <w:szCs w:val="28"/>
          <w14:ligatures w14:val="none"/>
        </w:rPr>
        <w:t>Management and Governance</w:t>
      </w:r>
    </w:p>
    <w:p w14:paraId="464F496C" w14:textId="6075CDCC" w:rsidR="00176BEE" w:rsidRPr="00626D23" w:rsidRDefault="00176BEE" w:rsidP="00176BEE">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Kotak Mahindra Bank has an excellent professional management and executive team whose efforts have generated Kotak Mahindra Bank's reputation for safety, </w:t>
      </w:r>
      <w:r w:rsidR="0067128B" w:rsidRPr="00626D23">
        <w:rPr>
          <w:rFonts w:ascii="Calibri" w:eastAsia="Times New Roman" w:hAnsi="Calibri" w:cs="Calibri"/>
          <w:kern w:val="0"/>
          <w:sz w:val="24"/>
          <w:szCs w:val="24"/>
          <w14:ligatures w14:val="none"/>
        </w:rPr>
        <w:t>innovation,</w:t>
      </w:r>
      <w:r w:rsidRPr="00626D23">
        <w:rPr>
          <w:rFonts w:ascii="Calibri" w:eastAsia="Times New Roman" w:hAnsi="Calibri" w:cs="Calibri"/>
          <w:kern w:val="0"/>
          <w:sz w:val="24"/>
          <w:szCs w:val="24"/>
          <w14:ligatures w14:val="none"/>
        </w:rPr>
        <w:t xml:space="preserve"> and performance. A key development in </w:t>
      </w:r>
      <w:r w:rsidRPr="00626D23">
        <w:rPr>
          <w:rFonts w:ascii="Calibri" w:eastAsia="Times New Roman" w:hAnsi="Calibri" w:cs="Calibri"/>
          <w:kern w:val="0"/>
          <w:sz w:val="24"/>
          <w:szCs w:val="24"/>
          <w14:ligatures w14:val="none"/>
        </w:rPr>
        <w:lastRenderedPageBreak/>
        <w:t xml:space="preserve">2024 was the transition of leadership when Ashok Vaswani became Managing Director and Chief Executive Officer. He succeeded Uday Kotak the founder of Kotak Mahindra Bank and long-time supporter of the </w:t>
      </w:r>
      <w:r w:rsidR="0067128B" w:rsidRPr="00626D23">
        <w:rPr>
          <w:rFonts w:ascii="Calibri" w:eastAsia="Times New Roman" w:hAnsi="Calibri" w:cs="Calibri"/>
          <w:kern w:val="0"/>
          <w:sz w:val="24"/>
          <w:szCs w:val="24"/>
          <w14:ligatures w14:val="none"/>
        </w:rPr>
        <w:t>organization</w:t>
      </w:r>
      <w:r w:rsidRPr="00626D23">
        <w:rPr>
          <w:rFonts w:ascii="Calibri" w:eastAsia="Times New Roman" w:hAnsi="Calibri" w:cs="Calibri"/>
          <w:kern w:val="0"/>
          <w:sz w:val="24"/>
          <w:szCs w:val="24"/>
          <w14:ligatures w14:val="none"/>
        </w:rPr>
        <w:t xml:space="preserve">. This change will be a transition to a more institutionally driven governance structure. This will show how mature an </w:t>
      </w:r>
      <w:r w:rsidR="0067128B" w:rsidRPr="00626D23">
        <w:rPr>
          <w:rFonts w:ascii="Calibri" w:eastAsia="Times New Roman" w:hAnsi="Calibri" w:cs="Calibri"/>
          <w:kern w:val="0"/>
          <w:sz w:val="24"/>
          <w:szCs w:val="24"/>
          <w14:ligatures w14:val="none"/>
        </w:rPr>
        <w:t>organization</w:t>
      </w:r>
      <w:r w:rsidRPr="00626D23">
        <w:rPr>
          <w:rFonts w:ascii="Calibri" w:eastAsia="Times New Roman" w:hAnsi="Calibri" w:cs="Calibri"/>
          <w:kern w:val="0"/>
          <w:sz w:val="24"/>
          <w:szCs w:val="24"/>
          <w14:ligatures w14:val="none"/>
        </w:rPr>
        <w:t xml:space="preserve"> is like Kotak Mahindra Bank and its commitment to good governance.</w:t>
      </w:r>
    </w:p>
    <w:p w14:paraId="6AC080BC" w14:textId="77777777" w:rsidR="00176BEE" w:rsidRPr="00626D23" w:rsidRDefault="00176BEE" w:rsidP="00176BEE">
      <w:pPr>
        <w:spacing w:before="16" w:after="16"/>
        <w:jc w:val="both"/>
        <w:rPr>
          <w:rFonts w:ascii="Calibri" w:eastAsia="Times New Roman" w:hAnsi="Calibri" w:cs="Calibri"/>
          <w:kern w:val="0"/>
          <w:sz w:val="24"/>
          <w:szCs w:val="24"/>
          <w14:ligatures w14:val="none"/>
        </w:rPr>
      </w:pPr>
    </w:p>
    <w:p w14:paraId="76179797" w14:textId="3EC86C2C" w:rsidR="00176BEE" w:rsidRPr="00626D23" w:rsidRDefault="00176BEE" w:rsidP="00176BEE">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Board of Directors of Kotak Mahindra is comprised of an equal number of executive and independent directors from various disciplines of Banking, Finance, </w:t>
      </w:r>
      <w:r w:rsidR="0067128B" w:rsidRPr="00626D23">
        <w:rPr>
          <w:rFonts w:ascii="Calibri" w:eastAsia="Times New Roman" w:hAnsi="Calibri" w:cs="Calibri"/>
          <w:kern w:val="0"/>
          <w:sz w:val="24"/>
          <w:szCs w:val="24"/>
          <w14:ligatures w14:val="none"/>
        </w:rPr>
        <w:t>Law,</w:t>
      </w:r>
      <w:r w:rsidRPr="00626D23">
        <w:rPr>
          <w:rFonts w:ascii="Calibri" w:eastAsia="Times New Roman" w:hAnsi="Calibri" w:cs="Calibri"/>
          <w:kern w:val="0"/>
          <w:sz w:val="24"/>
          <w:szCs w:val="24"/>
          <w14:ligatures w14:val="none"/>
        </w:rPr>
        <w:t xml:space="preserve"> and Business. The Board of Directors of Kotak Mahindra is structured into various Committees for example the Audit Committee, Risk Management Committee, Nomination and Remuneration Committee and Corporate Social Responsibilities (CSR) Committee to oversee and be responsible for various aspects of the operations of Kotak Mahindra Bank. The Board has established a policy of board diversity and independence which promotes greater transparency in decision making.</w:t>
      </w:r>
    </w:p>
    <w:p w14:paraId="021F8042" w14:textId="77777777" w:rsidR="00176BEE" w:rsidRPr="00626D23" w:rsidRDefault="00176BEE" w:rsidP="00176BEE">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Kotak Mahindra Bank is regarded as one of the most reliable and open companies in India's financial industry when it comes to corporate governance. The bank upholds the strictest guidelines for ethical behavior, compliance, and disclosure. It conducts earnings calls with analysts, releases comprehensive quarterly and annual financial results, and includes in-depth management analysis and discussion in its annual report. </w:t>
      </w:r>
      <w:r w:rsidRPr="00626D23">
        <w:rPr>
          <w:rFonts w:ascii="Calibri" w:eastAsia="Times New Roman" w:hAnsi="Calibri" w:cs="Calibri"/>
          <w:kern w:val="0"/>
          <w:sz w:val="24"/>
          <w:szCs w:val="24"/>
          <w14:ligatures w14:val="none"/>
        </w:rPr>
        <w:br/>
        <w:t>Kotak's Code of Conduct and Ethics, which is applicable to all directors and employees and guarantees honesty and equity in all operations, serves as the foundation for the company's governance procedures. In accordance with the regulatory framework established by the Reserve Bank of India and SEBI, the bank has also imposed stringent policies on related-party transactions, whistleblower protection, and insider trading prevention.</w:t>
      </w:r>
    </w:p>
    <w:p w14:paraId="4AF98820" w14:textId="436974FD" w:rsidR="00176BEE" w:rsidRDefault="00176BEE"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Through regulatory oversight and open communication with shareholders, potential governance issues like succession planning and promoter influence have been successfully handled. The bank's proactive approach to reducing such risks is demonstrated by the seamless transition of leadership and the ongoing independence of the board.</w:t>
      </w:r>
    </w:p>
    <w:p w14:paraId="100EDD09" w14:textId="77DBEBFF" w:rsidR="00357550" w:rsidRPr="0067128B" w:rsidRDefault="00357550" w:rsidP="0067128B">
      <w:pPr>
        <w:spacing w:before="36" w:after="16"/>
        <w:jc w:val="both"/>
        <w:rPr>
          <w:rFonts w:ascii="Calibri" w:eastAsia="Times New Roman" w:hAnsi="Calibri" w:cs="Calibri"/>
          <w:color w:val="FF0000"/>
          <w:kern w:val="0"/>
          <w:sz w:val="28"/>
          <w:szCs w:val="28"/>
          <w14:ligatures w14:val="none"/>
        </w:rPr>
      </w:pPr>
      <w:r w:rsidRPr="0067128B">
        <w:rPr>
          <w:rFonts w:ascii="Calibri" w:eastAsia="Times New Roman" w:hAnsi="Calibri" w:cs="Calibri"/>
          <w:color w:val="FF0000"/>
          <w:kern w:val="0"/>
          <w:sz w:val="28"/>
          <w:szCs w:val="28"/>
          <w14:ligatures w14:val="none"/>
        </w:rPr>
        <w:t>Key External Drivers</w:t>
      </w:r>
    </w:p>
    <w:p w14:paraId="40DCDBF9" w14:textId="77777777" w:rsidR="00D72D78" w:rsidRPr="0067128B" w:rsidRDefault="00D72D78" w:rsidP="0067128B">
      <w:pPr>
        <w:pStyle w:val="ListParagraph"/>
        <w:numPr>
          <w:ilvl w:val="0"/>
          <w:numId w:val="39"/>
        </w:numPr>
        <w:spacing w:before="16" w:after="16"/>
        <w:jc w:val="both"/>
        <w:rPr>
          <w:rFonts w:ascii="Calibri" w:eastAsia="Times New Roman" w:hAnsi="Calibri" w:cs="Calibri"/>
          <w:kern w:val="0"/>
          <w:sz w:val="24"/>
          <w:szCs w:val="24"/>
          <w14:ligatures w14:val="none"/>
        </w:rPr>
      </w:pPr>
      <w:r w:rsidRPr="0067128B">
        <w:rPr>
          <w:rFonts w:ascii="Calibri" w:eastAsia="Times New Roman" w:hAnsi="Calibri" w:cs="Calibri"/>
          <w:kern w:val="0"/>
          <w:sz w:val="24"/>
          <w:szCs w:val="24"/>
          <w14:ligatures w14:val="none"/>
        </w:rPr>
        <w:t>Macroeconomic Growth and Credit Demand:</w:t>
      </w:r>
    </w:p>
    <w:p w14:paraId="1E12A4B0" w14:textId="77777777" w:rsidR="0067128B" w:rsidRDefault="00D72D78"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India is still the largest economy growing at one of the fastest speeds in the world, and this GDP growth is leading to retail consumption, </w:t>
      </w:r>
      <w:r w:rsidR="0067128B" w:rsidRPr="00626D23">
        <w:rPr>
          <w:rFonts w:ascii="Calibri" w:eastAsia="Times New Roman" w:hAnsi="Calibri" w:cs="Calibri"/>
          <w:kern w:val="0"/>
          <w:sz w:val="24"/>
          <w:szCs w:val="24"/>
          <w14:ligatures w14:val="none"/>
        </w:rPr>
        <w:t>housing,</w:t>
      </w:r>
      <w:r w:rsidRPr="00626D23">
        <w:rPr>
          <w:rFonts w:ascii="Calibri" w:eastAsia="Times New Roman" w:hAnsi="Calibri" w:cs="Calibri"/>
          <w:kern w:val="0"/>
          <w:sz w:val="24"/>
          <w:szCs w:val="24"/>
          <w14:ligatures w14:val="none"/>
        </w:rPr>
        <w:t xml:space="preserve"> and commercial investment. With GDP growing, there is ongoing and sustained demand for various types of credit facilities, especially in the retail and small/medium enterprise (SME) markets, which are the areas of focus for private sector banks like Kotak Mahindra Bank.</w:t>
      </w:r>
    </w:p>
    <w:p w14:paraId="65160F7B" w14:textId="7F750E1F" w:rsidR="00D72D78" w:rsidRPr="0067128B" w:rsidRDefault="005F7472" w:rsidP="0067128B">
      <w:pPr>
        <w:pStyle w:val="ListParagraph"/>
        <w:numPr>
          <w:ilvl w:val="0"/>
          <w:numId w:val="39"/>
        </w:numPr>
        <w:spacing w:before="16" w:after="16"/>
        <w:jc w:val="both"/>
        <w:rPr>
          <w:rFonts w:ascii="Calibri" w:eastAsia="Times New Roman" w:hAnsi="Calibri" w:cs="Calibri"/>
          <w:kern w:val="0"/>
          <w:sz w:val="24"/>
          <w:szCs w:val="24"/>
          <w14:ligatures w14:val="none"/>
        </w:rPr>
      </w:pPr>
      <w:r>
        <w:rPr>
          <w:noProof/>
        </w:rPr>
        <w:drawing>
          <wp:anchor distT="0" distB="0" distL="114300" distR="114300" simplePos="0" relativeHeight="251672064" behindDoc="0" locked="0" layoutInCell="1" allowOverlap="1" wp14:anchorId="54402AD3" wp14:editId="663F16A5">
            <wp:simplePos x="0" y="0"/>
            <wp:positionH relativeFrom="margin">
              <wp:align>right</wp:align>
            </wp:positionH>
            <wp:positionV relativeFrom="paragraph">
              <wp:posOffset>4417</wp:posOffset>
            </wp:positionV>
            <wp:extent cx="4481195" cy="2170430"/>
            <wp:effectExtent l="0" t="0" r="14605" b="1270"/>
            <wp:wrapThrough wrapText="bothSides">
              <wp:wrapPolygon edited="0">
                <wp:start x="0" y="0"/>
                <wp:lineTo x="0" y="21423"/>
                <wp:lineTo x="21579" y="21423"/>
                <wp:lineTo x="21579" y="0"/>
                <wp:lineTo x="0" y="0"/>
              </wp:wrapPolygon>
            </wp:wrapThrough>
            <wp:docPr id="1129159620" name="Chart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D72D78" w:rsidRPr="0067128B">
        <w:rPr>
          <w:rFonts w:ascii="Calibri" w:eastAsia="Times New Roman" w:hAnsi="Calibri" w:cs="Calibri"/>
          <w:kern w:val="0"/>
          <w:sz w:val="24"/>
          <w:szCs w:val="24"/>
          <w14:ligatures w14:val="none"/>
        </w:rPr>
        <w:t>Regulatory Environment &amp; Reserve Bank of India Oversight:</w:t>
      </w:r>
      <w:r>
        <w:rPr>
          <w:rFonts w:ascii="Calibri" w:eastAsia="Times New Roman" w:hAnsi="Calibri" w:cs="Calibri"/>
          <w:kern w:val="0"/>
          <w:sz w:val="24"/>
          <w:szCs w:val="24"/>
          <w14:ligatures w14:val="none"/>
        </w:rPr>
        <w:t xml:space="preserve"> </w:t>
      </w:r>
    </w:p>
    <w:p w14:paraId="781BF597" w14:textId="0F6567A3" w:rsidR="00D72D78" w:rsidRPr="00626D23" w:rsidRDefault="00D72D78"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Reserve Bank of India provides a strong regulatory framework that covers areas such as capital adequacy, risk management and safety with respect to digital information security. These policies are updated </w:t>
      </w:r>
      <w:r w:rsidR="0067128B" w:rsidRPr="00626D23">
        <w:rPr>
          <w:rFonts w:ascii="Calibri" w:eastAsia="Times New Roman" w:hAnsi="Calibri" w:cs="Calibri"/>
          <w:kern w:val="0"/>
          <w:sz w:val="24"/>
          <w:szCs w:val="24"/>
          <w14:ligatures w14:val="none"/>
        </w:rPr>
        <w:t>regularly,</w:t>
      </w:r>
      <w:r w:rsidRPr="00626D23">
        <w:rPr>
          <w:rFonts w:ascii="Calibri" w:eastAsia="Times New Roman" w:hAnsi="Calibri" w:cs="Calibri"/>
          <w:kern w:val="0"/>
          <w:sz w:val="24"/>
          <w:szCs w:val="24"/>
          <w14:ligatures w14:val="none"/>
        </w:rPr>
        <w:t xml:space="preserve"> and the various updates have included stricter norms around unsecured lending and IT systems. Thus, the policy changes impact how banks </w:t>
      </w:r>
      <w:r w:rsidR="0067128B" w:rsidRPr="00626D23">
        <w:rPr>
          <w:rFonts w:ascii="Calibri" w:eastAsia="Times New Roman" w:hAnsi="Calibri" w:cs="Calibri"/>
          <w:kern w:val="0"/>
          <w:sz w:val="24"/>
          <w:szCs w:val="24"/>
          <w14:ligatures w14:val="none"/>
        </w:rPr>
        <w:t>can</w:t>
      </w:r>
      <w:r w:rsidRPr="00626D23">
        <w:rPr>
          <w:rFonts w:ascii="Calibri" w:eastAsia="Times New Roman" w:hAnsi="Calibri" w:cs="Calibri"/>
          <w:kern w:val="0"/>
          <w:sz w:val="24"/>
          <w:szCs w:val="24"/>
          <w14:ligatures w14:val="none"/>
        </w:rPr>
        <w:t xml:space="preserve"> operate and grow. Kotak's compliance-focused culture and its high capital ratio give it the ability to respond quickly to a changing regulatory environment.</w:t>
      </w:r>
    </w:p>
    <w:p w14:paraId="63A9A32E" w14:textId="77777777" w:rsidR="00D72D78" w:rsidRPr="0067128B" w:rsidRDefault="00D72D78" w:rsidP="0067128B">
      <w:pPr>
        <w:pStyle w:val="ListParagraph"/>
        <w:numPr>
          <w:ilvl w:val="0"/>
          <w:numId w:val="39"/>
        </w:numPr>
        <w:spacing w:before="16" w:after="16"/>
        <w:jc w:val="both"/>
        <w:rPr>
          <w:rFonts w:ascii="Calibri" w:eastAsia="Times New Roman" w:hAnsi="Calibri" w:cs="Calibri"/>
          <w:kern w:val="0"/>
          <w:sz w:val="24"/>
          <w:szCs w:val="24"/>
          <w14:ligatures w14:val="none"/>
        </w:rPr>
      </w:pPr>
      <w:r w:rsidRPr="0067128B">
        <w:rPr>
          <w:rFonts w:ascii="Calibri" w:eastAsia="Times New Roman" w:hAnsi="Calibri" w:cs="Calibri"/>
          <w:kern w:val="0"/>
          <w:sz w:val="24"/>
          <w:szCs w:val="24"/>
          <w14:ligatures w14:val="none"/>
        </w:rPr>
        <w:t>Digital Transformation &amp; Fintech Integration:</w:t>
      </w:r>
    </w:p>
    <w:p w14:paraId="2C8FAAF3" w14:textId="78AFAC39" w:rsidR="00F14650" w:rsidRPr="00626D23" w:rsidRDefault="00A331F3"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lastRenderedPageBreak/>
        <w:t xml:space="preserve">The rapid rise of </w:t>
      </w:r>
      <w:r w:rsidR="0067128B" w:rsidRPr="00626D23">
        <w:rPr>
          <w:rFonts w:ascii="Calibri" w:eastAsia="Times New Roman" w:hAnsi="Calibri" w:cs="Calibri"/>
          <w:kern w:val="0"/>
          <w:sz w:val="24"/>
          <w:szCs w:val="24"/>
          <w14:ligatures w14:val="none"/>
        </w:rPr>
        <w:t>fintech</w:t>
      </w:r>
      <w:r w:rsidRPr="00626D23">
        <w:rPr>
          <w:rFonts w:ascii="Calibri" w:eastAsia="Times New Roman" w:hAnsi="Calibri" w:cs="Calibri"/>
          <w:kern w:val="0"/>
          <w:sz w:val="24"/>
          <w:szCs w:val="24"/>
          <w14:ligatures w14:val="none"/>
        </w:rPr>
        <w:t xml:space="preserve"> and digital banks has accelerated the growth of the banking sector in India, resulting in new ways for customers to interact with banks and a shift towards a more </w:t>
      </w:r>
      <w:r w:rsidR="0067128B" w:rsidRPr="00626D23">
        <w:rPr>
          <w:rFonts w:ascii="Calibri" w:eastAsia="Times New Roman" w:hAnsi="Calibri" w:cs="Calibri"/>
          <w:kern w:val="0"/>
          <w:sz w:val="24"/>
          <w:szCs w:val="24"/>
          <w14:ligatures w14:val="none"/>
        </w:rPr>
        <w:t>digitally centric</w:t>
      </w:r>
      <w:r w:rsidRPr="00626D23">
        <w:rPr>
          <w:rFonts w:ascii="Calibri" w:eastAsia="Times New Roman" w:hAnsi="Calibri" w:cs="Calibri"/>
          <w:kern w:val="0"/>
          <w:sz w:val="24"/>
          <w:szCs w:val="24"/>
          <w14:ligatures w14:val="none"/>
        </w:rPr>
        <w:t xml:space="preserve"> model of doing business. Kotak Bank has positioned itself as an early leader in the development of a </w:t>
      </w:r>
      <w:r w:rsidR="0067128B" w:rsidRPr="00626D23">
        <w:rPr>
          <w:rFonts w:ascii="Calibri" w:eastAsia="Times New Roman" w:hAnsi="Calibri" w:cs="Calibri"/>
          <w:kern w:val="0"/>
          <w:sz w:val="24"/>
          <w:szCs w:val="24"/>
          <w14:ligatures w14:val="none"/>
        </w:rPr>
        <w:t>digitally focused</w:t>
      </w:r>
      <w:r w:rsidRPr="00626D23">
        <w:rPr>
          <w:rFonts w:ascii="Calibri" w:eastAsia="Times New Roman" w:hAnsi="Calibri" w:cs="Calibri"/>
          <w:kern w:val="0"/>
          <w:sz w:val="24"/>
          <w:szCs w:val="24"/>
          <w14:ligatures w14:val="none"/>
        </w:rPr>
        <w:t xml:space="preserve"> approach to banking by building mobile-enabled platforms, using AI to analyze data, and offering a completely paperless onboarding process for customers, through products such as Kotak 811 and Kotak Fyn. The impact of Interest Rates and Monetary Policy; Interest rates directly affect banks' profit margins and earnings. A higher interest rate environment increases the net interest margins of </w:t>
      </w:r>
      <w:r w:rsidR="0067128B" w:rsidRPr="00626D23">
        <w:rPr>
          <w:rFonts w:ascii="Calibri" w:eastAsia="Times New Roman" w:hAnsi="Calibri" w:cs="Calibri"/>
          <w:kern w:val="0"/>
          <w:sz w:val="24"/>
          <w:szCs w:val="24"/>
          <w14:ligatures w14:val="none"/>
        </w:rPr>
        <w:t>banks but</w:t>
      </w:r>
      <w:r w:rsidRPr="00626D23">
        <w:rPr>
          <w:rFonts w:ascii="Calibri" w:eastAsia="Times New Roman" w:hAnsi="Calibri" w:cs="Calibri"/>
          <w:kern w:val="0"/>
          <w:sz w:val="24"/>
          <w:szCs w:val="24"/>
          <w14:ligatures w14:val="none"/>
        </w:rPr>
        <w:t xml:space="preserve"> may also impact lending activity by applying pressure on increasing loan growth. The Bank's strong base of deposits and low-cost sources of funding provide stability to withstand fluctuations in interest rates.</w:t>
      </w:r>
    </w:p>
    <w:p w14:paraId="6960CD4F" w14:textId="41B13035" w:rsidR="0067128B" w:rsidRPr="0067128B" w:rsidRDefault="00A331F3" w:rsidP="0067128B">
      <w:pPr>
        <w:pStyle w:val="ListParagraph"/>
        <w:numPr>
          <w:ilvl w:val="0"/>
          <w:numId w:val="39"/>
        </w:numPr>
        <w:spacing w:before="16" w:after="16"/>
        <w:jc w:val="both"/>
        <w:rPr>
          <w:rFonts w:ascii="Calibri" w:eastAsia="Times New Roman" w:hAnsi="Calibri" w:cs="Calibri"/>
          <w:kern w:val="0"/>
          <w:sz w:val="24"/>
          <w:szCs w:val="24"/>
          <w14:ligatures w14:val="none"/>
        </w:rPr>
      </w:pPr>
      <w:r w:rsidRPr="0067128B">
        <w:rPr>
          <w:rFonts w:ascii="Calibri" w:eastAsia="Times New Roman" w:hAnsi="Calibri" w:cs="Calibri"/>
          <w:kern w:val="0"/>
          <w:sz w:val="24"/>
          <w:szCs w:val="24"/>
          <w14:ligatures w14:val="none"/>
        </w:rPr>
        <w:t xml:space="preserve">Consumer Income and Financial Inclusion: </w:t>
      </w:r>
    </w:p>
    <w:p w14:paraId="1833BEFB" w14:textId="1D076132" w:rsidR="0067128B" w:rsidRDefault="00A331F3"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Higher consumer incomes and growing financial literacy, along with the increasing penetration of financial services into rural markets, have created a larger pool of customers for banking, insurance, and credit products. The Banker’s integrated business model - between banking, </w:t>
      </w:r>
      <w:r w:rsidR="0067128B" w:rsidRPr="00626D23">
        <w:rPr>
          <w:rFonts w:ascii="Calibri" w:eastAsia="Times New Roman" w:hAnsi="Calibri" w:cs="Calibri"/>
          <w:kern w:val="0"/>
          <w:sz w:val="24"/>
          <w:szCs w:val="24"/>
          <w14:ligatures w14:val="none"/>
        </w:rPr>
        <w:t>insurance,</w:t>
      </w:r>
      <w:r w:rsidRPr="00626D23">
        <w:rPr>
          <w:rFonts w:ascii="Calibri" w:eastAsia="Times New Roman" w:hAnsi="Calibri" w:cs="Calibri"/>
          <w:kern w:val="0"/>
          <w:sz w:val="24"/>
          <w:szCs w:val="24"/>
          <w14:ligatures w14:val="none"/>
        </w:rPr>
        <w:t xml:space="preserve"> and investment management services - enables it to effectively capitalize on this expanding customer base.</w:t>
      </w:r>
    </w:p>
    <w:p w14:paraId="3540D3D2" w14:textId="11456BEB" w:rsidR="00F14650" w:rsidRPr="0067128B" w:rsidRDefault="00357550" w:rsidP="0067128B">
      <w:pPr>
        <w:pStyle w:val="ListParagraph"/>
        <w:numPr>
          <w:ilvl w:val="0"/>
          <w:numId w:val="39"/>
        </w:numPr>
        <w:spacing w:before="16" w:after="16"/>
        <w:jc w:val="both"/>
        <w:rPr>
          <w:rFonts w:ascii="Calibri" w:eastAsia="Times New Roman" w:hAnsi="Calibri" w:cs="Calibri"/>
          <w:kern w:val="0"/>
          <w:sz w:val="24"/>
          <w:szCs w:val="24"/>
          <w14:ligatures w14:val="none"/>
        </w:rPr>
      </w:pPr>
      <w:r w:rsidRPr="0067128B">
        <w:rPr>
          <w:rFonts w:ascii="Calibri" w:eastAsia="Times New Roman" w:hAnsi="Calibri" w:cs="Calibri"/>
          <w:kern w:val="0"/>
          <w:sz w:val="24"/>
          <w:szCs w:val="24"/>
          <w14:ligatures w14:val="none"/>
        </w:rPr>
        <w:t>Competition from Private and Public Sector Banks</w:t>
      </w:r>
      <w:r w:rsidR="0067128B" w:rsidRPr="0067128B">
        <w:rPr>
          <w:rFonts w:ascii="Calibri" w:eastAsia="Times New Roman" w:hAnsi="Calibri" w:cs="Calibri"/>
          <w:kern w:val="0"/>
          <w:sz w:val="24"/>
          <w:szCs w:val="24"/>
          <w14:ligatures w14:val="none"/>
        </w:rPr>
        <w:t>:</w:t>
      </w:r>
    </w:p>
    <w:p w14:paraId="37C8415D" w14:textId="54E6CC84" w:rsidR="00357550" w:rsidRPr="00626D23" w:rsidRDefault="00E52994"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High</w:t>
      </w:r>
      <w:r w:rsidR="00357550" w:rsidRPr="00626D23">
        <w:rPr>
          <w:rFonts w:ascii="Calibri" w:eastAsia="Times New Roman" w:hAnsi="Calibri" w:cs="Calibri"/>
          <w:kern w:val="0"/>
          <w:sz w:val="24"/>
          <w:szCs w:val="24"/>
          <w14:ligatures w14:val="none"/>
        </w:rPr>
        <w:t xml:space="preserve"> competition from private banks (HDFC Bank, ICICI Bank, Axis Bank) and an improving public sector has increased the importance of customer service, technology, and </w:t>
      </w:r>
      <w:r w:rsidR="007E18A7" w:rsidRPr="00626D23">
        <w:rPr>
          <w:rFonts w:ascii="Calibri" w:eastAsia="Times New Roman" w:hAnsi="Calibri" w:cs="Calibri"/>
          <w:kern w:val="0"/>
          <w:sz w:val="24"/>
          <w:szCs w:val="24"/>
          <w14:ligatures w14:val="none"/>
        </w:rPr>
        <w:t>other</w:t>
      </w:r>
      <w:r w:rsidR="00357550" w:rsidRPr="00626D23">
        <w:rPr>
          <w:rFonts w:ascii="Calibri" w:eastAsia="Times New Roman" w:hAnsi="Calibri" w:cs="Calibri"/>
          <w:kern w:val="0"/>
          <w:sz w:val="24"/>
          <w:szCs w:val="24"/>
          <w14:ligatures w14:val="none"/>
        </w:rPr>
        <w:t xml:space="preserve"> segments. Kotak’s conservative risk culture and premium positioning help it maintain stability even in competitive phases.</w:t>
      </w:r>
    </w:p>
    <w:p w14:paraId="2B48C211" w14:textId="49CAD9F3" w:rsidR="00384BDD" w:rsidRPr="00617052" w:rsidRDefault="00384BDD" w:rsidP="00617052">
      <w:pPr>
        <w:pStyle w:val="ListParagraph"/>
        <w:numPr>
          <w:ilvl w:val="0"/>
          <w:numId w:val="39"/>
        </w:numPr>
        <w:spacing w:before="16" w:after="16"/>
        <w:jc w:val="both"/>
        <w:rPr>
          <w:rFonts w:ascii="Calibri" w:eastAsia="Times New Roman" w:hAnsi="Calibri" w:cs="Calibri"/>
          <w:kern w:val="0"/>
          <w:sz w:val="24"/>
          <w:szCs w:val="24"/>
          <w14:ligatures w14:val="none"/>
        </w:rPr>
      </w:pPr>
      <w:r w:rsidRPr="00617052">
        <w:rPr>
          <w:rFonts w:ascii="Calibri" w:eastAsia="Times New Roman" w:hAnsi="Calibri" w:cs="Calibri"/>
          <w:kern w:val="0"/>
          <w:sz w:val="24"/>
          <w:szCs w:val="24"/>
          <w14:ligatures w14:val="none"/>
        </w:rPr>
        <w:t>Competitive Positioning</w:t>
      </w:r>
      <w:r w:rsidR="00617052">
        <w:rPr>
          <w:rFonts w:ascii="Calibri" w:eastAsia="Times New Roman" w:hAnsi="Calibri" w:cs="Calibri"/>
          <w:kern w:val="0"/>
          <w:sz w:val="24"/>
          <w:szCs w:val="24"/>
          <w14:ligatures w14:val="none"/>
        </w:rPr>
        <w:t>:</w:t>
      </w:r>
    </w:p>
    <w:p w14:paraId="12D210CC" w14:textId="2BB133D5" w:rsidR="00B00A8E" w:rsidRPr="00626D23" w:rsidRDefault="00B00A8E"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Both public and private institutions compete intensely to gain a larger share of the Indian banking market, making the banking sector one of the most competitive in the world. Many of the private sector banks such as Kotak Mahindra Bank are well-respected for their conservative approach to risk management; excellent governance practices; and superior capital adequacy ratios when compared to their larger competitors. Although HDFC, ICICI, and Axis have substantially larger assets and branch networks than Kotak Bank, Kotak has differentiated itself from the other banks by taking a more measured approach to developing its customer base, focusing on creating a strong reputation for quality growth and customer loyalty through technological innovation instead of aggressive branch expansion.</w:t>
      </w:r>
    </w:p>
    <w:p w14:paraId="0BC1A799" w14:textId="17F70FC6" w:rsidR="006D40D8" w:rsidRPr="00626D23" w:rsidRDefault="00B00A8E"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As time has gone by, competition between banks has increased significantly. The creation of additional small finance banks and many financial technology companies has altered customer expectations and heightened customer price sensitivity. It is now relatively easy for consumers to compare different products and interest rates across different institutions using digital channels, which has strengthened consumer bargaining power in the marketplace. Therefore, to retain its customers, Kotak Bank continues to provide a high level of </w:t>
      </w:r>
      <w:r w:rsidR="00617052" w:rsidRPr="00626D23">
        <w:rPr>
          <w:rFonts w:ascii="Calibri" w:eastAsia="Times New Roman" w:hAnsi="Calibri" w:cs="Calibri"/>
          <w:kern w:val="0"/>
          <w:sz w:val="24"/>
          <w:szCs w:val="24"/>
          <w14:ligatures w14:val="none"/>
        </w:rPr>
        <w:t>personalized</w:t>
      </w:r>
      <w:r w:rsidRPr="00626D23">
        <w:rPr>
          <w:rFonts w:ascii="Calibri" w:eastAsia="Times New Roman" w:hAnsi="Calibri" w:cs="Calibri"/>
          <w:kern w:val="0"/>
          <w:sz w:val="24"/>
          <w:szCs w:val="24"/>
          <w14:ligatures w14:val="none"/>
        </w:rPr>
        <w:t xml:space="preserve"> service, transparent pricing, and streamlined digital banking services.</w:t>
      </w:r>
      <w:r w:rsidR="00617052">
        <w:rPr>
          <w:rFonts w:ascii="Calibri" w:eastAsia="Times New Roman" w:hAnsi="Calibri" w:cs="Calibri"/>
          <w:kern w:val="0"/>
          <w:sz w:val="24"/>
          <w:szCs w:val="24"/>
          <w14:ligatures w14:val="none"/>
        </w:rPr>
        <w:t xml:space="preserve"> </w:t>
      </w:r>
      <w:r w:rsidR="006D40D8" w:rsidRPr="00626D23">
        <w:rPr>
          <w:rFonts w:ascii="Calibri" w:eastAsia="Times New Roman" w:hAnsi="Calibri" w:cs="Calibri"/>
          <w:kern w:val="0"/>
          <w:sz w:val="24"/>
          <w:szCs w:val="24"/>
          <w14:ligatures w14:val="none"/>
        </w:rPr>
        <w:t>The ability of Kotak Bank to use leverage when negotiating with suppliers through depositors and depositories is moderate. The desire for attractive returns from Depositors must be weighed against the increased risk of receiving that return. Kotak Bank</w:t>
      </w:r>
    </w:p>
    <w:p w14:paraId="1F475E91" w14:textId="6D3D46EA" w:rsidR="006D40D8" w:rsidRPr="00626D23" w:rsidRDefault="006D40D8"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has a strong Brand Image, and the cash deposits of Depositors have been viewed as </w:t>
      </w:r>
      <w:r w:rsidR="00EA46D0">
        <w:rPr>
          <w:rFonts w:ascii="Calibri" w:eastAsia="Times New Roman" w:hAnsi="Calibri" w:cs="Calibri"/>
          <w:kern w:val="0"/>
          <w:sz w:val="24"/>
          <w:szCs w:val="24"/>
          <w14:ligatures w14:val="none"/>
        </w:rPr>
        <w:t>increasing</w:t>
      </w:r>
      <w:r w:rsidRPr="00626D23">
        <w:rPr>
          <w:rFonts w:ascii="Calibri" w:eastAsia="Times New Roman" w:hAnsi="Calibri" w:cs="Calibri"/>
          <w:kern w:val="0"/>
          <w:sz w:val="24"/>
          <w:szCs w:val="24"/>
          <w14:ligatures w14:val="none"/>
        </w:rPr>
        <w:t xml:space="preserve"> which has allowed the bank to provide attractive interest rates. New lending and payment solutions have resulted in increasing competition for traditional banks. Non-banking financial companies and Fintech companies have been particularly effective at providing such services. Kotak Bank is protected from this increased competition through its integrated ranges of financial services and through its relationships based on trust and confidence with its customers.</w:t>
      </w:r>
    </w:p>
    <w:p w14:paraId="781782A4" w14:textId="4777F313" w:rsidR="006D40D8" w:rsidRPr="00626D23" w:rsidRDefault="006D40D8"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barriers to entry into the Indian Banking Sector are higher than in other countries, primarily due to strict regulations and high initial capital requirements. Therefore, the established banks like Kotak Bank will be able to maintain their positions in this market against new entrants. On the other hand, there is intense rivalry between established banks, both private and public, for market share. Most of these competing banks have </w:t>
      </w:r>
      <w:r w:rsidRPr="00626D23">
        <w:rPr>
          <w:rFonts w:ascii="Calibri" w:eastAsia="Times New Roman" w:hAnsi="Calibri" w:cs="Calibri"/>
          <w:kern w:val="0"/>
          <w:sz w:val="24"/>
          <w:szCs w:val="24"/>
          <w14:ligatures w14:val="none"/>
        </w:rPr>
        <w:lastRenderedPageBreak/>
        <w:t>similar core product lines; therefore, they compete against each other using Service Quality, Technology, and Interest Margins.</w:t>
      </w:r>
    </w:p>
    <w:p w14:paraId="24C87C39" w14:textId="5D5E4F2B" w:rsidR="00804DEF" w:rsidRPr="00626D23" w:rsidRDefault="006D40D8"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 competitive advantage of Kotak Bank derives from its strong Capital Base, Disciplined Credit Underwriting, and Diverse Business Model (Retail Banking, Corporate Banking, Insurance, Investment Banking, Asset Management). The subsidiaries of Kotak Bank provide a significant amount of Fee-based Income to the bank, so the bank does not rely on Interest Income alone to run its operations. Additionally, Kotak Bank has quickly become one of the leading Private Banking Institutions in India due to its early commitment to Digital Transformation.</w:t>
      </w:r>
    </w:p>
    <w:p w14:paraId="2925D0A9" w14:textId="76006188" w:rsidR="00804DEF" w:rsidRPr="00626D23" w:rsidRDefault="00804DEF"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When compared to other banks, HDFC Bank has the largest market share and the most extensive customer base. Meanwhile, both ICICI Bank and Axis Bank have grown significantly in retail and corporate lending over the past couple of years. While it has a smaller balance sheet than other competitors, Kotak Mahindra Bank is considered an industry leader for its consistently high profitability ratios, low levels of non-performing assets, and a substantial amount of customer confidence. The combination of these factors has allowed Kotak to earn a higher market stock price valuation than other banks and the bank is therefore regarded as one of the top banks in India.</w:t>
      </w:r>
    </w:p>
    <w:p w14:paraId="76AEA8AD" w14:textId="29600EC8" w:rsidR="00FF4C66" w:rsidRPr="00EA46D0" w:rsidRDefault="00FF4C66" w:rsidP="004818A5">
      <w:pPr>
        <w:spacing w:before="16" w:after="16"/>
        <w:jc w:val="both"/>
        <w:rPr>
          <w:rFonts w:ascii="Calibri" w:eastAsia="Times New Roman" w:hAnsi="Calibri" w:cs="Calibri"/>
          <w:color w:val="FF0000"/>
          <w:kern w:val="0"/>
          <w:sz w:val="32"/>
          <w:szCs w:val="32"/>
          <w14:ligatures w14:val="none"/>
        </w:rPr>
      </w:pPr>
      <w:r w:rsidRPr="00EA46D0">
        <w:rPr>
          <w:rFonts w:ascii="Calibri" w:eastAsia="Times New Roman" w:hAnsi="Calibri" w:cs="Calibri"/>
          <w:color w:val="FF0000"/>
          <w:kern w:val="0"/>
          <w:sz w:val="32"/>
          <w:szCs w:val="32"/>
          <w14:ligatures w14:val="none"/>
        </w:rPr>
        <w:t>SWOT Analysis</w:t>
      </w:r>
    </w:p>
    <w:p w14:paraId="2589E40B" w14:textId="67CCC061" w:rsidR="00FF4C66" w:rsidRPr="00626D23" w:rsidRDefault="00FF4C66" w:rsidP="004818A5">
      <w:p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b/>
          <w:bCs/>
          <w:kern w:val="0"/>
          <w:sz w:val="24"/>
          <w:szCs w:val="24"/>
          <w14:ligatures w14:val="none"/>
        </w:rPr>
        <w:t>Strengths</w:t>
      </w:r>
      <w:r w:rsidR="00075EBB" w:rsidRPr="00626D23">
        <w:rPr>
          <w:rFonts w:ascii="Calibri" w:eastAsia="Times New Roman" w:hAnsi="Calibri" w:cs="Calibri"/>
          <w:noProof/>
          <w:kern w:val="0"/>
          <w:sz w:val="24"/>
          <w:szCs w:val="24"/>
        </w:rPr>
        <w:drawing>
          <wp:inline distT="0" distB="0" distL="0" distR="0" wp14:anchorId="34FD2B9F" wp14:editId="62A6B782">
            <wp:extent cx="365760" cy="365760"/>
            <wp:effectExtent l="0" t="0" r="0" b="0"/>
            <wp:docPr id="1824636425" name="Graphic 2" descr="Muscular arm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6425" name="Graphic 1824636425" descr="Muscular arm outlin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inline>
        </w:drawing>
      </w:r>
    </w:p>
    <w:p w14:paraId="4E439549" w14:textId="77777777" w:rsidR="00EA46D0" w:rsidRDefault="007D7839" w:rsidP="004818A5">
      <w:pPr>
        <w:pStyle w:val="ListParagraph"/>
        <w:numPr>
          <w:ilvl w:val="0"/>
          <w:numId w:val="40"/>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 xml:space="preserve">The capital adequacy ratio is among the best of all banks and allows for flexibility in maintaining growth and protection against credit losses. Low levels of non-performing assets are the result of conservative and prudent lending. </w:t>
      </w:r>
    </w:p>
    <w:p w14:paraId="3237450C" w14:textId="51B672B9" w:rsidR="00EA46D0" w:rsidRDefault="007D7839" w:rsidP="004818A5">
      <w:pPr>
        <w:pStyle w:val="ListParagraph"/>
        <w:numPr>
          <w:ilvl w:val="0"/>
          <w:numId w:val="40"/>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 xml:space="preserve">The bank operates under a diversified business plan with retail, corporate and treasury business as well as multiple subsidiaries that include insurance, </w:t>
      </w:r>
      <w:r w:rsidR="00EA46D0" w:rsidRPr="00EA46D0">
        <w:rPr>
          <w:rFonts w:ascii="Calibri" w:eastAsia="Times New Roman" w:hAnsi="Calibri" w:cs="Calibri"/>
          <w:kern w:val="0"/>
          <w:sz w:val="24"/>
          <w:szCs w:val="24"/>
          <w14:ligatures w14:val="none"/>
        </w:rPr>
        <w:t>securities,</w:t>
      </w:r>
      <w:r w:rsidRPr="00EA46D0">
        <w:rPr>
          <w:rFonts w:ascii="Calibri" w:eastAsia="Times New Roman" w:hAnsi="Calibri" w:cs="Calibri"/>
          <w:kern w:val="0"/>
          <w:sz w:val="24"/>
          <w:szCs w:val="24"/>
          <w14:ligatures w14:val="none"/>
        </w:rPr>
        <w:t xml:space="preserve"> and asset management.</w:t>
      </w:r>
    </w:p>
    <w:p w14:paraId="2DF46E84" w14:textId="77777777" w:rsidR="00EA46D0" w:rsidRDefault="007D7839" w:rsidP="004818A5">
      <w:pPr>
        <w:pStyle w:val="ListParagraph"/>
        <w:numPr>
          <w:ilvl w:val="0"/>
          <w:numId w:val="40"/>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Strong governance and transparency that instils confidence in customers and investors. The bank was one of the first to adopt technology into banking or "digital banking," and has improved both efficiency and customer satisfaction as a result.</w:t>
      </w:r>
    </w:p>
    <w:p w14:paraId="1438BD6E" w14:textId="730BFCF6" w:rsidR="00FF4C66" w:rsidRPr="00EA46D0" w:rsidRDefault="007D7839" w:rsidP="004818A5">
      <w:pPr>
        <w:pStyle w:val="ListParagraph"/>
        <w:numPr>
          <w:ilvl w:val="0"/>
          <w:numId w:val="40"/>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Finally, the bank has established itself as a household name and trusted entity in the Indian banking industry.</w:t>
      </w:r>
    </w:p>
    <w:p w14:paraId="5FC7E94B" w14:textId="77777777" w:rsidR="00FF4C66" w:rsidRPr="00EA46D0" w:rsidRDefault="00FF4C66" w:rsidP="004818A5">
      <w:pPr>
        <w:spacing w:before="16" w:after="16"/>
        <w:jc w:val="both"/>
        <w:rPr>
          <w:rFonts w:ascii="Calibri" w:eastAsia="Times New Roman" w:hAnsi="Calibri" w:cs="Calibri"/>
          <w:b/>
          <w:bCs/>
          <w:kern w:val="0"/>
          <w:sz w:val="24"/>
          <w:szCs w:val="24"/>
          <w14:ligatures w14:val="none"/>
        </w:rPr>
      </w:pPr>
      <w:r w:rsidRPr="00EA46D0">
        <w:rPr>
          <w:rFonts w:ascii="Calibri" w:eastAsia="Times New Roman" w:hAnsi="Calibri" w:cs="Calibri"/>
          <w:b/>
          <w:bCs/>
          <w:kern w:val="0"/>
          <w:sz w:val="24"/>
          <w:szCs w:val="24"/>
          <w14:ligatures w14:val="none"/>
        </w:rPr>
        <w:t>Weaknesses</w:t>
      </w:r>
    </w:p>
    <w:p w14:paraId="71BAFCD9" w14:textId="77777777" w:rsidR="00EA46D0" w:rsidRDefault="003554C3" w:rsidP="004818A5">
      <w:pPr>
        <w:pStyle w:val="ListParagraph"/>
        <w:numPr>
          <w:ilvl w:val="0"/>
          <w:numId w:val="41"/>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Compared to larger banking institutions such as HDFC Bank and ICICI Bank, the overall network and number of branches at the bank is smaller.</w:t>
      </w:r>
    </w:p>
    <w:p w14:paraId="02BAE6C1" w14:textId="77777777" w:rsidR="00EA46D0" w:rsidRDefault="003554C3" w:rsidP="004818A5">
      <w:pPr>
        <w:pStyle w:val="ListParagraph"/>
        <w:numPr>
          <w:ilvl w:val="0"/>
          <w:numId w:val="41"/>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The bank's present conservative approach to lending limits the growth of short-term loan product offerings.</w:t>
      </w:r>
    </w:p>
    <w:p w14:paraId="291CACBB" w14:textId="77777777" w:rsidR="00EA46D0" w:rsidRDefault="003554C3" w:rsidP="004818A5">
      <w:pPr>
        <w:pStyle w:val="ListParagraph"/>
        <w:numPr>
          <w:ilvl w:val="0"/>
          <w:numId w:val="41"/>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Bank's large urban and affluent customer base; however, it serves a small percentage of customers located in rural markets.</w:t>
      </w:r>
    </w:p>
    <w:p w14:paraId="7A5262A3" w14:textId="1D2ED7E2" w:rsidR="00FF4C66" w:rsidRPr="00EA46D0" w:rsidRDefault="003554C3" w:rsidP="004818A5">
      <w:pPr>
        <w:pStyle w:val="ListParagraph"/>
        <w:numPr>
          <w:ilvl w:val="0"/>
          <w:numId w:val="41"/>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Moderate level of growth in comparison to other competing banks that were aggressively expanding during this period.</w:t>
      </w:r>
    </w:p>
    <w:p w14:paraId="4CB3A65F" w14:textId="33AD6F32" w:rsidR="00EB46F8" w:rsidRPr="00EA46D0" w:rsidRDefault="00EA46D0" w:rsidP="004818A5">
      <w:pPr>
        <w:spacing w:before="16" w:after="16"/>
        <w:jc w:val="both"/>
        <w:rPr>
          <w:rFonts w:ascii="Calibri" w:eastAsia="Times New Roman" w:hAnsi="Calibri" w:cs="Calibri"/>
          <w:b/>
          <w:bCs/>
          <w:kern w:val="0"/>
          <w:sz w:val="24"/>
          <w:szCs w:val="24"/>
          <w14:ligatures w14:val="none"/>
        </w:rPr>
      </w:pPr>
      <w:r w:rsidRPr="00EA46D0">
        <w:rPr>
          <w:rFonts w:ascii="Calibri" w:eastAsia="Times New Roman" w:hAnsi="Calibri" w:cs="Calibri"/>
          <w:b/>
          <w:bCs/>
          <w:kern w:val="0"/>
          <w:sz w:val="24"/>
          <w:szCs w:val="24"/>
          <w14:ligatures w14:val="none"/>
        </w:rPr>
        <w:t>Opportunities</w:t>
      </w:r>
    </w:p>
    <w:p w14:paraId="4C76E443" w14:textId="77777777" w:rsidR="00EA46D0" w:rsidRDefault="00EB46F8" w:rsidP="004818A5">
      <w:pPr>
        <w:pStyle w:val="ListParagraph"/>
        <w:numPr>
          <w:ilvl w:val="0"/>
          <w:numId w:val="42"/>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Increased partnerships in the fintech and digital world will help banks become more efficient and cost-effective while also giving them access to larger customer bases.</w:t>
      </w:r>
    </w:p>
    <w:p w14:paraId="7DC70E31" w14:textId="77777777" w:rsidR="00EA46D0" w:rsidRDefault="00EB46F8" w:rsidP="004818A5">
      <w:pPr>
        <w:pStyle w:val="ListParagraph"/>
        <w:numPr>
          <w:ilvl w:val="0"/>
          <w:numId w:val="42"/>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The need for retail credit, wealth management services, and insurance products in India is at an all-time high and continues to grow.</w:t>
      </w:r>
    </w:p>
    <w:p w14:paraId="3025A5DD" w14:textId="77777777" w:rsidR="00EA46D0" w:rsidRDefault="00EB46F8" w:rsidP="004818A5">
      <w:pPr>
        <w:pStyle w:val="ListParagraph"/>
        <w:numPr>
          <w:ilvl w:val="0"/>
          <w:numId w:val="42"/>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The opportunity exists for rural and semi-urban growth, which could lead to an increase in both customer growth and deposit mobilization.</w:t>
      </w:r>
    </w:p>
    <w:p w14:paraId="76259C91" w14:textId="77777777" w:rsidR="00EA46D0" w:rsidRDefault="00EB46F8" w:rsidP="004818A5">
      <w:pPr>
        <w:pStyle w:val="ListParagraph"/>
        <w:numPr>
          <w:ilvl w:val="0"/>
          <w:numId w:val="42"/>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lastRenderedPageBreak/>
        <w:t>There is an opportunity to cross-sell financial products from our subsidiaries to further expand non-interest income.</w:t>
      </w:r>
    </w:p>
    <w:p w14:paraId="4C660400" w14:textId="2685CD67" w:rsidR="00EB46F8" w:rsidRPr="00EA46D0" w:rsidRDefault="00EB46F8" w:rsidP="004818A5">
      <w:pPr>
        <w:pStyle w:val="ListParagraph"/>
        <w:numPr>
          <w:ilvl w:val="0"/>
          <w:numId w:val="42"/>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Additionally, there is a great deal of inorganic growth potential through mergers or acquisitions of niche financial institutions.</w:t>
      </w:r>
    </w:p>
    <w:p w14:paraId="22DE22F7" w14:textId="06C8BDC5" w:rsidR="00EB46F8" w:rsidRPr="00EA46D0" w:rsidRDefault="00EB46F8" w:rsidP="004818A5">
      <w:pPr>
        <w:spacing w:before="16" w:after="16"/>
        <w:jc w:val="both"/>
        <w:rPr>
          <w:rFonts w:ascii="Calibri" w:eastAsia="Times New Roman" w:hAnsi="Calibri" w:cs="Calibri"/>
          <w:b/>
          <w:bCs/>
          <w:kern w:val="0"/>
          <w:sz w:val="24"/>
          <w:szCs w:val="24"/>
          <w14:ligatures w14:val="none"/>
        </w:rPr>
      </w:pPr>
      <w:r w:rsidRPr="00EA46D0">
        <w:rPr>
          <w:rFonts w:ascii="Calibri" w:eastAsia="Times New Roman" w:hAnsi="Calibri" w:cs="Calibri"/>
          <w:b/>
          <w:bCs/>
          <w:kern w:val="0"/>
          <w:sz w:val="24"/>
          <w:szCs w:val="24"/>
          <w14:ligatures w14:val="none"/>
        </w:rPr>
        <w:t>Threats</w:t>
      </w:r>
    </w:p>
    <w:p w14:paraId="7BB67360" w14:textId="256383E2" w:rsidR="00EA46D0" w:rsidRDefault="00EB46F8" w:rsidP="004818A5">
      <w:pPr>
        <w:pStyle w:val="ListParagraph"/>
        <w:numPr>
          <w:ilvl w:val="0"/>
          <w:numId w:val="43"/>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 xml:space="preserve">The intense competition among the major private banks and non-banking financial companies (NBFCs) and </w:t>
      </w:r>
      <w:r w:rsidR="00EA46D0" w:rsidRPr="00EA46D0">
        <w:rPr>
          <w:rFonts w:ascii="Calibri" w:eastAsia="Times New Roman" w:hAnsi="Calibri" w:cs="Calibri"/>
          <w:kern w:val="0"/>
          <w:sz w:val="24"/>
          <w:szCs w:val="24"/>
          <w14:ligatures w14:val="none"/>
        </w:rPr>
        <w:t>all</w:t>
      </w:r>
      <w:r w:rsidRPr="00EA46D0">
        <w:rPr>
          <w:rFonts w:ascii="Calibri" w:eastAsia="Times New Roman" w:hAnsi="Calibri" w:cs="Calibri"/>
          <w:kern w:val="0"/>
          <w:sz w:val="24"/>
          <w:szCs w:val="24"/>
          <w14:ligatures w14:val="none"/>
        </w:rPr>
        <w:t xml:space="preserve"> the emerging fintech companies, all of which continue to increase.</w:t>
      </w:r>
    </w:p>
    <w:p w14:paraId="71265EBE" w14:textId="77777777" w:rsidR="00EA46D0" w:rsidRDefault="00EB46F8" w:rsidP="004818A5">
      <w:pPr>
        <w:pStyle w:val="ListParagraph"/>
        <w:numPr>
          <w:ilvl w:val="0"/>
          <w:numId w:val="43"/>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Regulatory scrutiny and increasing compliance costs related to areas such as unsecured lending, IT systems and capital requirements can pose additional challenges for banks.</w:t>
      </w:r>
    </w:p>
    <w:p w14:paraId="4D2DA357" w14:textId="77777777" w:rsidR="00EA46D0" w:rsidRDefault="00EB46F8" w:rsidP="004818A5">
      <w:pPr>
        <w:pStyle w:val="ListParagraph"/>
        <w:numPr>
          <w:ilvl w:val="0"/>
          <w:numId w:val="43"/>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The banks' credit quality could be negatively affected by various macroeconomic factors like inflation or interest rate fluctuations, or by sectoral stress in general.</w:t>
      </w:r>
    </w:p>
    <w:p w14:paraId="4E8DCDB1" w14:textId="1FFAB447" w:rsidR="00EA46D0" w:rsidRDefault="00EB46F8" w:rsidP="004818A5">
      <w:pPr>
        <w:pStyle w:val="ListParagraph"/>
        <w:numPr>
          <w:ilvl w:val="0"/>
          <w:numId w:val="43"/>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 xml:space="preserve">Additionally, </w:t>
      </w:r>
      <w:r w:rsidR="00EA46D0" w:rsidRPr="00EA46D0">
        <w:rPr>
          <w:rFonts w:ascii="Calibri" w:eastAsia="Times New Roman" w:hAnsi="Calibri" w:cs="Calibri"/>
          <w:kern w:val="0"/>
          <w:sz w:val="24"/>
          <w:szCs w:val="24"/>
          <w14:ligatures w14:val="none"/>
        </w:rPr>
        <w:t>technological,</w:t>
      </w:r>
      <w:r w:rsidRPr="00EA46D0">
        <w:rPr>
          <w:rFonts w:ascii="Calibri" w:eastAsia="Times New Roman" w:hAnsi="Calibri" w:cs="Calibri"/>
          <w:kern w:val="0"/>
          <w:sz w:val="24"/>
          <w:szCs w:val="24"/>
          <w14:ligatures w14:val="none"/>
        </w:rPr>
        <w:t xml:space="preserve"> and cyber-security risks present due to the increasing digital dependency of banks.</w:t>
      </w:r>
    </w:p>
    <w:p w14:paraId="0920A288" w14:textId="6D1A5056" w:rsidR="008261FC" w:rsidRDefault="00EB46F8" w:rsidP="004818A5">
      <w:pPr>
        <w:pStyle w:val="ListParagraph"/>
        <w:numPr>
          <w:ilvl w:val="0"/>
          <w:numId w:val="43"/>
        </w:numPr>
        <w:spacing w:before="16" w:after="16"/>
        <w:jc w:val="both"/>
        <w:rPr>
          <w:rFonts w:ascii="Calibri" w:eastAsia="Times New Roman" w:hAnsi="Calibri" w:cs="Calibri"/>
          <w:kern w:val="0"/>
          <w:sz w:val="24"/>
          <w:szCs w:val="24"/>
          <w14:ligatures w14:val="none"/>
        </w:rPr>
      </w:pPr>
      <w:r w:rsidRPr="00EA46D0">
        <w:rPr>
          <w:rFonts w:ascii="Calibri" w:eastAsia="Times New Roman" w:hAnsi="Calibri" w:cs="Calibri"/>
          <w:kern w:val="0"/>
          <w:sz w:val="24"/>
          <w:szCs w:val="24"/>
          <w14:ligatures w14:val="none"/>
        </w:rPr>
        <w:t>Lastly, a bank has the potential for reputational damage or loss through any failures in governance or operational processes.</w:t>
      </w:r>
    </w:p>
    <w:p w14:paraId="1126F738" w14:textId="77777777" w:rsidR="00D02842" w:rsidRPr="00D02842" w:rsidRDefault="00D02842" w:rsidP="00D02842">
      <w:pPr>
        <w:spacing w:before="16" w:after="16"/>
        <w:jc w:val="both"/>
        <w:rPr>
          <w:rFonts w:ascii="Calibri" w:eastAsia="Times New Roman" w:hAnsi="Calibri" w:cs="Calibri"/>
          <w:kern w:val="0"/>
          <w:sz w:val="24"/>
          <w:szCs w:val="24"/>
          <w14:ligatures w14:val="none"/>
        </w:rPr>
      </w:pPr>
    </w:p>
    <w:p w14:paraId="0A31DFDD" w14:textId="1538D0FF" w:rsidR="00D02842" w:rsidRPr="00D02842" w:rsidRDefault="00730273" w:rsidP="004818A5">
      <w:pPr>
        <w:spacing w:before="16" w:after="16"/>
        <w:jc w:val="both"/>
        <w:rPr>
          <w:rFonts w:ascii="Calibri" w:hAnsi="Calibri" w:cs="Calibri"/>
          <w:color w:val="FF0000"/>
          <w:sz w:val="32"/>
          <w:szCs w:val="32"/>
        </w:rPr>
      </w:pPr>
      <w:r w:rsidRPr="00D02842">
        <w:rPr>
          <w:rFonts w:ascii="Calibri" w:hAnsi="Calibri" w:cs="Calibri"/>
          <w:color w:val="FF0000"/>
          <w:sz w:val="32"/>
          <w:szCs w:val="32"/>
        </w:rPr>
        <w:t>Recent News</w:t>
      </w:r>
    </w:p>
    <w:p w14:paraId="30D2308D" w14:textId="05D5DF48" w:rsidR="00D02842" w:rsidRDefault="00D90CEC" w:rsidP="00D02842">
      <w:pPr>
        <w:pStyle w:val="ListParagraph"/>
        <w:numPr>
          <w:ilvl w:val="0"/>
          <w:numId w:val="39"/>
        </w:numPr>
        <w:spacing w:before="16" w:after="16"/>
        <w:rPr>
          <w:rFonts w:ascii="Calibri" w:hAnsi="Calibri" w:cs="Calibri"/>
          <w:sz w:val="24"/>
          <w:szCs w:val="24"/>
        </w:rPr>
      </w:pPr>
      <w:r w:rsidRPr="00D02842">
        <w:rPr>
          <w:rFonts w:ascii="Calibri" w:hAnsi="Calibri" w:cs="Calibri"/>
          <w:sz w:val="24"/>
          <w:szCs w:val="24"/>
        </w:rPr>
        <w:t xml:space="preserve">In </w:t>
      </w:r>
      <w:r w:rsidRPr="00D02842">
        <w:rPr>
          <w:rStyle w:val="Strong"/>
          <w:rFonts w:ascii="Calibri" w:hAnsi="Calibri" w:cs="Calibri"/>
          <w:b w:val="0"/>
          <w:bCs w:val="0"/>
          <w:sz w:val="24"/>
          <w:szCs w:val="24"/>
        </w:rPr>
        <w:t>November 2025</w:t>
      </w:r>
      <w:r w:rsidRPr="00D02842">
        <w:rPr>
          <w:rFonts w:ascii="Calibri" w:hAnsi="Calibri" w:cs="Calibri"/>
          <w:sz w:val="24"/>
          <w:szCs w:val="24"/>
        </w:rPr>
        <w:t xml:space="preserve">, the Board of Directors approved a </w:t>
      </w:r>
      <w:r w:rsidRPr="00D02842">
        <w:rPr>
          <w:rStyle w:val="Strong"/>
          <w:rFonts w:ascii="Calibri" w:hAnsi="Calibri" w:cs="Calibri"/>
          <w:b w:val="0"/>
          <w:bCs w:val="0"/>
          <w:sz w:val="24"/>
          <w:szCs w:val="24"/>
        </w:rPr>
        <w:t>1:5 stock split</w:t>
      </w:r>
      <w:r w:rsidRPr="00D02842">
        <w:rPr>
          <w:rFonts w:ascii="Calibri" w:hAnsi="Calibri" w:cs="Calibri"/>
          <w:sz w:val="24"/>
          <w:szCs w:val="24"/>
        </w:rPr>
        <w:t xml:space="preserve"> — subdividing existing equity shares of ₹ 5 each into shares of ₹ 1 face value. This marks Kotak’s </w:t>
      </w:r>
      <w:r w:rsidRPr="00D02842">
        <w:rPr>
          <w:rStyle w:val="Strong"/>
          <w:rFonts w:ascii="Calibri" w:hAnsi="Calibri" w:cs="Calibri"/>
          <w:b w:val="0"/>
          <w:bCs w:val="0"/>
          <w:sz w:val="24"/>
          <w:szCs w:val="24"/>
        </w:rPr>
        <w:t>first stock split in 15 years</w:t>
      </w:r>
      <w:r w:rsidRPr="00D02842">
        <w:rPr>
          <w:rFonts w:ascii="Calibri" w:hAnsi="Calibri" w:cs="Calibri"/>
          <w:sz w:val="24"/>
          <w:szCs w:val="24"/>
        </w:rPr>
        <w:t xml:space="preserve">, </w:t>
      </w:r>
      <w:r w:rsidR="009F683B" w:rsidRPr="00D02842">
        <w:rPr>
          <w:rFonts w:ascii="Calibri" w:hAnsi="Calibri" w:cs="Calibri"/>
          <w:sz w:val="24"/>
          <w:szCs w:val="24"/>
        </w:rPr>
        <w:t xml:space="preserve">which aim </w:t>
      </w:r>
      <w:r w:rsidRPr="00D02842">
        <w:rPr>
          <w:rFonts w:ascii="Calibri" w:hAnsi="Calibri" w:cs="Calibri"/>
          <w:sz w:val="24"/>
          <w:szCs w:val="24"/>
        </w:rPr>
        <w:t>at improving stock liquidity and accessibility for investors.</w:t>
      </w:r>
    </w:p>
    <w:p w14:paraId="14D02D96" w14:textId="78E38460" w:rsidR="00F035C3" w:rsidRDefault="00D271E1" w:rsidP="00F035C3">
      <w:pPr>
        <w:pStyle w:val="ListParagraph"/>
        <w:numPr>
          <w:ilvl w:val="0"/>
          <w:numId w:val="39"/>
        </w:numPr>
        <w:spacing w:before="16" w:after="16"/>
        <w:rPr>
          <w:rFonts w:ascii="Calibri" w:hAnsi="Calibri" w:cs="Calibri"/>
          <w:sz w:val="24"/>
          <w:szCs w:val="24"/>
        </w:rPr>
      </w:pPr>
      <w:r w:rsidRPr="00D02842">
        <w:rPr>
          <w:rFonts w:ascii="Calibri" w:hAnsi="Calibri" w:cs="Calibri"/>
          <w:sz w:val="24"/>
          <w:szCs w:val="24"/>
        </w:rPr>
        <w:t>After</w:t>
      </w:r>
      <w:r w:rsidR="00CB1501" w:rsidRPr="00D02842">
        <w:rPr>
          <w:rFonts w:ascii="Calibri" w:hAnsi="Calibri" w:cs="Calibri"/>
          <w:sz w:val="24"/>
          <w:szCs w:val="24"/>
        </w:rPr>
        <w:t xml:space="preserve"> many</w:t>
      </w:r>
      <w:r w:rsidRPr="00D02842">
        <w:rPr>
          <w:rFonts w:ascii="Calibri" w:hAnsi="Calibri" w:cs="Calibri"/>
          <w:sz w:val="24"/>
          <w:szCs w:val="24"/>
        </w:rPr>
        <w:t xml:space="preserve"> months of restrictions on new customer onboarding due to IT, the </w:t>
      </w:r>
      <w:r w:rsidRPr="00D02842">
        <w:rPr>
          <w:rStyle w:val="Strong"/>
          <w:rFonts w:ascii="Calibri" w:hAnsi="Calibri" w:cs="Calibri"/>
          <w:b w:val="0"/>
          <w:bCs w:val="0"/>
          <w:sz w:val="24"/>
          <w:szCs w:val="24"/>
        </w:rPr>
        <w:t>Reserve Bank of India</w:t>
      </w:r>
      <w:r w:rsidRPr="00D02842">
        <w:rPr>
          <w:rFonts w:ascii="Calibri" w:hAnsi="Calibri" w:cs="Calibri"/>
          <w:sz w:val="24"/>
          <w:szCs w:val="24"/>
        </w:rPr>
        <w:t xml:space="preserve"> allowed Kotak Mahindra Bank to </w:t>
      </w:r>
      <w:r w:rsidRPr="00D02842">
        <w:rPr>
          <w:rStyle w:val="Strong"/>
          <w:rFonts w:ascii="Calibri" w:hAnsi="Calibri" w:cs="Calibri"/>
          <w:b w:val="0"/>
          <w:bCs w:val="0"/>
          <w:sz w:val="24"/>
          <w:szCs w:val="24"/>
        </w:rPr>
        <w:t>resume digital account openings and credit card issuance</w:t>
      </w:r>
      <w:r w:rsidRPr="00D02842">
        <w:rPr>
          <w:rFonts w:ascii="Calibri" w:hAnsi="Calibri" w:cs="Calibri"/>
          <w:sz w:val="24"/>
          <w:szCs w:val="24"/>
        </w:rPr>
        <w:t>, following successful third-party IT audit clearance.</w:t>
      </w:r>
    </w:p>
    <w:p w14:paraId="02D82049" w14:textId="4B5A520F" w:rsidR="00F035C3" w:rsidRDefault="00D271E1" w:rsidP="00F035C3">
      <w:pPr>
        <w:pStyle w:val="ListParagraph"/>
        <w:numPr>
          <w:ilvl w:val="0"/>
          <w:numId w:val="39"/>
        </w:numPr>
        <w:spacing w:before="16" w:after="16"/>
        <w:rPr>
          <w:rFonts w:ascii="Calibri" w:hAnsi="Calibri" w:cs="Calibri"/>
          <w:sz w:val="24"/>
          <w:szCs w:val="24"/>
        </w:rPr>
      </w:pPr>
      <w:r w:rsidRPr="00F035C3">
        <w:rPr>
          <w:rFonts w:ascii="Calibri" w:hAnsi="Calibri" w:cs="Calibri"/>
          <w:sz w:val="24"/>
          <w:szCs w:val="24"/>
        </w:rPr>
        <w:t xml:space="preserve">Kotak reported its </w:t>
      </w:r>
      <w:r w:rsidRPr="00F035C3">
        <w:rPr>
          <w:rStyle w:val="Strong"/>
          <w:rFonts w:ascii="Calibri" w:hAnsi="Calibri" w:cs="Calibri"/>
          <w:b w:val="0"/>
          <w:bCs w:val="0"/>
          <w:sz w:val="24"/>
          <w:szCs w:val="24"/>
        </w:rPr>
        <w:t>Q2 FY2025</w:t>
      </w:r>
      <w:r w:rsidRPr="00F035C3">
        <w:rPr>
          <w:rFonts w:ascii="Calibri" w:hAnsi="Calibri" w:cs="Calibri"/>
          <w:sz w:val="24"/>
          <w:szCs w:val="24"/>
        </w:rPr>
        <w:t xml:space="preserve"> results in </w:t>
      </w:r>
      <w:r w:rsidRPr="00F035C3">
        <w:rPr>
          <w:rStyle w:val="Strong"/>
          <w:rFonts w:ascii="Calibri" w:hAnsi="Calibri" w:cs="Calibri"/>
          <w:b w:val="0"/>
          <w:bCs w:val="0"/>
          <w:sz w:val="24"/>
          <w:szCs w:val="24"/>
        </w:rPr>
        <w:t>October 202</w:t>
      </w:r>
      <w:r w:rsidR="008E63F2" w:rsidRPr="00F035C3">
        <w:rPr>
          <w:rStyle w:val="Strong"/>
          <w:rFonts w:ascii="Calibri" w:eastAsiaTheme="majorEastAsia" w:hAnsi="Calibri" w:cs="Calibri"/>
          <w:b w:val="0"/>
          <w:bCs w:val="0"/>
          <w:sz w:val="24"/>
          <w:szCs w:val="24"/>
        </w:rPr>
        <w:t xml:space="preserve"> with</w:t>
      </w:r>
      <w:r w:rsidRPr="00F035C3">
        <w:rPr>
          <w:rFonts w:ascii="Calibri" w:hAnsi="Calibri" w:cs="Calibri"/>
          <w:sz w:val="24"/>
          <w:szCs w:val="24"/>
        </w:rPr>
        <w:t xml:space="preserve"> 23% year-on-year but slightly below analyst estimates due to </w:t>
      </w:r>
      <w:r w:rsidRPr="00F035C3">
        <w:rPr>
          <w:rStyle w:val="Strong"/>
          <w:rFonts w:ascii="Calibri" w:hAnsi="Calibri" w:cs="Calibri"/>
          <w:b w:val="0"/>
          <w:bCs w:val="0"/>
          <w:sz w:val="24"/>
          <w:szCs w:val="24"/>
        </w:rPr>
        <w:t>higher provisions</w:t>
      </w:r>
      <w:r w:rsidRPr="00F035C3">
        <w:rPr>
          <w:rFonts w:ascii="Calibri" w:hAnsi="Calibri" w:cs="Calibri"/>
          <w:sz w:val="24"/>
          <w:szCs w:val="24"/>
        </w:rPr>
        <w:t xml:space="preserve"> and softer treasury income. Despite this, the bank maintained strong </w:t>
      </w:r>
      <w:r w:rsidR="008E63F2" w:rsidRPr="00F035C3">
        <w:rPr>
          <w:rFonts w:ascii="Calibri" w:hAnsi="Calibri" w:cs="Calibri"/>
          <w:sz w:val="24"/>
          <w:szCs w:val="24"/>
        </w:rPr>
        <w:t>asset quality and margins</w:t>
      </w:r>
      <w:r w:rsidR="00F035C3">
        <w:rPr>
          <w:rFonts w:ascii="Calibri" w:hAnsi="Calibri" w:cs="Calibri"/>
          <w:sz w:val="24"/>
          <w:szCs w:val="24"/>
        </w:rPr>
        <w:t>.</w:t>
      </w:r>
    </w:p>
    <w:p w14:paraId="1AF9454C" w14:textId="77777777" w:rsidR="00C42A90" w:rsidRDefault="00D271E1" w:rsidP="00C42A90">
      <w:pPr>
        <w:pStyle w:val="ListParagraph"/>
        <w:numPr>
          <w:ilvl w:val="0"/>
          <w:numId w:val="39"/>
        </w:numPr>
        <w:spacing w:before="16" w:after="16"/>
        <w:rPr>
          <w:rFonts w:ascii="Calibri" w:hAnsi="Calibri" w:cs="Calibri"/>
          <w:sz w:val="24"/>
          <w:szCs w:val="24"/>
        </w:rPr>
      </w:pPr>
      <w:r w:rsidRPr="00F035C3">
        <w:rPr>
          <w:rFonts w:ascii="Calibri" w:hAnsi="Calibri" w:cs="Calibri"/>
          <w:sz w:val="24"/>
          <w:szCs w:val="24"/>
        </w:rPr>
        <w:t xml:space="preserve">In </w:t>
      </w:r>
      <w:r w:rsidRPr="00F035C3">
        <w:rPr>
          <w:rStyle w:val="Strong"/>
          <w:rFonts w:ascii="Calibri" w:hAnsi="Calibri" w:cs="Calibri"/>
          <w:b w:val="0"/>
          <w:bCs w:val="0"/>
          <w:sz w:val="24"/>
          <w:szCs w:val="24"/>
        </w:rPr>
        <w:t>July 2025</w:t>
      </w:r>
      <w:r w:rsidRPr="00F035C3">
        <w:rPr>
          <w:rFonts w:ascii="Calibri" w:hAnsi="Calibri" w:cs="Calibri"/>
          <w:sz w:val="24"/>
          <w:szCs w:val="24"/>
        </w:rPr>
        <w:t xml:space="preserve">, Kotak reaffirmed its strategy to expand in </w:t>
      </w:r>
      <w:r w:rsidRPr="00F035C3">
        <w:rPr>
          <w:rStyle w:val="Strong"/>
          <w:rFonts w:ascii="Calibri" w:hAnsi="Calibri" w:cs="Calibri"/>
          <w:b w:val="0"/>
          <w:bCs w:val="0"/>
          <w:sz w:val="24"/>
          <w:szCs w:val="24"/>
        </w:rPr>
        <w:t>banking</w:t>
      </w:r>
      <w:r w:rsidRPr="00F035C3">
        <w:rPr>
          <w:rFonts w:ascii="Calibri" w:hAnsi="Calibri" w:cs="Calibri"/>
          <w:sz w:val="24"/>
          <w:szCs w:val="24"/>
        </w:rPr>
        <w:t xml:space="preserve"> segments, enhancing premium offerings and digital wealth platforms. The initiative aims to increase non-interest income and solidify the bank’s leadership in India’s </w:t>
      </w:r>
      <w:r w:rsidR="00F035C3" w:rsidRPr="00F035C3">
        <w:rPr>
          <w:rFonts w:ascii="Calibri" w:hAnsi="Calibri" w:cs="Calibri"/>
          <w:sz w:val="24"/>
          <w:szCs w:val="24"/>
        </w:rPr>
        <w:t>growing market</w:t>
      </w:r>
      <w:r w:rsidRPr="00F035C3">
        <w:rPr>
          <w:rFonts w:ascii="Calibri" w:hAnsi="Calibri" w:cs="Calibri"/>
          <w:sz w:val="24"/>
          <w:szCs w:val="24"/>
        </w:rPr>
        <w:t>.</w:t>
      </w:r>
    </w:p>
    <w:p w14:paraId="532CAE93" w14:textId="77777777" w:rsidR="00C42A90" w:rsidRDefault="00162182" w:rsidP="00C42A90">
      <w:pPr>
        <w:pStyle w:val="ListParagraph"/>
        <w:numPr>
          <w:ilvl w:val="0"/>
          <w:numId w:val="39"/>
        </w:numPr>
        <w:spacing w:before="16" w:after="16"/>
        <w:rPr>
          <w:rFonts w:ascii="Calibri" w:hAnsi="Calibri" w:cs="Calibri"/>
          <w:sz w:val="24"/>
          <w:szCs w:val="24"/>
        </w:rPr>
      </w:pPr>
      <w:r w:rsidRPr="00C42A90">
        <w:rPr>
          <w:rFonts w:ascii="Calibri" w:hAnsi="Calibri" w:cs="Calibri"/>
          <w:sz w:val="24"/>
          <w:szCs w:val="24"/>
        </w:rPr>
        <w:t xml:space="preserve">Managing Director &amp; CEO </w:t>
      </w:r>
      <w:r w:rsidRPr="00C42A90">
        <w:rPr>
          <w:rStyle w:val="Strong"/>
          <w:rFonts w:ascii="Calibri" w:hAnsi="Calibri" w:cs="Calibri"/>
          <w:b w:val="0"/>
          <w:bCs w:val="0"/>
          <w:sz w:val="24"/>
          <w:szCs w:val="24"/>
        </w:rPr>
        <w:t>Ashok Vaswani</w:t>
      </w:r>
      <w:r w:rsidRPr="00C42A90">
        <w:rPr>
          <w:rFonts w:ascii="Calibri" w:hAnsi="Calibri" w:cs="Calibri"/>
          <w:sz w:val="24"/>
          <w:szCs w:val="24"/>
        </w:rPr>
        <w:t xml:space="preserve"> became </w:t>
      </w:r>
      <w:r w:rsidRPr="00C42A90">
        <w:rPr>
          <w:rStyle w:val="Strong"/>
          <w:rFonts w:ascii="Calibri" w:hAnsi="Calibri" w:cs="Calibri"/>
          <w:b w:val="0"/>
          <w:bCs w:val="0"/>
          <w:sz w:val="24"/>
          <w:szCs w:val="24"/>
        </w:rPr>
        <w:t>India’s highest-paid banking CEO</w:t>
      </w:r>
      <w:r w:rsidRPr="00C42A90">
        <w:rPr>
          <w:rFonts w:ascii="Calibri" w:hAnsi="Calibri" w:cs="Calibri"/>
          <w:sz w:val="24"/>
          <w:szCs w:val="24"/>
        </w:rPr>
        <w:t xml:space="preserve"> in </w:t>
      </w:r>
      <w:r w:rsidRPr="00C42A90">
        <w:rPr>
          <w:rStyle w:val="Strong"/>
          <w:rFonts w:ascii="Calibri" w:hAnsi="Calibri" w:cs="Calibri"/>
          <w:b w:val="0"/>
          <w:bCs w:val="0"/>
          <w:sz w:val="24"/>
          <w:szCs w:val="24"/>
        </w:rPr>
        <w:t>FY2025</w:t>
      </w:r>
      <w:r w:rsidRPr="00C42A90">
        <w:rPr>
          <w:rFonts w:ascii="Calibri" w:hAnsi="Calibri" w:cs="Calibri"/>
          <w:sz w:val="24"/>
          <w:szCs w:val="24"/>
        </w:rPr>
        <w:t>, reflecting the board’s emphasis on strong leadership during a critical phase of digital and strategic transformation.</w:t>
      </w:r>
    </w:p>
    <w:p w14:paraId="7EC87028" w14:textId="7F636E88" w:rsidR="00EE3073" w:rsidRPr="000B4393" w:rsidRDefault="00162182" w:rsidP="000B4393">
      <w:pPr>
        <w:pStyle w:val="ListParagraph"/>
        <w:numPr>
          <w:ilvl w:val="0"/>
          <w:numId w:val="39"/>
        </w:numPr>
        <w:spacing w:before="16" w:after="16"/>
        <w:rPr>
          <w:rFonts w:ascii="Calibri" w:hAnsi="Calibri" w:cs="Calibri"/>
          <w:sz w:val="24"/>
          <w:szCs w:val="24"/>
        </w:rPr>
      </w:pPr>
      <w:r w:rsidRPr="00C42A90">
        <w:rPr>
          <w:rFonts w:ascii="Calibri" w:hAnsi="Calibri" w:cs="Calibri"/>
          <w:sz w:val="24"/>
          <w:szCs w:val="24"/>
        </w:rPr>
        <w:t xml:space="preserve">In </w:t>
      </w:r>
      <w:r w:rsidRPr="00C42A90">
        <w:rPr>
          <w:rStyle w:val="Strong"/>
          <w:rFonts w:ascii="Calibri" w:hAnsi="Calibri" w:cs="Calibri"/>
          <w:b w:val="0"/>
          <w:bCs w:val="0"/>
          <w:sz w:val="24"/>
          <w:szCs w:val="24"/>
        </w:rPr>
        <w:t>August 2025</w:t>
      </w:r>
      <w:r w:rsidRPr="00C42A90">
        <w:rPr>
          <w:rFonts w:ascii="Calibri" w:hAnsi="Calibri" w:cs="Calibri"/>
          <w:sz w:val="24"/>
          <w:szCs w:val="24"/>
        </w:rPr>
        <w:t xml:space="preserve">, founder </w:t>
      </w:r>
      <w:r w:rsidRPr="00C42A90">
        <w:rPr>
          <w:rStyle w:val="Strong"/>
          <w:rFonts w:ascii="Calibri" w:hAnsi="Calibri" w:cs="Calibri"/>
          <w:b w:val="0"/>
          <w:bCs w:val="0"/>
          <w:sz w:val="24"/>
          <w:szCs w:val="24"/>
        </w:rPr>
        <w:t>Uday Kotak</w:t>
      </w:r>
      <w:r w:rsidRPr="00C42A90">
        <w:rPr>
          <w:rFonts w:ascii="Calibri" w:hAnsi="Calibri" w:cs="Calibri"/>
          <w:sz w:val="24"/>
          <w:szCs w:val="24"/>
        </w:rPr>
        <w:t xml:space="preserve"> commented publicly on India’s </w:t>
      </w:r>
      <w:r w:rsidRPr="00C42A90">
        <w:rPr>
          <w:rStyle w:val="Strong"/>
          <w:rFonts w:ascii="Calibri" w:hAnsi="Calibri" w:cs="Calibri"/>
          <w:b w:val="0"/>
          <w:bCs w:val="0"/>
          <w:sz w:val="24"/>
          <w:szCs w:val="24"/>
        </w:rPr>
        <w:t>rupee depreciation</w:t>
      </w:r>
      <w:r w:rsidRPr="00C42A90">
        <w:rPr>
          <w:rFonts w:ascii="Calibri" w:hAnsi="Calibri" w:cs="Calibri"/>
          <w:sz w:val="24"/>
          <w:szCs w:val="24"/>
        </w:rPr>
        <w:t xml:space="preserve"> and </w:t>
      </w:r>
      <w:r w:rsidRPr="00C42A90">
        <w:rPr>
          <w:rStyle w:val="Strong"/>
          <w:rFonts w:ascii="Calibri" w:hAnsi="Calibri" w:cs="Calibri"/>
          <w:b w:val="0"/>
          <w:bCs w:val="0"/>
          <w:sz w:val="24"/>
          <w:szCs w:val="24"/>
        </w:rPr>
        <w:t>foreign investor dominance</w:t>
      </w:r>
      <w:r w:rsidRPr="00C42A90">
        <w:rPr>
          <w:rFonts w:ascii="Calibri" w:hAnsi="Calibri" w:cs="Calibri"/>
          <w:sz w:val="24"/>
          <w:szCs w:val="24"/>
        </w:rPr>
        <w:t>, urging Indian corporates to “step up” to maintain balance in domestic capital markets. His remarks highlighted the macroeconomic pressures that can influence banking sector sentiment.</w:t>
      </w:r>
    </w:p>
    <w:p w14:paraId="6A839FF9" w14:textId="77777777" w:rsidR="00EE3073" w:rsidRPr="000B4393" w:rsidRDefault="00EE3073" w:rsidP="004818A5">
      <w:pPr>
        <w:spacing w:before="16" w:after="16"/>
        <w:jc w:val="both"/>
        <w:rPr>
          <w:rFonts w:ascii="Calibri" w:eastAsia="Times New Roman" w:hAnsi="Calibri" w:cs="Calibri"/>
          <w:color w:val="FF0000"/>
          <w:kern w:val="0"/>
          <w:sz w:val="28"/>
          <w:szCs w:val="28"/>
          <w14:ligatures w14:val="none"/>
        </w:rPr>
      </w:pPr>
      <w:r w:rsidRPr="000B4393">
        <w:rPr>
          <w:rFonts w:ascii="Calibri" w:eastAsia="Times New Roman" w:hAnsi="Calibri" w:cs="Calibri"/>
          <w:color w:val="FF0000"/>
          <w:kern w:val="0"/>
          <w:sz w:val="28"/>
          <w:szCs w:val="28"/>
          <w14:ligatures w14:val="none"/>
        </w:rPr>
        <w:t>Forecasts and Assumptions</w:t>
      </w:r>
    </w:p>
    <w:p w14:paraId="2C668D94" w14:textId="4468F55B" w:rsidR="00D54751" w:rsidRPr="00626D23" w:rsidRDefault="00D54751"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bank has forecasted the period of FY26 to FY30 by </w:t>
      </w:r>
      <w:r w:rsidR="000B4393" w:rsidRPr="00626D23">
        <w:rPr>
          <w:rFonts w:ascii="Calibri" w:eastAsia="Times New Roman" w:hAnsi="Calibri" w:cs="Calibri"/>
          <w:kern w:val="0"/>
          <w:sz w:val="24"/>
          <w:szCs w:val="24"/>
          <w14:ligatures w14:val="none"/>
        </w:rPr>
        <w:t>analyzing</w:t>
      </w:r>
      <w:r w:rsidRPr="00626D23">
        <w:rPr>
          <w:rFonts w:ascii="Calibri" w:eastAsia="Times New Roman" w:hAnsi="Calibri" w:cs="Calibri"/>
          <w:kern w:val="0"/>
          <w:sz w:val="24"/>
          <w:szCs w:val="24"/>
          <w14:ligatures w14:val="none"/>
        </w:rPr>
        <w:t xml:space="preserve"> its past growth trends, present industry characteristics, and future macroeconomic conditions. The model takes for granted that there will be a gradual GDP growth, strong credit demand, and a usual interest rate trend after the recent monetary policy tightening by RBI.</w:t>
      </w:r>
    </w:p>
    <w:p w14:paraId="1D40C5A4" w14:textId="0C34454C" w:rsidR="003E2677" w:rsidRDefault="00D112C9" w:rsidP="002A4B38">
      <w:pPr>
        <w:pStyle w:val="ListParagraph"/>
        <w:numPr>
          <w:ilvl w:val="0"/>
          <w:numId w:val="44"/>
        </w:numPr>
        <w:spacing w:before="16" w:after="16"/>
        <w:rPr>
          <w:rFonts w:ascii="Calibri" w:eastAsia="Times New Roman" w:hAnsi="Calibri" w:cs="Calibri"/>
          <w:kern w:val="0"/>
          <w:sz w:val="24"/>
          <w:szCs w:val="24"/>
          <w14:ligatures w14:val="none"/>
        </w:rPr>
      </w:pPr>
      <w:r>
        <w:rPr>
          <w:noProof/>
        </w:rPr>
        <w:lastRenderedPageBreak/>
        <w:drawing>
          <wp:anchor distT="0" distB="0" distL="114300" distR="114300" simplePos="0" relativeHeight="251670016" behindDoc="0" locked="0" layoutInCell="1" allowOverlap="1" wp14:anchorId="7FD3F889" wp14:editId="62AD7FB5">
            <wp:simplePos x="0" y="0"/>
            <wp:positionH relativeFrom="margin">
              <wp:align>left</wp:align>
            </wp:positionH>
            <wp:positionV relativeFrom="paragraph">
              <wp:posOffset>4307</wp:posOffset>
            </wp:positionV>
            <wp:extent cx="3641090" cy="2130425"/>
            <wp:effectExtent l="0" t="0" r="16510" b="3175"/>
            <wp:wrapThrough wrapText="bothSides">
              <wp:wrapPolygon edited="0">
                <wp:start x="0" y="0"/>
                <wp:lineTo x="0" y="21439"/>
                <wp:lineTo x="21585" y="21439"/>
                <wp:lineTo x="21585" y="0"/>
                <wp:lineTo x="0" y="0"/>
              </wp:wrapPolygon>
            </wp:wrapThrough>
            <wp:docPr id="1576518238" name="Chart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00EE3073" w:rsidRPr="00D15897">
        <w:rPr>
          <w:rFonts w:ascii="Calibri" w:eastAsia="Times New Roman" w:hAnsi="Calibri" w:cs="Calibri"/>
          <w:kern w:val="0"/>
          <w:sz w:val="24"/>
          <w:szCs w:val="24"/>
          <w14:ligatures w14:val="none"/>
        </w:rPr>
        <w:t>Revenue CAGR:</w:t>
      </w:r>
      <w:r w:rsidR="003E2677">
        <w:rPr>
          <w:rFonts w:ascii="Calibri" w:eastAsia="Times New Roman" w:hAnsi="Calibri" w:cs="Calibri"/>
          <w:kern w:val="0"/>
          <w:sz w:val="24"/>
          <w:szCs w:val="24"/>
          <w14:ligatures w14:val="none"/>
        </w:rPr>
        <w:t xml:space="preserve"> </w:t>
      </w:r>
      <w:r w:rsidR="00311DF2" w:rsidRPr="003E2677">
        <w:rPr>
          <w:rFonts w:ascii="Calibri" w:eastAsia="Times New Roman" w:hAnsi="Calibri" w:cs="Calibri"/>
          <w:kern w:val="0"/>
          <w:sz w:val="24"/>
          <w:szCs w:val="24"/>
          <w14:ligatures w14:val="none"/>
        </w:rPr>
        <w:t>Total operating income is likely to grow from ₹433,027,775 ('000s) in FY25 to ₹990,662,651 ('000s) in FY30, representing a CAGR of 12.5%. The increase will be broad-based, with the retail and SME advances, fee income, and wealth management services being the main contributors.</w:t>
      </w:r>
      <w:r w:rsidR="00FB2750" w:rsidRPr="00FB2750">
        <w:rPr>
          <w:noProof/>
        </w:rPr>
        <w:t xml:space="preserve"> </w:t>
      </w:r>
    </w:p>
    <w:p w14:paraId="1090180A" w14:textId="64137BAE" w:rsidR="003E2677" w:rsidRDefault="00311DF2" w:rsidP="003E2677">
      <w:pPr>
        <w:pStyle w:val="ListParagraph"/>
        <w:numPr>
          <w:ilvl w:val="0"/>
          <w:numId w:val="44"/>
        </w:numPr>
        <w:spacing w:before="16" w:after="16"/>
        <w:rPr>
          <w:rFonts w:ascii="Calibri" w:eastAsia="Times New Roman" w:hAnsi="Calibri" w:cs="Calibri"/>
          <w:kern w:val="0"/>
          <w:sz w:val="24"/>
          <w:szCs w:val="24"/>
          <w14:ligatures w14:val="none"/>
        </w:rPr>
      </w:pPr>
      <w:r w:rsidRPr="003E2677">
        <w:rPr>
          <w:rFonts w:ascii="Calibri" w:eastAsia="Times New Roman" w:hAnsi="Calibri" w:cs="Calibri"/>
          <w:kern w:val="0"/>
          <w:sz w:val="24"/>
          <w:szCs w:val="24"/>
          <w14:ligatures w14:val="none"/>
        </w:rPr>
        <w:t>Pre-Provision Operating Profit (PPOP):</w:t>
      </w:r>
      <w:r w:rsidR="003E2677">
        <w:rPr>
          <w:rFonts w:ascii="Calibri" w:eastAsia="Times New Roman" w:hAnsi="Calibri" w:cs="Calibri"/>
          <w:kern w:val="0"/>
          <w:sz w:val="24"/>
          <w:szCs w:val="24"/>
          <w14:ligatures w14:val="none"/>
        </w:rPr>
        <w:t xml:space="preserve"> </w:t>
      </w:r>
      <w:r w:rsidRPr="003E2677">
        <w:rPr>
          <w:rFonts w:ascii="Calibri" w:eastAsia="Times New Roman" w:hAnsi="Calibri" w:cs="Calibri"/>
          <w:kern w:val="0"/>
          <w:sz w:val="24"/>
          <w:szCs w:val="24"/>
          <w14:ligatures w14:val="none"/>
        </w:rPr>
        <w:t xml:space="preserve">PPOP is likely to go up from ₹245,263,380 ('000s) in FY25 to ₹594,397,591 ('000s) in FY30, </w:t>
      </w:r>
      <w:r w:rsidR="001D2D32" w:rsidRPr="003E2677">
        <w:rPr>
          <w:rFonts w:ascii="Calibri" w:eastAsia="Times New Roman" w:hAnsi="Calibri" w:cs="Calibri"/>
          <w:kern w:val="0"/>
          <w:sz w:val="24"/>
          <w:szCs w:val="24"/>
          <w14:ligatures w14:val="none"/>
        </w:rPr>
        <w:t>because of</w:t>
      </w:r>
      <w:r w:rsidRPr="003E2677">
        <w:rPr>
          <w:rFonts w:ascii="Calibri" w:eastAsia="Times New Roman" w:hAnsi="Calibri" w:cs="Calibri"/>
          <w:kern w:val="0"/>
          <w:sz w:val="24"/>
          <w:szCs w:val="24"/>
          <w14:ligatures w14:val="none"/>
        </w:rPr>
        <w:t xml:space="preserve"> strong operating leverage from top-line growth and cost efficiencies.</w:t>
      </w:r>
    </w:p>
    <w:p w14:paraId="1F7FA356" w14:textId="77777777" w:rsidR="003E2677" w:rsidRDefault="00311DF2" w:rsidP="003E2677">
      <w:pPr>
        <w:pStyle w:val="ListParagraph"/>
        <w:numPr>
          <w:ilvl w:val="0"/>
          <w:numId w:val="44"/>
        </w:numPr>
        <w:spacing w:before="16" w:after="16"/>
        <w:rPr>
          <w:rFonts w:ascii="Calibri" w:eastAsia="Times New Roman" w:hAnsi="Calibri" w:cs="Calibri"/>
          <w:kern w:val="0"/>
          <w:sz w:val="24"/>
          <w:szCs w:val="24"/>
          <w14:ligatures w14:val="none"/>
        </w:rPr>
      </w:pPr>
      <w:r w:rsidRPr="003E2677">
        <w:rPr>
          <w:rFonts w:ascii="Calibri" w:eastAsia="Times New Roman" w:hAnsi="Calibri" w:cs="Calibri"/>
          <w:kern w:val="0"/>
          <w:sz w:val="24"/>
          <w:szCs w:val="24"/>
          <w14:ligatures w14:val="none"/>
        </w:rPr>
        <w:t>Net Interest Margin (NIM):</w:t>
      </w:r>
      <w:r w:rsidR="003E2677">
        <w:rPr>
          <w:rFonts w:ascii="Calibri" w:eastAsia="Times New Roman" w:hAnsi="Calibri" w:cs="Calibri"/>
          <w:kern w:val="0"/>
          <w:sz w:val="24"/>
          <w:szCs w:val="24"/>
          <w14:ligatures w14:val="none"/>
        </w:rPr>
        <w:t xml:space="preserve"> </w:t>
      </w:r>
      <w:r w:rsidRPr="003E2677">
        <w:rPr>
          <w:rFonts w:ascii="Calibri" w:eastAsia="Times New Roman" w:hAnsi="Calibri" w:cs="Calibri"/>
          <w:kern w:val="0"/>
          <w:sz w:val="24"/>
          <w:szCs w:val="24"/>
          <w14:ligatures w14:val="none"/>
        </w:rPr>
        <w:t>NIM is thought to be stable at around 5%, which is supported by the bank's high CASA ratio as well as the disciplined pricing strategy across retail and corporate segments.</w:t>
      </w:r>
    </w:p>
    <w:p w14:paraId="3B6A2A59" w14:textId="77777777" w:rsidR="003E2677" w:rsidRDefault="00311DF2" w:rsidP="003E2677">
      <w:pPr>
        <w:pStyle w:val="ListParagraph"/>
        <w:numPr>
          <w:ilvl w:val="0"/>
          <w:numId w:val="44"/>
        </w:numPr>
        <w:spacing w:before="16" w:after="16"/>
        <w:rPr>
          <w:rFonts w:ascii="Calibri" w:eastAsia="Times New Roman" w:hAnsi="Calibri" w:cs="Calibri"/>
          <w:kern w:val="0"/>
          <w:sz w:val="24"/>
          <w:szCs w:val="24"/>
          <w14:ligatures w14:val="none"/>
        </w:rPr>
      </w:pPr>
      <w:r w:rsidRPr="003E2677">
        <w:rPr>
          <w:rFonts w:ascii="Calibri" w:eastAsia="Times New Roman" w:hAnsi="Calibri" w:cs="Calibri"/>
          <w:kern w:val="0"/>
          <w:sz w:val="24"/>
          <w:szCs w:val="24"/>
          <w14:ligatures w14:val="none"/>
        </w:rPr>
        <w:t>Cost-to-Income Ratio:</w:t>
      </w:r>
      <w:r w:rsidR="003E2677">
        <w:rPr>
          <w:rFonts w:ascii="Calibri" w:eastAsia="Times New Roman" w:hAnsi="Calibri" w:cs="Calibri"/>
          <w:kern w:val="0"/>
          <w:sz w:val="24"/>
          <w:szCs w:val="24"/>
          <w14:ligatures w14:val="none"/>
        </w:rPr>
        <w:t xml:space="preserve"> </w:t>
      </w:r>
      <w:r w:rsidRPr="003E2677">
        <w:rPr>
          <w:rFonts w:ascii="Calibri" w:eastAsia="Times New Roman" w:hAnsi="Calibri" w:cs="Calibri"/>
          <w:kern w:val="0"/>
          <w:sz w:val="24"/>
          <w:szCs w:val="24"/>
          <w14:ligatures w14:val="none"/>
        </w:rPr>
        <w:t>The adoption of digital technologies and streamlining of operations are the main factors behind the maintenance of this ratio at the low 40% range, thus the gradual profitability expansion is assured.</w:t>
      </w:r>
    </w:p>
    <w:p w14:paraId="4B018114" w14:textId="77777777" w:rsidR="003E2677" w:rsidRDefault="00311DF2" w:rsidP="003E2677">
      <w:pPr>
        <w:pStyle w:val="ListParagraph"/>
        <w:numPr>
          <w:ilvl w:val="0"/>
          <w:numId w:val="44"/>
        </w:numPr>
        <w:spacing w:before="16" w:after="16"/>
        <w:rPr>
          <w:rFonts w:ascii="Calibri" w:eastAsia="Times New Roman" w:hAnsi="Calibri" w:cs="Calibri"/>
          <w:kern w:val="0"/>
          <w:sz w:val="24"/>
          <w:szCs w:val="24"/>
          <w14:ligatures w14:val="none"/>
        </w:rPr>
      </w:pPr>
      <w:r w:rsidRPr="003E2677">
        <w:rPr>
          <w:rFonts w:ascii="Calibri" w:eastAsia="Times New Roman" w:hAnsi="Calibri" w:cs="Calibri"/>
          <w:kern w:val="0"/>
          <w:sz w:val="24"/>
          <w:szCs w:val="24"/>
          <w14:ligatures w14:val="none"/>
        </w:rPr>
        <w:t>Credit Quality:</w:t>
      </w:r>
      <w:r w:rsidR="003E2677">
        <w:rPr>
          <w:rFonts w:ascii="Calibri" w:eastAsia="Times New Roman" w:hAnsi="Calibri" w:cs="Calibri"/>
          <w:kern w:val="0"/>
          <w:sz w:val="24"/>
          <w:szCs w:val="24"/>
          <w14:ligatures w14:val="none"/>
        </w:rPr>
        <w:t xml:space="preserve"> </w:t>
      </w:r>
      <w:r w:rsidRPr="003E2677">
        <w:rPr>
          <w:rFonts w:ascii="Calibri" w:eastAsia="Times New Roman" w:hAnsi="Calibri" w:cs="Calibri"/>
          <w:kern w:val="0"/>
          <w:sz w:val="24"/>
          <w:szCs w:val="24"/>
          <w14:ligatures w14:val="none"/>
        </w:rPr>
        <w:t>It is anticipated that the asset quality will be maintained, with the GNPA at less than 1.5% and credit costs at around 0.4% of the advances, which is in line with Kotak’s risk profile.</w:t>
      </w:r>
    </w:p>
    <w:p w14:paraId="2A240BC6" w14:textId="77777777" w:rsidR="0055379F" w:rsidRDefault="00311DF2" w:rsidP="0055379F">
      <w:pPr>
        <w:pStyle w:val="ListParagraph"/>
        <w:numPr>
          <w:ilvl w:val="0"/>
          <w:numId w:val="44"/>
        </w:numPr>
        <w:spacing w:before="16" w:after="16"/>
        <w:rPr>
          <w:rFonts w:ascii="Calibri" w:eastAsia="Times New Roman" w:hAnsi="Calibri" w:cs="Calibri"/>
          <w:kern w:val="0"/>
          <w:sz w:val="24"/>
          <w:szCs w:val="24"/>
          <w14:ligatures w14:val="none"/>
        </w:rPr>
      </w:pPr>
      <w:r w:rsidRPr="003F2715">
        <w:rPr>
          <w:rFonts w:ascii="Calibri" w:eastAsia="Times New Roman" w:hAnsi="Calibri" w:cs="Calibri"/>
          <w:kern w:val="0"/>
          <w:sz w:val="24"/>
          <w:szCs w:val="24"/>
          <w14:ligatures w14:val="none"/>
        </w:rPr>
        <w:t>Free Cash Flow to Firm (FCFF): FCFF is expected to steadily increase throughout the forecast horizon, thus enabling Kotak to fund its expansion and pay dividends without taking on more debt.</w:t>
      </w:r>
    </w:p>
    <w:p w14:paraId="773E0554" w14:textId="1F08D5AB" w:rsidR="00311DF2" w:rsidRPr="0055379F" w:rsidRDefault="00311DF2" w:rsidP="0055379F">
      <w:pPr>
        <w:pStyle w:val="ListParagraph"/>
        <w:numPr>
          <w:ilvl w:val="0"/>
          <w:numId w:val="44"/>
        </w:numPr>
        <w:spacing w:before="16" w:after="16"/>
        <w:rPr>
          <w:rFonts w:ascii="Calibri" w:eastAsia="Times New Roman" w:hAnsi="Calibri" w:cs="Calibri"/>
          <w:kern w:val="0"/>
          <w:sz w:val="24"/>
          <w:szCs w:val="24"/>
          <w14:ligatures w14:val="none"/>
        </w:rPr>
      </w:pPr>
      <w:r w:rsidRPr="0055379F">
        <w:rPr>
          <w:rFonts w:ascii="Calibri" w:eastAsia="Times New Roman" w:hAnsi="Calibri" w:cs="Calibri"/>
          <w:kern w:val="0"/>
          <w:sz w:val="24"/>
          <w:szCs w:val="24"/>
          <w14:ligatures w14:val="none"/>
        </w:rPr>
        <w:t>Weighted Average Cost of Capital (WACC):</w:t>
      </w:r>
      <w:r w:rsidR="0055379F">
        <w:rPr>
          <w:rFonts w:ascii="Calibri" w:eastAsia="Times New Roman" w:hAnsi="Calibri" w:cs="Calibri"/>
          <w:kern w:val="0"/>
          <w:sz w:val="24"/>
          <w:szCs w:val="24"/>
          <w14:ligatures w14:val="none"/>
        </w:rPr>
        <w:t xml:space="preserve"> </w:t>
      </w:r>
      <w:r w:rsidRPr="0055379F">
        <w:rPr>
          <w:rFonts w:ascii="Calibri" w:eastAsia="Times New Roman" w:hAnsi="Calibri" w:cs="Calibri"/>
          <w:kern w:val="0"/>
          <w:sz w:val="24"/>
          <w:szCs w:val="24"/>
          <w14:ligatures w14:val="none"/>
        </w:rPr>
        <w:t>Considering the bank’s risk profile and the cost of equity assumptions, the WACC is estimated to be 1</w:t>
      </w:r>
      <w:r w:rsidR="000B20F0">
        <w:rPr>
          <w:rFonts w:ascii="Calibri" w:eastAsia="Times New Roman" w:hAnsi="Calibri" w:cs="Calibri"/>
          <w:kern w:val="0"/>
          <w:sz w:val="24"/>
          <w:szCs w:val="24"/>
          <w14:ligatures w14:val="none"/>
        </w:rPr>
        <w:t>0</w:t>
      </w:r>
      <w:r w:rsidRPr="0055379F">
        <w:rPr>
          <w:rFonts w:ascii="Calibri" w:eastAsia="Times New Roman" w:hAnsi="Calibri" w:cs="Calibri"/>
          <w:kern w:val="0"/>
          <w:sz w:val="24"/>
          <w:szCs w:val="24"/>
          <w14:ligatures w14:val="none"/>
        </w:rPr>
        <w:t>.75%, which is derived from the CAPM as follows:</w:t>
      </w:r>
    </w:p>
    <w:p w14:paraId="5C0CF48B" w14:textId="77777777" w:rsidR="00F10450" w:rsidRPr="00626D23" w:rsidRDefault="00EE3073" w:rsidP="0055379F">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Ke=Rf+β(Rm−Rf)</w:t>
      </w:r>
    </w:p>
    <w:p w14:paraId="738148AA" w14:textId="667361F0" w:rsidR="00EE3073" w:rsidRPr="00626D23" w:rsidRDefault="00EE3073" w:rsidP="0055379F">
      <w:pPr>
        <w:spacing w:before="16" w:after="16"/>
        <w:jc w:val="center"/>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6.5%+0.</w:t>
      </w:r>
      <w:r w:rsidR="002E1B36">
        <w:rPr>
          <w:rFonts w:ascii="Calibri" w:eastAsia="Times New Roman" w:hAnsi="Calibri" w:cs="Calibri"/>
          <w:kern w:val="0"/>
          <w:sz w:val="24"/>
          <w:szCs w:val="24"/>
          <w14:ligatures w14:val="none"/>
        </w:rPr>
        <w:t>60</w:t>
      </w:r>
      <w:r w:rsidRPr="00626D23">
        <w:rPr>
          <w:rFonts w:ascii="Calibri" w:eastAsia="Times New Roman" w:hAnsi="Calibri" w:cs="Calibri"/>
          <w:kern w:val="0"/>
          <w:sz w:val="24"/>
          <w:szCs w:val="24"/>
          <w14:ligatures w14:val="none"/>
        </w:rPr>
        <w:t>(7.0%)</w:t>
      </w:r>
      <w:r w:rsidR="0055379F">
        <w:rPr>
          <w:rFonts w:ascii="Calibri" w:eastAsia="Times New Roman" w:hAnsi="Calibri" w:cs="Calibri"/>
          <w:kern w:val="0"/>
          <w:sz w:val="24"/>
          <w:szCs w:val="24"/>
          <w14:ligatures w14:val="none"/>
        </w:rPr>
        <w:t xml:space="preserve"> </w:t>
      </w:r>
      <w:r w:rsidRPr="00626D23">
        <w:rPr>
          <w:rFonts w:ascii="Calibri" w:eastAsia="Times New Roman" w:hAnsi="Calibri" w:cs="Calibri"/>
          <w:kern w:val="0"/>
          <w:sz w:val="24"/>
          <w:szCs w:val="24"/>
          <w14:ligatures w14:val="none"/>
        </w:rPr>
        <w:t>=</w:t>
      </w:r>
      <w:r w:rsidR="0055379F">
        <w:rPr>
          <w:rFonts w:ascii="Calibri" w:eastAsia="Times New Roman" w:hAnsi="Calibri" w:cs="Calibri"/>
          <w:kern w:val="0"/>
          <w:sz w:val="24"/>
          <w:szCs w:val="24"/>
          <w14:ligatures w14:val="none"/>
        </w:rPr>
        <w:t xml:space="preserve"> </w:t>
      </w:r>
      <w:r w:rsidRPr="00626D23">
        <w:rPr>
          <w:rFonts w:ascii="Calibri" w:eastAsia="Times New Roman" w:hAnsi="Calibri" w:cs="Calibri"/>
          <w:kern w:val="0"/>
          <w:sz w:val="24"/>
          <w:szCs w:val="24"/>
          <w14:ligatures w14:val="none"/>
        </w:rPr>
        <w:t>1</w:t>
      </w:r>
      <w:r w:rsidR="001A368C">
        <w:rPr>
          <w:rFonts w:ascii="Calibri" w:eastAsia="Times New Roman" w:hAnsi="Calibri" w:cs="Calibri"/>
          <w:kern w:val="0"/>
          <w:sz w:val="24"/>
          <w:szCs w:val="24"/>
          <w14:ligatures w14:val="none"/>
        </w:rPr>
        <w:t>0</w:t>
      </w:r>
      <w:r w:rsidRPr="00626D23">
        <w:rPr>
          <w:rFonts w:ascii="Calibri" w:eastAsia="Times New Roman" w:hAnsi="Calibri" w:cs="Calibri"/>
          <w:kern w:val="0"/>
          <w:sz w:val="24"/>
          <w:szCs w:val="24"/>
          <w14:ligatures w14:val="none"/>
        </w:rPr>
        <w:t>.75%</w:t>
      </w:r>
    </w:p>
    <w:p w14:paraId="1BEE1AC3" w14:textId="604C7850" w:rsidR="00037652" w:rsidRPr="00626D23" w:rsidRDefault="003B2CF2" w:rsidP="004818A5">
      <w:pPr>
        <w:spacing w:before="16" w:after="16"/>
        <w:jc w:val="both"/>
        <w:rPr>
          <w:rFonts w:ascii="Calibri" w:eastAsia="Times New Roman" w:hAnsi="Calibri" w:cs="Calibri"/>
          <w:kern w:val="0"/>
          <w:sz w:val="24"/>
          <w:szCs w:val="24"/>
          <w14:ligatures w14:val="none"/>
        </w:rPr>
      </w:pPr>
      <w:r w:rsidRPr="003B2CF2">
        <w:drawing>
          <wp:anchor distT="0" distB="0" distL="114300" distR="114300" simplePos="0" relativeHeight="251689472" behindDoc="0" locked="0" layoutInCell="1" allowOverlap="1" wp14:anchorId="77587DB9" wp14:editId="7CA268E5">
            <wp:simplePos x="0" y="0"/>
            <wp:positionH relativeFrom="column">
              <wp:posOffset>2257425</wp:posOffset>
            </wp:positionH>
            <wp:positionV relativeFrom="paragraph">
              <wp:posOffset>4445</wp:posOffset>
            </wp:positionV>
            <wp:extent cx="4754880" cy="969010"/>
            <wp:effectExtent l="0" t="0" r="7620" b="2540"/>
            <wp:wrapThrough wrapText="bothSides">
              <wp:wrapPolygon edited="0">
                <wp:start x="0" y="0"/>
                <wp:lineTo x="0" y="21232"/>
                <wp:lineTo x="21548" y="21232"/>
                <wp:lineTo x="21548" y="0"/>
                <wp:lineTo x="0" y="0"/>
              </wp:wrapPolygon>
            </wp:wrapThrough>
            <wp:docPr id="1072751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4880" cy="969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7652" w:rsidRPr="00626D23">
        <w:rPr>
          <w:rFonts w:ascii="Calibri" w:eastAsia="Times New Roman" w:hAnsi="Calibri" w:cs="Calibri"/>
          <w:kern w:val="0"/>
          <w:sz w:val="24"/>
          <w:szCs w:val="24"/>
          <w14:ligatures w14:val="none"/>
        </w:rPr>
        <w:t>W</w:t>
      </w:r>
      <w:r w:rsidR="00EE3073" w:rsidRPr="00626D23">
        <w:rPr>
          <w:rFonts w:ascii="Calibri" w:eastAsia="Times New Roman" w:hAnsi="Calibri" w:cs="Calibri"/>
          <w:kern w:val="0"/>
          <w:sz w:val="24"/>
          <w:szCs w:val="24"/>
          <w14:ligatures w14:val="none"/>
        </w:rPr>
        <w:t>here</w:t>
      </w:r>
    </w:p>
    <w:p w14:paraId="7810B1DF" w14:textId="05570AFA" w:rsidR="00037652" w:rsidRPr="00626D23" w:rsidRDefault="00EE3073"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 Rf is the risk-free rate, </w:t>
      </w:r>
    </w:p>
    <w:p w14:paraId="25481457" w14:textId="54E7C623" w:rsidR="00037652" w:rsidRPr="00626D23" w:rsidRDefault="00EE3073"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β is the stock’s beta</w:t>
      </w:r>
      <w:r w:rsidR="0055379F">
        <w:rPr>
          <w:rFonts w:ascii="Calibri" w:eastAsia="Times New Roman" w:hAnsi="Calibri" w:cs="Calibri"/>
          <w:kern w:val="0"/>
          <w:sz w:val="24"/>
          <w:szCs w:val="24"/>
          <w14:ligatures w14:val="none"/>
        </w:rPr>
        <w:t>,</w:t>
      </w:r>
    </w:p>
    <w:p w14:paraId="41CDA81B" w14:textId="54AE9842" w:rsidR="00EE3073" w:rsidRDefault="00EE3073"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Rm−Rf the market risk premium.</w:t>
      </w:r>
    </w:p>
    <w:p w14:paraId="00E6536E" w14:textId="61C8680C" w:rsidR="00A8036D" w:rsidRPr="00626D23" w:rsidRDefault="00A8036D" w:rsidP="004818A5">
      <w:pPr>
        <w:spacing w:before="16" w:after="16"/>
        <w:jc w:val="both"/>
        <w:rPr>
          <w:rFonts w:ascii="Calibri" w:eastAsia="Times New Roman" w:hAnsi="Calibri" w:cs="Calibri"/>
          <w:kern w:val="0"/>
          <w:sz w:val="24"/>
          <w:szCs w:val="24"/>
          <w14:ligatures w14:val="none"/>
        </w:rPr>
      </w:pPr>
    </w:p>
    <w:p w14:paraId="4833AFEC" w14:textId="77777777" w:rsidR="00EE3073" w:rsidRPr="001D2D32" w:rsidRDefault="00EE3073" w:rsidP="001D2D32">
      <w:pPr>
        <w:spacing w:before="36" w:after="16"/>
        <w:jc w:val="both"/>
        <w:rPr>
          <w:rFonts w:ascii="Calibri" w:eastAsia="Times New Roman" w:hAnsi="Calibri" w:cs="Calibri"/>
          <w:color w:val="FF0000"/>
          <w:kern w:val="0"/>
          <w:sz w:val="28"/>
          <w:szCs w:val="28"/>
          <w14:ligatures w14:val="none"/>
        </w:rPr>
      </w:pPr>
      <w:r w:rsidRPr="001D2D32">
        <w:rPr>
          <w:rFonts w:ascii="Calibri" w:eastAsia="Times New Roman" w:hAnsi="Calibri" w:cs="Calibri"/>
          <w:color w:val="FF0000"/>
          <w:kern w:val="0"/>
          <w:sz w:val="28"/>
          <w:szCs w:val="28"/>
          <w14:ligatures w14:val="none"/>
        </w:rPr>
        <w:t>Scenario and Sensitivity Analysis</w:t>
      </w:r>
    </w:p>
    <w:p w14:paraId="7C1821C0" w14:textId="77777777" w:rsidR="00F73C35" w:rsidRPr="00626D23" w:rsidRDefault="00F73C35"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figures given are realistic estimates but due to the sensitivity tests, it was revealed that the company was moderately responsive to key operating variables: </w:t>
      </w:r>
    </w:p>
    <w:p w14:paraId="68CFF513" w14:textId="30DFE877" w:rsidR="00BB6541" w:rsidRDefault="00F73C35" w:rsidP="004818A5">
      <w:pPr>
        <w:pStyle w:val="ListParagraph"/>
        <w:numPr>
          <w:ilvl w:val="0"/>
          <w:numId w:val="45"/>
        </w:numPr>
        <w:spacing w:before="16" w:after="16"/>
        <w:jc w:val="both"/>
        <w:rPr>
          <w:rFonts w:ascii="Calibri" w:eastAsia="Times New Roman" w:hAnsi="Calibri" w:cs="Calibri"/>
          <w:kern w:val="0"/>
          <w:sz w:val="24"/>
          <w:szCs w:val="24"/>
          <w14:ligatures w14:val="none"/>
        </w:rPr>
      </w:pPr>
      <w:r w:rsidRPr="00BB6541">
        <w:rPr>
          <w:rFonts w:ascii="Calibri" w:eastAsia="Times New Roman" w:hAnsi="Calibri" w:cs="Calibri"/>
          <w:kern w:val="0"/>
          <w:sz w:val="24"/>
          <w:szCs w:val="24"/>
          <w14:ligatures w14:val="none"/>
        </w:rPr>
        <w:t xml:space="preserve">The total income would increase or decrease by about 2-3% at the end of FY30 with a 1% loan growth change. </w:t>
      </w:r>
    </w:p>
    <w:p w14:paraId="10363290" w14:textId="1B806016" w:rsidR="00BB6541" w:rsidRDefault="00F73C35" w:rsidP="004818A5">
      <w:pPr>
        <w:pStyle w:val="ListParagraph"/>
        <w:numPr>
          <w:ilvl w:val="0"/>
          <w:numId w:val="45"/>
        </w:numPr>
        <w:spacing w:before="16" w:after="16"/>
        <w:jc w:val="both"/>
        <w:rPr>
          <w:rFonts w:ascii="Calibri" w:eastAsia="Times New Roman" w:hAnsi="Calibri" w:cs="Calibri"/>
          <w:kern w:val="0"/>
          <w:sz w:val="24"/>
          <w:szCs w:val="24"/>
          <w14:ligatures w14:val="none"/>
        </w:rPr>
      </w:pPr>
      <w:r w:rsidRPr="00BB6541">
        <w:rPr>
          <w:rFonts w:ascii="Calibri" w:eastAsia="Times New Roman" w:hAnsi="Calibri" w:cs="Calibri"/>
          <w:kern w:val="0"/>
          <w:sz w:val="24"/>
          <w:szCs w:val="24"/>
          <w14:ligatures w14:val="none"/>
        </w:rPr>
        <w:t xml:space="preserve">Revenue would go up or down in the proximity of 2% due to a 0.25% change in NIM which also shows that there is a sensitivity to rate </w:t>
      </w:r>
      <w:r w:rsidR="00BB6541" w:rsidRPr="00BB6541">
        <w:rPr>
          <w:rFonts w:ascii="Calibri" w:eastAsia="Times New Roman" w:hAnsi="Calibri" w:cs="Calibri"/>
          <w:kern w:val="0"/>
          <w:sz w:val="24"/>
          <w:szCs w:val="24"/>
          <w14:ligatures w14:val="none"/>
        </w:rPr>
        <w:t>fluctuations,</w:t>
      </w:r>
      <w:r w:rsidRPr="00BB6541">
        <w:rPr>
          <w:rFonts w:ascii="Calibri" w:eastAsia="Times New Roman" w:hAnsi="Calibri" w:cs="Calibri"/>
          <w:kern w:val="0"/>
          <w:sz w:val="24"/>
          <w:szCs w:val="24"/>
          <w14:ligatures w14:val="none"/>
        </w:rPr>
        <w:t xml:space="preserve"> but it is still manageable. </w:t>
      </w:r>
    </w:p>
    <w:p w14:paraId="070338ED" w14:textId="6454470A" w:rsidR="00F73C35" w:rsidRPr="00BB6541" w:rsidRDefault="00F73C35" w:rsidP="004818A5">
      <w:pPr>
        <w:pStyle w:val="ListParagraph"/>
        <w:numPr>
          <w:ilvl w:val="0"/>
          <w:numId w:val="45"/>
        </w:numPr>
        <w:spacing w:before="16" w:after="16"/>
        <w:jc w:val="both"/>
        <w:rPr>
          <w:rFonts w:ascii="Calibri" w:eastAsia="Times New Roman" w:hAnsi="Calibri" w:cs="Calibri"/>
          <w:kern w:val="0"/>
          <w:sz w:val="24"/>
          <w:szCs w:val="24"/>
          <w14:ligatures w14:val="none"/>
        </w:rPr>
      </w:pPr>
      <w:r w:rsidRPr="00BB6541">
        <w:rPr>
          <w:rFonts w:ascii="Calibri" w:eastAsia="Times New Roman" w:hAnsi="Calibri" w:cs="Calibri"/>
          <w:kern w:val="0"/>
          <w:sz w:val="24"/>
          <w:szCs w:val="24"/>
          <w14:ligatures w14:val="none"/>
        </w:rPr>
        <w:t xml:space="preserve">Lastly, fee-based income and subsidiary performance are said to contribute to the stability of the company by decreasing the overall volatility. </w:t>
      </w:r>
    </w:p>
    <w:p w14:paraId="119B828C" w14:textId="77777777" w:rsidR="00F73C35" w:rsidRPr="00626D23" w:rsidRDefault="00F73C35" w:rsidP="004818A5">
      <w:pPr>
        <w:spacing w:before="16" w:after="16"/>
        <w:jc w:val="both"/>
        <w:rPr>
          <w:rFonts w:ascii="Calibri" w:eastAsia="Times New Roman" w:hAnsi="Calibri" w:cs="Calibri"/>
          <w:i/>
          <w:iCs/>
          <w:kern w:val="0"/>
          <w:sz w:val="24"/>
          <w:szCs w:val="24"/>
          <w14:ligatures w14:val="none"/>
        </w:rPr>
      </w:pPr>
      <w:r w:rsidRPr="00626D23">
        <w:rPr>
          <w:rFonts w:ascii="Calibri" w:eastAsia="Times New Roman" w:hAnsi="Calibri" w:cs="Calibri"/>
          <w:kern w:val="0"/>
          <w:sz w:val="24"/>
          <w:szCs w:val="24"/>
          <w14:ligatures w14:val="none"/>
        </w:rPr>
        <w:t>In summary, Kotak has built a solid long-term growth and earnings resilience of diversified income sources, strong capital base, and assets and liabilities management that are always in line with the market conditions.</w:t>
      </w:r>
      <w:r w:rsidRPr="00626D23">
        <w:rPr>
          <w:rFonts w:ascii="Calibri" w:eastAsia="Times New Roman" w:hAnsi="Calibri" w:cs="Calibri"/>
          <w:i/>
          <w:iCs/>
          <w:kern w:val="0"/>
          <w:sz w:val="24"/>
          <w:szCs w:val="24"/>
          <w14:ligatures w14:val="none"/>
        </w:rPr>
        <w:t xml:space="preserve"> </w:t>
      </w:r>
    </w:p>
    <w:p w14:paraId="23F82EAF" w14:textId="77777777" w:rsidR="00BE3B62" w:rsidRPr="00626D23" w:rsidRDefault="00BE3B62" w:rsidP="004818A5">
      <w:pPr>
        <w:spacing w:before="16" w:after="16"/>
        <w:jc w:val="both"/>
        <w:rPr>
          <w:rFonts w:ascii="Calibri" w:eastAsia="Times New Roman" w:hAnsi="Calibri" w:cs="Calibri"/>
          <w:kern w:val="0"/>
          <w:sz w:val="24"/>
          <w:szCs w:val="24"/>
          <w14:ligatures w14:val="none"/>
        </w:rPr>
      </w:pPr>
    </w:p>
    <w:p w14:paraId="3C6C3FD3" w14:textId="77777777" w:rsidR="004522A7" w:rsidRPr="00BE3B62" w:rsidRDefault="004522A7" w:rsidP="004818A5">
      <w:pPr>
        <w:spacing w:before="16" w:after="16"/>
        <w:jc w:val="both"/>
        <w:rPr>
          <w:rFonts w:ascii="Calibri" w:eastAsia="Times New Roman" w:hAnsi="Calibri" w:cs="Calibri"/>
          <w:color w:val="FF0000"/>
          <w:kern w:val="0"/>
          <w:sz w:val="32"/>
          <w:szCs w:val="32"/>
          <w14:ligatures w14:val="none"/>
        </w:rPr>
      </w:pPr>
      <w:r w:rsidRPr="00BE3B62">
        <w:rPr>
          <w:rFonts w:ascii="Calibri" w:eastAsia="Times New Roman" w:hAnsi="Calibri" w:cs="Calibri"/>
          <w:color w:val="FF0000"/>
          <w:kern w:val="0"/>
          <w:sz w:val="32"/>
          <w:szCs w:val="32"/>
          <w14:ligatures w14:val="none"/>
        </w:rPr>
        <w:t>Valuation</w:t>
      </w:r>
    </w:p>
    <w:p w14:paraId="7EF3453C" w14:textId="56C46514" w:rsidR="00A92C48" w:rsidRPr="00626D23" w:rsidRDefault="003F58ED"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lastRenderedPageBreak/>
        <w:t xml:space="preserve">The valuation of Kotak Mahindra Bank Limited (KMBL) is achieved through a twofold method consisting of an intrinsic value approach grounded on </w:t>
      </w:r>
      <w:r w:rsidRPr="00627AB9">
        <w:rPr>
          <w:rFonts w:ascii="Calibri" w:eastAsia="Times New Roman" w:hAnsi="Calibri" w:cs="Calibri"/>
          <w:kern w:val="0"/>
          <w:sz w:val="24"/>
          <w:szCs w:val="24"/>
          <w14:ligatures w14:val="none"/>
        </w:rPr>
        <w:t>Discounted Cash Flow (DCF)</w:t>
      </w:r>
      <w:r w:rsidRPr="00BE3B62">
        <w:rPr>
          <w:rFonts w:ascii="Calibri" w:eastAsia="Times New Roman" w:hAnsi="Calibri" w:cs="Calibri"/>
          <w:b/>
          <w:bCs/>
          <w:kern w:val="0"/>
          <w:sz w:val="24"/>
          <w:szCs w:val="24"/>
          <w14:ligatures w14:val="none"/>
        </w:rPr>
        <w:t xml:space="preserve"> </w:t>
      </w:r>
      <w:r w:rsidRPr="00626D23">
        <w:rPr>
          <w:rFonts w:ascii="Calibri" w:eastAsia="Times New Roman" w:hAnsi="Calibri" w:cs="Calibri"/>
          <w:kern w:val="0"/>
          <w:sz w:val="24"/>
          <w:szCs w:val="24"/>
          <w14:ligatures w14:val="none"/>
        </w:rPr>
        <w:t>with Free Cash Flow to Equity (FCFE) being the basis, and a relative valuation using Price-to-Book (P/B) ratios of comparable Indian banks. The merged method is aimed to reflect the bank’s capability to generate long-term cash flow and the prevailing market's perception of its worth.</w:t>
      </w:r>
      <w:r w:rsidR="00D16D09" w:rsidRPr="00D16D09">
        <w:rPr>
          <w:noProof/>
        </w:rPr>
        <w:t xml:space="preserve"> </w:t>
      </w:r>
    </w:p>
    <w:tbl>
      <w:tblPr>
        <w:tblpPr w:leftFromText="180" w:rightFromText="180" w:vertAnchor="text" w:horzAnchor="margin" w:tblpXSpec="right" w:tblpY="34"/>
        <w:tblW w:w="8446" w:type="dxa"/>
        <w:tblLook w:val="04A0" w:firstRow="1" w:lastRow="0" w:firstColumn="1" w:lastColumn="0" w:noHBand="0" w:noVBand="1"/>
      </w:tblPr>
      <w:tblGrid>
        <w:gridCol w:w="756"/>
        <w:gridCol w:w="1538"/>
        <w:gridCol w:w="1538"/>
        <w:gridCol w:w="1538"/>
        <w:gridCol w:w="1538"/>
        <w:gridCol w:w="1538"/>
      </w:tblGrid>
      <w:tr w:rsidR="0065445F" w:rsidRPr="00A92C48" w14:paraId="30265C4D" w14:textId="77777777" w:rsidTr="0065445F">
        <w:trPr>
          <w:trHeight w:val="251"/>
        </w:trPr>
        <w:tc>
          <w:tcPr>
            <w:tcW w:w="756" w:type="dxa"/>
            <w:tcBorders>
              <w:top w:val="single" w:sz="4" w:space="0" w:color="auto"/>
              <w:left w:val="single" w:sz="4" w:space="0" w:color="auto"/>
              <w:bottom w:val="single" w:sz="4" w:space="0" w:color="auto"/>
              <w:right w:val="single" w:sz="4" w:space="0" w:color="auto"/>
            </w:tcBorders>
            <w:shd w:val="clear" w:color="auto" w:fill="FF0000"/>
            <w:noWrap/>
            <w:vAlign w:val="bottom"/>
            <w:hideMark/>
          </w:tcPr>
          <w:p w14:paraId="4784D77E" w14:textId="77777777" w:rsidR="0065445F" w:rsidRPr="00A92C48" w:rsidRDefault="0065445F" w:rsidP="0065445F">
            <w:pPr>
              <w:spacing w:after="0" w:line="240" w:lineRule="auto"/>
              <w:jc w:val="center"/>
              <w:rPr>
                <w:rFonts w:ascii="Calibri" w:eastAsia="Times New Roman" w:hAnsi="Calibri" w:cs="Calibri"/>
                <w:b/>
                <w:bCs/>
                <w:color w:val="000000"/>
                <w:kern w:val="0"/>
                <w14:ligatures w14:val="none"/>
              </w:rPr>
            </w:pPr>
            <w:r w:rsidRPr="00A92C48">
              <w:rPr>
                <w:rFonts w:ascii="Calibri" w:eastAsia="Times New Roman" w:hAnsi="Calibri" w:cs="Calibri"/>
                <w:b/>
                <w:bCs/>
                <w:color w:val="000000"/>
                <w:kern w:val="0"/>
                <w14:ligatures w14:val="none"/>
              </w:rPr>
              <w:t>Year</w:t>
            </w:r>
          </w:p>
        </w:tc>
        <w:tc>
          <w:tcPr>
            <w:tcW w:w="1538" w:type="dxa"/>
            <w:tcBorders>
              <w:top w:val="single" w:sz="4" w:space="0" w:color="auto"/>
              <w:left w:val="nil"/>
              <w:bottom w:val="single" w:sz="4" w:space="0" w:color="auto"/>
              <w:right w:val="single" w:sz="4" w:space="0" w:color="auto"/>
            </w:tcBorders>
            <w:shd w:val="clear" w:color="auto" w:fill="FF0000"/>
            <w:noWrap/>
            <w:vAlign w:val="center"/>
            <w:hideMark/>
          </w:tcPr>
          <w:p w14:paraId="4E4BCDD8" w14:textId="77777777" w:rsidR="0065445F" w:rsidRPr="00A92C48" w:rsidRDefault="0065445F" w:rsidP="0065445F">
            <w:pPr>
              <w:spacing w:after="0" w:line="240" w:lineRule="auto"/>
              <w:jc w:val="center"/>
              <w:rPr>
                <w:rFonts w:ascii="Calibri" w:eastAsia="Times New Roman" w:hAnsi="Calibri" w:cs="Calibri"/>
                <w:b/>
                <w:bCs/>
                <w:color w:val="000000"/>
                <w:kern w:val="0"/>
                <w14:ligatures w14:val="none"/>
              </w:rPr>
            </w:pPr>
            <w:r w:rsidRPr="00A92C48">
              <w:rPr>
                <w:rFonts w:ascii="Calibri" w:eastAsia="Times New Roman" w:hAnsi="Calibri" w:cs="Calibri"/>
                <w:b/>
                <w:bCs/>
                <w:color w:val="000000"/>
                <w:kern w:val="0"/>
                <w14:ligatures w14:val="none"/>
              </w:rPr>
              <w:t>FY26</w:t>
            </w:r>
          </w:p>
        </w:tc>
        <w:tc>
          <w:tcPr>
            <w:tcW w:w="1538" w:type="dxa"/>
            <w:tcBorders>
              <w:top w:val="single" w:sz="4" w:space="0" w:color="auto"/>
              <w:left w:val="nil"/>
              <w:bottom w:val="single" w:sz="4" w:space="0" w:color="auto"/>
              <w:right w:val="single" w:sz="4" w:space="0" w:color="auto"/>
            </w:tcBorders>
            <w:shd w:val="clear" w:color="auto" w:fill="FF0000"/>
            <w:noWrap/>
            <w:vAlign w:val="center"/>
            <w:hideMark/>
          </w:tcPr>
          <w:p w14:paraId="4D24C5D6" w14:textId="77777777" w:rsidR="0065445F" w:rsidRPr="00A92C48" w:rsidRDefault="0065445F" w:rsidP="0065445F">
            <w:pPr>
              <w:spacing w:after="0" w:line="240" w:lineRule="auto"/>
              <w:jc w:val="center"/>
              <w:rPr>
                <w:rFonts w:ascii="Calibri" w:eastAsia="Times New Roman" w:hAnsi="Calibri" w:cs="Calibri"/>
                <w:b/>
                <w:bCs/>
                <w:color w:val="000000"/>
                <w:kern w:val="0"/>
                <w14:ligatures w14:val="none"/>
              </w:rPr>
            </w:pPr>
            <w:r w:rsidRPr="00A92C48">
              <w:rPr>
                <w:rFonts w:ascii="Calibri" w:eastAsia="Times New Roman" w:hAnsi="Calibri" w:cs="Calibri"/>
                <w:b/>
                <w:bCs/>
                <w:color w:val="000000"/>
                <w:kern w:val="0"/>
                <w14:ligatures w14:val="none"/>
              </w:rPr>
              <w:t>FY27</w:t>
            </w:r>
          </w:p>
        </w:tc>
        <w:tc>
          <w:tcPr>
            <w:tcW w:w="1538" w:type="dxa"/>
            <w:tcBorders>
              <w:top w:val="single" w:sz="4" w:space="0" w:color="auto"/>
              <w:left w:val="nil"/>
              <w:bottom w:val="single" w:sz="4" w:space="0" w:color="auto"/>
              <w:right w:val="single" w:sz="4" w:space="0" w:color="auto"/>
            </w:tcBorders>
            <w:shd w:val="clear" w:color="auto" w:fill="FF0000"/>
            <w:noWrap/>
            <w:vAlign w:val="center"/>
            <w:hideMark/>
          </w:tcPr>
          <w:p w14:paraId="16C691F0" w14:textId="77777777" w:rsidR="0065445F" w:rsidRPr="00A92C48" w:rsidRDefault="0065445F" w:rsidP="0065445F">
            <w:pPr>
              <w:spacing w:after="0" w:line="240" w:lineRule="auto"/>
              <w:jc w:val="center"/>
              <w:rPr>
                <w:rFonts w:ascii="Calibri" w:eastAsia="Times New Roman" w:hAnsi="Calibri" w:cs="Calibri"/>
                <w:b/>
                <w:bCs/>
                <w:color w:val="000000"/>
                <w:kern w:val="0"/>
                <w14:ligatures w14:val="none"/>
              </w:rPr>
            </w:pPr>
            <w:r w:rsidRPr="00A92C48">
              <w:rPr>
                <w:rFonts w:ascii="Calibri" w:eastAsia="Times New Roman" w:hAnsi="Calibri" w:cs="Calibri"/>
                <w:b/>
                <w:bCs/>
                <w:color w:val="000000"/>
                <w:kern w:val="0"/>
                <w14:ligatures w14:val="none"/>
              </w:rPr>
              <w:t>FY28</w:t>
            </w:r>
          </w:p>
        </w:tc>
        <w:tc>
          <w:tcPr>
            <w:tcW w:w="1538" w:type="dxa"/>
            <w:tcBorders>
              <w:top w:val="single" w:sz="4" w:space="0" w:color="auto"/>
              <w:left w:val="nil"/>
              <w:bottom w:val="single" w:sz="4" w:space="0" w:color="auto"/>
              <w:right w:val="single" w:sz="4" w:space="0" w:color="auto"/>
            </w:tcBorders>
            <w:shd w:val="clear" w:color="auto" w:fill="FF0000"/>
            <w:noWrap/>
            <w:vAlign w:val="center"/>
            <w:hideMark/>
          </w:tcPr>
          <w:p w14:paraId="5AD96CF1" w14:textId="77777777" w:rsidR="0065445F" w:rsidRPr="00A92C48" w:rsidRDefault="0065445F" w:rsidP="0065445F">
            <w:pPr>
              <w:spacing w:after="0" w:line="240" w:lineRule="auto"/>
              <w:jc w:val="center"/>
              <w:rPr>
                <w:rFonts w:ascii="Calibri" w:eastAsia="Times New Roman" w:hAnsi="Calibri" w:cs="Calibri"/>
                <w:b/>
                <w:bCs/>
                <w:color w:val="000000"/>
                <w:kern w:val="0"/>
                <w14:ligatures w14:val="none"/>
              </w:rPr>
            </w:pPr>
            <w:r w:rsidRPr="00A92C48">
              <w:rPr>
                <w:rFonts w:ascii="Calibri" w:eastAsia="Times New Roman" w:hAnsi="Calibri" w:cs="Calibri"/>
                <w:b/>
                <w:bCs/>
                <w:color w:val="000000"/>
                <w:kern w:val="0"/>
                <w14:ligatures w14:val="none"/>
              </w:rPr>
              <w:t>FY29</w:t>
            </w:r>
          </w:p>
        </w:tc>
        <w:tc>
          <w:tcPr>
            <w:tcW w:w="1538" w:type="dxa"/>
            <w:tcBorders>
              <w:top w:val="single" w:sz="4" w:space="0" w:color="auto"/>
              <w:left w:val="nil"/>
              <w:bottom w:val="single" w:sz="4" w:space="0" w:color="auto"/>
              <w:right w:val="single" w:sz="4" w:space="0" w:color="auto"/>
            </w:tcBorders>
            <w:shd w:val="clear" w:color="auto" w:fill="FF0000"/>
            <w:noWrap/>
            <w:vAlign w:val="center"/>
            <w:hideMark/>
          </w:tcPr>
          <w:p w14:paraId="623541B3" w14:textId="77777777" w:rsidR="0065445F" w:rsidRPr="00A92C48" w:rsidRDefault="0065445F" w:rsidP="0065445F">
            <w:pPr>
              <w:spacing w:after="0" w:line="240" w:lineRule="auto"/>
              <w:jc w:val="center"/>
              <w:rPr>
                <w:rFonts w:ascii="Calibri" w:eastAsia="Times New Roman" w:hAnsi="Calibri" w:cs="Calibri"/>
                <w:b/>
                <w:bCs/>
                <w:color w:val="000000"/>
                <w:kern w:val="0"/>
                <w14:ligatures w14:val="none"/>
              </w:rPr>
            </w:pPr>
            <w:r w:rsidRPr="00A92C48">
              <w:rPr>
                <w:rFonts w:ascii="Calibri" w:eastAsia="Times New Roman" w:hAnsi="Calibri" w:cs="Calibri"/>
                <w:b/>
                <w:bCs/>
                <w:color w:val="000000"/>
                <w:kern w:val="0"/>
                <w14:ligatures w14:val="none"/>
              </w:rPr>
              <w:t>FY30</w:t>
            </w:r>
          </w:p>
        </w:tc>
      </w:tr>
      <w:tr w:rsidR="0065445F" w:rsidRPr="00A92C48" w14:paraId="3BEFE9B3" w14:textId="77777777" w:rsidTr="0065445F">
        <w:trPr>
          <w:trHeight w:val="251"/>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14:paraId="4AAFBB81"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FCFE</w:t>
            </w:r>
          </w:p>
        </w:tc>
        <w:tc>
          <w:tcPr>
            <w:tcW w:w="1538" w:type="dxa"/>
            <w:tcBorders>
              <w:top w:val="nil"/>
              <w:left w:val="nil"/>
              <w:bottom w:val="single" w:sz="4" w:space="0" w:color="auto"/>
              <w:right w:val="single" w:sz="4" w:space="0" w:color="auto"/>
            </w:tcBorders>
            <w:shd w:val="clear" w:color="auto" w:fill="auto"/>
            <w:noWrap/>
            <w:vAlign w:val="bottom"/>
            <w:hideMark/>
          </w:tcPr>
          <w:p w14:paraId="52B93348"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228,205,724.8131</w:t>
            </w:r>
          </w:p>
        </w:tc>
        <w:tc>
          <w:tcPr>
            <w:tcW w:w="1538" w:type="dxa"/>
            <w:tcBorders>
              <w:top w:val="nil"/>
              <w:left w:val="nil"/>
              <w:bottom w:val="single" w:sz="4" w:space="0" w:color="auto"/>
              <w:right w:val="single" w:sz="4" w:space="0" w:color="auto"/>
            </w:tcBorders>
            <w:shd w:val="clear" w:color="auto" w:fill="auto"/>
            <w:noWrap/>
            <w:vAlign w:val="bottom"/>
            <w:hideMark/>
          </w:tcPr>
          <w:p w14:paraId="25F12ED2"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272,778,294.2503</w:t>
            </w:r>
          </w:p>
        </w:tc>
        <w:tc>
          <w:tcPr>
            <w:tcW w:w="1538" w:type="dxa"/>
            <w:tcBorders>
              <w:top w:val="nil"/>
              <w:left w:val="nil"/>
              <w:bottom w:val="single" w:sz="4" w:space="0" w:color="auto"/>
              <w:right w:val="single" w:sz="4" w:space="0" w:color="auto"/>
            </w:tcBorders>
            <w:shd w:val="clear" w:color="auto" w:fill="auto"/>
            <w:noWrap/>
            <w:vAlign w:val="bottom"/>
            <w:hideMark/>
          </w:tcPr>
          <w:p w14:paraId="309DE3B7"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326,003,123.2010</w:t>
            </w:r>
          </w:p>
        </w:tc>
        <w:tc>
          <w:tcPr>
            <w:tcW w:w="1538" w:type="dxa"/>
            <w:tcBorders>
              <w:top w:val="nil"/>
              <w:left w:val="nil"/>
              <w:bottom w:val="single" w:sz="4" w:space="0" w:color="auto"/>
              <w:right w:val="single" w:sz="4" w:space="0" w:color="auto"/>
            </w:tcBorders>
            <w:shd w:val="clear" w:color="auto" w:fill="auto"/>
            <w:noWrap/>
            <w:vAlign w:val="bottom"/>
            <w:hideMark/>
          </w:tcPr>
          <w:p w14:paraId="3435AA83"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389,550,873.8402</w:t>
            </w:r>
          </w:p>
        </w:tc>
        <w:tc>
          <w:tcPr>
            <w:tcW w:w="1538" w:type="dxa"/>
            <w:tcBorders>
              <w:top w:val="nil"/>
              <w:left w:val="nil"/>
              <w:bottom w:val="single" w:sz="4" w:space="0" w:color="auto"/>
              <w:right w:val="single" w:sz="4" w:space="0" w:color="auto"/>
            </w:tcBorders>
            <w:shd w:val="clear" w:color="auto" w:fill="auto"/>
            <w:noWrap/>
            <w:vAlign w:val="bottom"/>
            <w:hideMark/>
          </w:tcPr>
          <w:p w14:paraId="09DB44ED"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465,413,313.5178</w:t>
            </w:r>
          </w:p>
        </w:tc>
      </w:tr>
      <w:tr w:rsidR="0065445F" w:rsidRPr="00A92C48" w14:paraId="4E4BDA42" w14:textId="77777777" w:rsidTr="0065445F">
        <w:trPr>
          <w:trHeight w:val="251"/>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14:paraId="7DE55B4E"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10.00%</w:t>
            </w:r>
          </w:p>
        </w:tc>
        <w:tc>
          <w:tcPr>
            <w:tcW w:w="1538" w:type="dxa"/>
            <w:tcBorders>
              <w:top w:val="nil"/>
              <w:left w:val="nil"/>
              <w:bottom w:val="single" w:sz="4" w:space="0" w:color="auto"/>
              <w:right w:val="single" w:sz="4" w:space="0" w:color="auto"/>
            </w:tcBorders>
            <w:shd w:val="clear" w:color="auto" w:fill="auto"/>
            <w:noWrap/>
            <w:vAlign w:val="bottom"/>
            <w:hideMark/>
          </w:tcPr>
          <w:p w14:paraId="62ECB306"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207,459,749.8301</w:t>
            </w:r>
          </w:p>
        </w:tc>
        <w:tc>
          <w:tcPr>
            <w:tcW w:w="1538" w:type="dxa"/>
            <w:tcBorders>
              <w:top w:val="nil"/>
              <w:left w:val="nil"/>
              <w:bottom w:val="single" w:sz="4" w:space="0" w:color="auto"/>
              <w:right w:val="single" w:sz="4" w:space="0" w:color="auto"/>
            </w:tcBorders>
            <w:shd w:val="clear" w:color="auto" w:fill="auto"/>
            <w:noWrap/>
            <w:vAlign w:val="bottom"/>
            <w:hideMark/>
          </w:tcPr>
          <w:p w14:paraId="2D9CD867"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225,436,606.8184</w:t>
            </w:r>
          </w:p>
        </w:tc>
        <w:tc>
          <w:tcPr>
            <w:tcW w:w="1538" w:type="dxa"/>
            <w:tcBorders>
              <w:top w:val="nil"/>
              <w:left w:val="nil"/>
              <w:bottom w:val="single" w:sz="4" w:space="0" w:color="auto"/>
              <w:right w:val="single" w:sz="4" w:space="0" w:color="auto"/>
            </w:tcBorders>
            <w:shd w:val="clear" w:color="auto" w:fill="auto"/>
            <w:noWrap/>
            <w:vAlign w:val="bottom"/>
            <w:hideMark/>
          </w:tcPr>
          <w:p w14:paraId="7526BE7B"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244,930,971.6011</w:t>
            </w:r>
          </w:p>
        </w:tc>
        <w:tc>
          <w:tcPr>
            <w:tcW w:w="1538" w:type="dxa"/>
            <w:tcBorders>
              <w:top w:val="nil"/>
              <w:left w:val="nil"/>
              <w:bottom w:val="single" w:sz="4" w:space="0" w:color="auto"/>
              <w:right w:val="single" w:sz="4" w:space="0" w:color="auto"/>
            </w:tcBorders>
            <w:shd w:val="clear" w:color="auto" w:fill="auto"/>
            <w:noWrap/>
            <w:vAlign w:val="bottom"/>
            <w:hideMark/>
          </w:tcPr>
          <w:p w14:paraId="6A66776E"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266,068,488.3821</w:t>
            </w:r>
          </w:p>
        </w:tc>
        <w:tc>
          <w:tcPr>
            <w:tcW w:w="1538" w:type="dxa"/>
            <w:tcBorders>
              <w:top w:val="nil"/>
              <w:left w:val="nil"/>
              <w:bottom w:val="single" w:sz="4" w:space="0" w:color="auto"/>
              <w:right w:val="single" w:sz="4" w:space="0" w:color="auto"/>
            </w:tcBorders>
            <w:shd w:val="clear" w:color="auto" w:fill="auto"/>
            <w:noWrap/>
            <w:vAlign w:val="bottom"/>
            <w:hideMark/>
          </w:tcPr>
          <w:p w14:paraId="7800B5D0"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288,985,050.3988</w:t>
            </w:r>
          </w:p>
        </w:tc>
      </w:tr>
      <w:tr w:rsidR="0065445F" w:rsidRPr="00A92C48" w14:paraId="11678DC2" w14:textId="77777777" w:rsidTr="0065445F">
        <w:trPr>
          <w:trHeight w:val="251"/>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14:paraId="4F00ECD1"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10.75%</w:t>
            </w:r>
          </w:p>
        </w:tc>
        <w:tc>
          <w:tcPr>
            <w:tcW w:w="1538" w:type="dxa"/>
            <w:tcBorders>
              <w:top w:val="nil"/>
              <w:left w:val="nil"/>
              <w:bottom w:val="single" w:sz="4" w:space="0" w:color="auto"/>
              <w:right w:val="single" w:sz="4" w:space="0" w:color="auto"/>
            </w:tcBorders>
            <w:shd w:val="clear" w:color="auto" w:fill="auto"/>
            <w:noWrap/>
            <w:vAlign w:val="bottom"/>
            <w:hideMark/>
          </w:tcPr>
          <w:p w14:paraId="7189FBC5"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206,054,830.5310</w:t>
            </w:r>
          </w:p>
        </w:tc>
        <w:tc>
          <w:tcPr>
            <w:tcW w:w="1538" w:type="dxa"/>
            <w:tcBorders>
              <w:top w:val="nil"/>
              <w:left w:val="nil"/>
              <w:bottom w:val="single" w:sz="4" w:space="0" w:color="auto"/>
              <w:right w:val="single" w:sz="4" w:space="0" w:color="auto"/>
            </w:tcBorders>
            <w:shd w:val="clear" w:color="auto" w:fill="auto"/>
            <w:noWrap/>
            <w:vAlign w:val="bottom"/>
            <w:hideMark/>
          </w:tcPr>
          <w:p w14:paraId="558C9958"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222,393,627.8914</w:t>
            </w:r>
          </w:p>
        </w:tc>
        <w:tc>
          <w:tcPr>
            <w:tcW w:w="1538" w:type="dxa"/>
            <w:tcBorders>
              <w:top w:val="nil"/>
              <w:left w:val="nil"/>
              <w:bottom w:val="single" w:sz="4" w:space="0" w:color="auto"/>
              <w:right w:val="single" w:sz="4" w:space="0" w:color="auto"/>
            </w:tcBorders>
            <w:shd w:val="clear" w:color="auto" w:fill="auto"/>
            <w:noWrap/>
            <w:vAlign w:val="bottom"/>
            <w:hideMark/>
          </w:tcPr>
          <w:p w14:paraId="0DE3AAA6"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239,988,568.9615</w:t>
            </w:r>
          </w:p>
        </w:tc>
        <w:tc>
          <w:tcPr>
            <w:tcW w:w="1538" w:type="dxa"/>
            <w:tcBorders>
              <w:top w:val="nil"/>
              <w:left w:val="nil"/>
              <w:bottom w:val="single" w:sz="4" w:space="0" w:color="auto"/>
              <w:right w:val="single" w:sz="4" w:space="0" w:color="auto"/>
            </w:tcBorders>
            <w:shd w:val="clear" w:color="auto" w:fill="auto"/>
            <w:noWrap/>
            <w:vAlign w:val="bottom"/>
            <w:hideMark/>
          </w:tcPr>
          <w:p w14:paraId="7216686F"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258,934,097.1673</w:t>
            </w:r>
          </w:p>
        </w:tc>
        <w:tc>
          <w:tcPr>
            <w:tcW w:w="1538" w:type="dxa"/>
            <w:tcBorders>
              <w:top w:val="nil"/>
              <w:left w:val="nil"/>
              <w:bottom w:val="single" w:sz="4" w:space="0" w:color="auto"/>
              <w:right w:val="single" w:sz="4" w:space="0" w:color="auto"/>
            </w:tcBorders>
            <w:shd w:val="clear" w:color="auto" w:fill="auto"/>
            <w:noWrap/>
            <w:vAlign w:val="bottom"/>
            <w:hideMark/>
          </w:tcPr>
          <w:p w14:paraId="60B16B20"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279,331,637.9451</w:t>
            </w:r>
          </w:p>
        </w:tc>
      </w:tr>
      <w:tr w:rsidR="0065445F" w:rsidRPr="00A92C48" w14:paraId="5F6686A1" w14:textId="77777777" w:rsidTr="0065445F">
        <w:trPr>
          <w:trHeight w:val="251"/>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14:paraId="4CB60ADE"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11.50%</w:t>
            </w:r>
          </w:p>
        </w:tc>
        <w:tc>
          <w:tcPr>
            <w:tcW w:w="1538" w:type="dxa"/>
            <w:tcBorders>
              <w:top w:val="nil"/>
              <w:left w:val="nil"/>
              <w:bottom w:val="single" w:sz="4" w:space="0" w:color="auto"/>
              <w:right w:val="single" w:sz="4" w:space="0" w:color="auto"/>
            </w:tcBorders>
            <w:shd w:val="clear" w:color="auto" w:fill="auto"/>
            <w:noWrap/>
            <w:vAlign w:val="bottom"/>
            <w:hideMark/>
          </w:tcPr>
          <w:p w14:paraId="7ECBB3BF"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204,668,811.4916</w:t>
            </w:r>
          </w:p>
        </w:tc>
        <w:tc>
          <w:tcPr>
            <w:tcW w:w="1538" w:type="dxa"/>
            <w:tcBorders>
              <w:top w:val="nil"/>
              <w:left w:val="nil"/>
              <w:bottom w:val="single" w:sz="4" w:space="0" w:color="auto"/>
              <w:right w:val="single" w:sz="4" w:space="0" w:color="auto"/>
            </w:tcBorders>
            <w:shd w:val="clear" w:color="auto" w:fill="auto"/>
            <w:noWrap/>
            <w:vAlign w:val="bottom"/>
            <w:hideMark/>
          </w:tcPr>
          <w:p w14:paraId="67BBA311"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219,411,847.6143</w:t>
            </w:r>
          </w:p>
        </w:tc>
        <w:tc>
          <w:tcPr>
            <w:tcW w:w="1538" w:type="dxa"/>
            <w:tcBorders>
              <w:top w:val="nil"/>
              <w:left w:val="nil"/>
              <w:bottom w:val="single" w:sz="4" w:space="0" w:color="auto"/>
              <w:right w:val="single" w:sz="4" w:space="0" w:color="auto"/>
            </w:tcBorders>
            <w:shd w:val="clear" w:color="auto" w:fill="auto"/>
            <w:noWrap/>
            <w:vAlign w:val="bottom"/>
            <w:hideMark/>
          </w:tcPr>
          <w:p w14:paraId="246BA69C"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235,178,252.2805</w:t>
            </w:r>
          </w:p>
        </w:tc>
        <w:tc>
          <w:tcPr>
            <w:tcW w:w="1538" w:type="dxa"/>
            <w:tcBorders>
              <w:top w:val="nil"/>
              <w:left w:val="nil"/>
              <w:bottom w:val="single" w:sz="4" w:space="0" w:color="auto"/>
              <w:right w:val="single" w:sz="4" w:space="0" w:color="auto"/>
            </w:tcBorders>
            <w:shd w:val="clear" w:color="auto" w:fill="auto"/>
            <w:noWrap/>
            <w:vAlign w:val="bottom"/>
            <w:hideMark/>
          </w:tcPr>
          <w:p w14:paraId="50E36392"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252,037,238.9816</w:t>
            </w:r>
          </w:p>
        </w:tc>
        <w:tc>
          <w:tcPr>
            <w:tcW w:w="1538" w:type="dxa"/>
            <w:tcBorders>
              <w:top w:val="nil"/>
              <w:left w:val="nil"/>
              <w:bottom w:val="single" w:sz="4" w:space="0" w:color="auto"/>
              <w:right w:val="single" w:sz="4" w:space="0" w:color="auto"/>
            </w:tcBorders>
            <w:shd w:val="clear" w:color="auto" w:fill="auto"/>
            <w:noWrap/>
            <w:vAlign w:val="bottom"/>
            <w:hideMark/>
          </w:tcPr>
          <w:p w14:paraId="3E6FBB05"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270,062,613.1075</w:t>
            </w:r>
          </w:p>
        </w:tc>
      </w:tr>
      <w:tr w:rsidR="0065445F" w:rsidRPr="00A92C48" w14:paraId="0CAC80C9" w14:textId="77777777" w:rsidTr="0065445F">
        <w:trPr>
          <w:trHeight w:val="251"/>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14:paraId="7B47CA31"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12.00%</w:t>
            </w:r>
          </w:p>
        </w:tc>
        <w:tc>
          <w:tcPr>
            <w:tcW w:w="1538" w:type="dxa"/>
            <w:tcBorders>
              <w:top w:val="nil"/>
              <w:left w:val="nil"/>
              <w:bottom w:val="single" w:sz="4" w:space="0" w:color="auto"/>
              <w:right w:val="single" w:sz="4" w:space="0" w:color="auto"/>
            </w:tcBorders>
            <w:shd w:val="clear" w:color="auto" w:fill="auto"/>
            <w:noWrap/>
            <w:vAlign w:val="bottom"/>
            <w:hideMark/>
          </w:tcPr>
          <w:p w14:paraId="0C24B5BC"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203,755,111.4403</w:t>
            </w:r>
          </w:p>
        </w:tc>
        <w:tc>
          <w:tcPr>
            <w:tcW w:w="1538" w:type="dxa"/>
            <w:tcBorders>
              <w:top w:val="nil"/>
              <w:left w:val="nil"/>
              <w:bottom w:val="single" w:sz="4" w:space="0" w:color="auto"/>
              <w:right w:val="single" w:sz="4" w:space="0" w:color="auto"/>
            </w:tcBorders>
            <w:shd w:val="clear" w:color="auto" w:fill="auto"/>
            <w:noWrap/>
            <w:vAlign w:val="bottom"/>
            <w:hideMark/>
          </w:tcPr>
          <w:p w14:paraId="775CB18E"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217,457,186.1052</w:t>
            </w:r>
          </w:p>
        </w:tc>
        <w:tc>
          <w:tcPr>
            <w:tcW w:w="1538" w:type="dxa"/>
            <w:tcBorders>
              <w:top w:val="nil"/>
              <w:left w:val="nil"/>
              <w:bottom w:val="single" w:sz="4" w:space="0" w:color="auto"/>
              <w:right w:val="single" w:sz="4" w:space="0" w:color="auto"/>
            </w:tcBorders>
            <w:shd w:val="clear" w:color="auto" w:fill="auto"/>
            <w:noWrap/>
            <w:vAlign w:val="bottom"/>
            <w:hideMark/>
          </w:tcPr>
          <w:p w14:paraId="3A1480A2"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232,042,583.8200</w:t>
            </w:r>
          </w:p>
        </w:tc>
        <w:tc>
          <w:tcPr>
            <w:tcW w:w="1538" w:type="dxa"/>
            <w:tcBorders>
              <w:top w:val="nil"/>
              <w:left w:val="nil"/>
              <w:bottom w:val="single" w:sz="4" w:space="0" w:color="auto"/>
              <w:right w:val="single" w:sz="4" w:space="0" w:color="auto"/>
            </w:tcBorders>
            <w:shd w:val="clear" w:color="auto" w:fill="auto"/>
            <w:noWrap/>
            <w:vAlign w:val="bottom"/>
            <w:hideMark/>
          </w:tcPr>
          <w:p w14:paraId="3F979DFE"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247,566,622.7839</w:t>
            </w:r>
          </w:p>
        </w:tc>
        <w:tc>
          <w:tcPr>
            <w:tcW w:w="1538" w:type="dxa"/>
            <w:tcBorders>
              <w:top w:val="nil"/>
              <w:left w:val="nil"/>
              <w:bottom w:val="single" w:sz="4" w:space="0" w:color="auto"/>
              <w:right w:val="single" w:sz="4" w:space="0" w:color="auto"/>
            </w:tcBorders>
            <w:shd w:val="clear" w:color="auto" w:fill="auto"/>
            <w:noWrap/>
            <w:vAlign w:val="bottom"/>
            <w:hideMark/>
          </w:tcPr>
          <w:p w14:paraId="3694FCA1" w14:textId="77777777" w:rsidR="0065445F" w:rsidRPr="00A92C48" w:rsidRDefault="0065445F" w:rsidP="0065445F">
            <w:pPr>
              <w:spacing w:after="0" w:line="240" w:lineRule="auto"/>
              <w:jc w:val="center"/>
              <w:rPr>
                <w:rFonts w:ascii="Calibri" w:eastAsia="Times New Roman" w:hAnsi="Calibri" w:cs="Calibri"/>
                <w:color w:val="000000"/>
                <w:kern w:val="0"/>
                <w:sz w:val="18"/>
                <w:szCs w:val="18"/>
                <w14:ligatures w14:val="none"/>
              </w:rPr>
            </w:pPr>
            <w:r w:rsidRPr="00A92C48">
              <w:rPr>
                <w:rFonts w:ascii="Calibri" w:eastAsia="Times New Roman" w:hAnsi="Calibri" w:cs="Calibri"/>
                <w:color w:val="000000"/>
                <w:kern w:val="0"/>
                <w:sz w:val="18"/>
                <w:szCs w:val="18"/>
                <w14:ligatures w14:val="none"/>
              </w:rPr>
              <w:t>264,088,013.0990</w:t>
            </w:r>
          </w:p>
        </w:tc>
      </w:tr>
    </w:tbl>
    <w:p w14:paraId="3F193F48" w14:textId="7F691FBB" w:rsidR="003F58ED" w:rsidRPr="00626D23" w:rsidRDefault="003F58ED" w:rsidP="004818A5">
      <w:pPr>
        <w:spacing w:before="16" w:after="16"/>
        <w:jc w:val="both"/>
        <w:rPr>
          <w:rFonts w:ascii="Calibri" w:eastAsia="Times New Roman" w:hAnsi="Calibri" w:cs="Calibri"/>
          <w:kern w:val="0"/>
          <w:sz w:val="24"/>
          <w:szCs w:val="24"/>
          <w14:ligatures w14:val="none"/>
        </w:rPr>
      </w:pPr>
    </w:p>
    <w:p w14:paraId="469D7097" w14:textId="5D2D75E2" w:rsidR="003F58ED" w:rsidRPr="00627AB9" w:rsidRDefault="003F58ED" w:rsidP="004818A5">
      <w:pPr>
        <w:spacing w:before="16" w:after="16"/>
        <w:jc w:val="both"/>
        <w:rPr>
          <w:rFonts w:ascii="Calibri" w:eastAsia="Times New Roman" w:hAnsi="Calibri" w:cs="Calibri"/>
          <w:b/>
          <w:bCs/>
          <w:kern w:val="0"/>
          <w:sz w:val="24"/>
          <w:szCs w:val="24"/>
          <w14:ligatures w14:val="none"/>
        </w:rPr>
      </w:pPr>
      <w:r w:rsidRPr="00627AB9">
        <w:rPr>
          <w:rFonts w:ascii="Calibri" w:eastAsia="Times New Roman" w:hAnsi="Calibri" w:cs="Calibri"/>
          <w:b/>
          <w:bCs/>
          <w:kern w:val="0"/>
          <w:sz w:val="24"/>
          <w:szCs w:val="24"/>
          <w14:ligatures w14:val="none"/>
        </w:rPr>
        <w:t>Discounted Cash Flow – FCFE Method</w:t>
      </w:r>
    </w:p>
    <w:p w14:paraId="2A3B80C6" w14:textId="0B34D5F1" w:rsidR="00CD4079" w:rsidRDefault="00CD4079" w:rsidP="004818A5">
      <w:pPr>
        <w:spacing w:before="16" w:after="16"/>
        <w:jc w:val="both"/>
        <w:rPr>
          <w:rFonts w:ascii="Calibri" w:eastAsia="Times New Roman" w:hAnsi="Calibri" w:cs="Calibri"/>
          <w:kern w:val="0"/>
          <w:sz w:val="24"/>
          <w:szCs w:val="24"/>
          <w14:ligatures w14:val="none"/>
        </w:rPr>
      </w:pPr>
      <w:r w:rsidRPr="00CD4079">
        <w:rPr>
          <w:rFonts w:ascii="Calibri" w:eastAsia="Times New Roman" w:hAnsi="Calibri" w:cs="Calibri"/>
          <w:kern w:val="0"/>
          <w:sz w:val="24"/>
          <w:szCs w:val="24"/>
          <w14:ligatures w14:val="none"/>
        </w:rPr>
        <w:t>The Discounted Cash Flow (DCF) technique is one of the main methods of valuation that helps in determining the real worth of a company by way of the present value of its future cash flows. The DCF valuation logic is that the worth of a firm is the total of all cash flows that are predicted to be produced in the coming years but so assigned today’s value by use of the proper discount rate that represents the cost of capital and risk profile of the company.</w:t>
      </w:r>
      <w:r w:rsidR="004B5605" w:rsidRPr="004B5605">
        <w:rPr>
          <w:noProof/>
        </w:rPr>
        <w:t xml:space="preserve"> </w:t>
      </w:r>
    </w:p>
    <w:p w14:paraId="4285AEF1" w14:textId="02FE1C46" w:rsidR="003F58ED" w:rsidRPr="00626D23" w:rsidRDefault="00D40B28" w:rsidP="004818A5">
      <w:pPr>
        <w:spacing w:before="16" w:after="16"/>
        <w:jc w:val="both"/>
        <w:rPr>
          <w:rFonts w:ascii="Calibri" w:eastAsia="Times New Roman" w:hAnsi="Calibri" w:cs="Calibri"/>
          <w:kern w:val="0"/>
          <w:sz w:val="24"/>
          <w:szCs w:val="24"/>
          <w14:ligatures w14:val="none"/>
        </w:rPr>
      </w:pPr>
      <w:r>
        <w:rPr>
          <w:noProof/>
        </w:rPr>
        <w:drawing>
          <wp:anchor distT="0" distB="0" distL="114300" distR="114300" simplePos="0" relativeHeight="251639296" behindDoc="0" locked="0" layoutInCell="1" allowOverlap="1" wp14:anchorId="25A671AF" wp14:editId="401D3550">
            <wp:simplePos x="0" y="0"/>
            <wp:positionH relativeFrom="column">
              <wp:posOffset>3168015</wp:posOffset>
            </wp:positionH>
            <wp:positionV relativeFrom="paragraph">
              <wp:posOffset>10436</wp:posOffset>
            </wp:positionV>
            <wp:extent cx="3420110" cy="1741170"/>
            <wp:effectExtent l="0" t="0" r="8890" b="11430"/>
            <wp:wrapThrough wrapText="bothSides">
              <wp:wrapPolygon edited="0">
                <wp:start x="0" y="0"/>
                <wp:lineTo x="0" y="21505"/>
                <wp:lineTo x="21536" y="21505"/>
                <wp:lineTo x="21536" y="0"/>
                <wp:lineTo x="0" y="0"/>
              </wp:wrapPolygon>
            </wp:wrapThrough>
            <wp:docPr id="1462465715" name="Chart 1">
              <a:extLst xmlns:a="http://schemas.openxmlformats.org/drawingml/2006/main">
                <a:ext uri="{FF2B5EF4-FFF2-40B4-BE49-F238E27FC236}">
                  <a16:creationId xmlns:a16="http://schemas.microsoft.com/office/drawing/2014/main" id="{2A5510F4-4BC7-9F89-470A-9AAF54097B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3F58ED" w:rsidRPr="00626D23">
        <w:rPr>
          <w:rFonts w:ascii="Calibri" w:eastAsia="Times New Roman" w:hAnsi="Calibri" w:cs="Calibri"/>
          <w:kern w:val="0"/>
          <w:sz w:val="24"/>
          <w:szCs w:val="24"/>
          <w14:ligatures w14:val="none"/>
        </w:rPr>
        <w:t>The model derives cash flows for FY26–FY30 as follows using the FCFE stream: (₹ in thousands):</w:t>
      </w:r>
    </w:p>
    <w:p w14:paraId="119764D5" w14:textId="7A073EB8" w:rsidR="004522A7" w:rsidRPr="00626D23"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FY26F FCFE: ₹228,205,724.8131</w:t>
      </w:r>
    </w:p>
    <w:p w14:paraId="7803F83F" w14:textId="77777777" w:rsidR="004522A7" w:rsidRPr="00626D23"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FY27F FCFE: ₹272,778,294.250323</w:t>
      </w:r>
    </w:p>
    <w:p w14:paraId="4B5783EB" w14:textId="77777777" w:rsidR="004522A7" w:rsidRPr="00626D23"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FY28F FCFE: ₹326,003,123.2010019</w:t>
      </w:r>
    </w:p>
    <w:p w14:paraId="776CB219" w14:textId="77777777" w:rsidR="004522A7" w:rsidRPr="00626D23"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FY29F FCFE: ₹389,550,873.84021455</w:t>
      </w:r>
    </w:p>
    <w:p w14:paraId="1FF96038" w14:textId="77777777" w:rsidR="004522A7" w:rsidRPr="00626D23"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FY30F FCFE: ₹465,413,313.5178314</w:t>
      </w:r>
    </w:p>
    <w:p w14:paraId="69DB285B" w14:textId="77777777" w:rsidR="0098178D" w:rsidRDefault="0098178D" w:rsidP="004818A5">
      <w:pPr>
        <w:spacing w:before="16" w:after="16"/>
        <w:jc w:val="both"/>
        <w:rPr>
          <w:rFonts w:ascii="Calibri" w:eastAsia="Times New Roman" w:hAnsi="Calibri" w:cs="Calibri"/>
          <w:kern w:val="0"/>
          <w:sz w:val="24"/>
          <w:szCs w:val="24"/>
          <w14:ligatures w14:val="none"/>
        </w:rPr>
      </w:pPr>
    </w:p>
    <w:p w14:paraId="3CED16FD" w14:textId="436A8E20" w:rsidR="004522A7" w:rsidRPr="00626D23"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 valuation assumptions are:</w:t>
      </w:r>
    </w:p>
    <w:p w14:paraId="6E97CF29" w14:textId="7B31A8C0" w:rsidR="004522A7" w:rsidRPr="00626D23" w:rsidRDefault="004522A7" w:rsidP="0098178D">
      <w:pPr>
        <w:spacing w:before="16" w:after="16"/>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Discount rate (Cost of Equity / WACC): 10.75%</w:t>
      </w:r>
      <w:r w:rsidRPr="00626D23">
        <w:rPr>
          <w:rFonts w:ascii="Calibri" w:eastAsia="Times New Roman" w:hAnsi="Calibri" w:cs="Calibri"/>
          <w:kern w:val="0"/>
          <w:sz w:val="24"/>
          <w:szCs w:val="24"/>
          <w14:ligatures w14:val="none"/>
        </w:rPr>
        <w:br/>
        <w:t>(derived using CAPM on the WACC sheet: risk-free rate 6.55%, equity risk premium 7.0%, chosen beta 0.60</w:t>
      </w:r>
    </w:p>
    <w:p w14:paraId="50F33D46" w14:textId="5F04F19A" w:rsidR="004522A7" w:rsidRPr="00626D23" w:rsidRDefault="004522A7" w:rsidP="0098178D">
      <w:pPr>
        <w:spacing w:before="16" w:after="16"/>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Terminal growth rate (g): 5.0%</w:t>
      </w:r>
      <w:r w:rsidRPr="00626D23">
        <w:rPr>
          <w:rFonts w:ascii="Calibri" w:eastAsia="Times New Roman" w:hAnsi="Calibri" w:cs="Calibri"/>
          <w:kern w:val="0"/>
          <w:sz w:val="24"/>
          <w:szCs w:val="24"/>
          <w14:ligatures w14:val="none"/>
        </w:rPr>
        <w:br/>
        <w:t>(</w:t>
      </w:r>
      <w:r w:rsidR="00B9332A" w:rsidRPr="00626D23">
        <w:rPr>
          <w:rFonts w:ascii="Calibri" w:eastAsia="Times New Roman" w:hAnsi="Calibri" w:cs="Calibri"/>
          <w:kern w:val="0"/>
          <w:sz w:val="24"/>
          <w:szCs w:val="24"/>
          <w14:ligatures w14:val="none"/>
        </w:rPr>
        <w:t xml:space="preserve">A long-term nominal growth scenario for Indian bank profits has been assumed which </w:t>
      </w:r>
      <w:r w:rsidR="008E090D" w:rsidRPr="00626D23">
        <w:rPr>
          <w:rFonts w:ascii="Calibri" w:eastAsia="Times New Roman" w:hAnsi="Calibri" w:cs="Calibri"/>
          <w:kern w:val="0"/>
          <w:sz w:val="24"/>
          <w:szCs w:val="24"/>
          <w14:ligatures w14:val="none"/>
        </w:rPr>
        <w:t>agrees</w:t>
      </w:r>
      <w:r w:rsidR="00B9332A" w:rsidRPr="00626D23">
        <w:rPr>
          <w:rFonts w:ascii="Calibri" w:eastAsia="Times New Roman" w:hAnsi="Calibri" w:cs="Calibri"/>
          <w:kern w:val="0"/>
          <w:sz w:val="24"/>
          <w:szCs w:val="24"/>
          <w14:ligatures w14:val="none"/>
        </w:rPr>
        <w:t xml:space="preserve"> with anticipated nominal GDP growth and financial deepening.</w:t>
      </w:r>
      <w:r w:rsidRPr="00626D23">
        <w:rPr>
          <w:rFonts w:ascii="Calibri" w:eastAsia="Times New Roman" w:hAnsi="Calibri" w:cs="Calibri"/>
          <w:kern w:val="0"/>
          <w:sz w:val="24"/>
          <w:szCs w:val="24"/>
          <w14:ligatures w14:val="none"/>
        </w:rPr>
        <w:t>).</w:t>
      </w:r>
    </w:p>
    <w:p w14:paraId="0D6AFB64" w14:textId="6F18B859" w:rsidR="004522A7" w:rsidRPr="00626D23" w:rsidRDefault="002E6B74" w:rsidP="004818A5">
      <w:pPr>
        <w:spacing w:before="16" w:after="16"/>
        <w:jc w:val="both"/>
        <w:rPr>
          <w:rFonts w:ascii="Calibri" w:eastAsia="Times New Roman" w:hAnsi="Calibri" w:cs="Calibri"/>
          <w:kern w:val="0"/>
          <w:sz w:val="24"/>
          <w:szCs w:val="24"/>
          <w14:ligatures w14:val="none"/>
        </w:rPr>
      </w:pPr>
      <w:r>
        <w:rPr>
          <w:noProof/>
        </w:rPr>
        <mc:AlternateContent>
          <mc:Choice Requires="cx2">
            <w:drawing>
              <wp:anchor distT="0" distB="0" distL="114300" distR="114300" simplePos="0" relativeHeight="251635200" behindDoc="1" locked="0" layoutInCell="1" allowOverlap="1" wp14:anchorId="03CB033F" wp14:editId="31B268F5">
                <wp:simplePos x="0" y="0"/>
                <wp:positionH relativeFrom="margin">
                  <wp:align>right</wp:align>
                </wp:positionH>
                <wp:positionV relativeFrom="paragraph">
                  <wp:posOffset>60739</wp:posOffset>
                </wp:positionV>
                <wp:extent cx="2178657" cy="1685676"/>
                <wp:effectExtent l="0" t="0" r="12700" b="10160"/>
                <wp:wrapTight wrapText="bothSides">
                  <wp:wrapPolygon edited="0">
                    <wp:start x="0" y="0"/>
                    <wp:lineTo x="0" y="21486"/>
                    <wp:lineTo x="21537" y="21486"/>
                    <wp:lineTo x="21537" y="0"/>
                    <wp:lineTo x="0" y="0"/>
                  </wp:wrapPolygon>
                </wp:wrapTight>
                <wp:docPr id="675530286" name="Chart 1">
                  <a:extLst xmlns:a="http://schemas.openxmlformats.org/drawingml/2006/main">
                    <a:ext uri="{FF2B5EF4-FFF2-40B4-BE49-F238E27FC236}">
                      <a16:creationId xmlns:a16="http://schemas.microsoft.com/office/drawing/2014/main" id="{9D076F81-6BEE-4515-0697-B0507BB0FC9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anchor>
            </w:drawing>
          </mc:Choice>
          <mc:Fallback>
            <w:drawing>
              <wp:anchor distT="0" distB="0" distL="114300" distR="114300" simplePos="0" relativeHeight="251635200" behindDoc="1" locked="0" layoutInCell="1" allowOverlap="1" wp14:anchorId="03CB033F" wp14:editId="31B268F5">
                <wp:simplePos x="0" y="0"/>
                <wp:positionH relativeFrom="margin">
                  <wp:align>right</wp:align>
                </wp:positionH>
                <wp:positionV relativeFrom="paragraph">
                  <wp:posOffset>60739</wp:posOffset>
                </wp:positionV>
                <wp:extent cx="2178657" cy="1685676"/>
                <wp:effectExtent l="0" t="0" r="12700" b="10160"/>
                <wp:wrapTight wrapText="bothSides">
                  <wp:wrapPolygon edited="0">
                    <wp:start x="0" y="0"/>
                    <wp:lineTo x="0" y="21486"/>
                    <wp:lineTo x="21537" y="21486"/>
                    <wp:lineTo x="21537" y="0"/>
                    <wp:lineTo x="0" y="0"/>
                  </wp:wrapPolygon>
                </wp:wrapTight>
                <wp:docPr id="675530286" name="Chart 1">
                  <a:extLst xmlns:a="http://schemas.openxmlformats.org/drawingml/2006/main">
                    <a:ext uri="{FF2B5EF4-FFF2-40B4-BE49-F238E27FC236}">
                      <a16:creationId xmlns:a16="http://schemas.microsoft.com/office/drawing/2014/main" id="{9D076F81-6BEE-4515-0697-B0507BB0FC9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75530286" name="Chart 1">
                          <a:extLst>
                            <a:ext uri="{FF2B5EF4-FFF2-40B4-BE49-F238E27FC236}">
                              <a16:creationId xmlns:a16="http://schemas.microsoft.com/office/drawing/2014/main" id="{9D076F81-6BEE-4515-0697-B0507BB0FC96}"/>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2178050" cy="1685290"/>
                        </a:xfrm>
                        <a:prstGeom prst="rect">
                          <a:avLst/>
                        </a:prstGeom>
                      </pic:spPr>
                    </pic:pic>
                  </a:graphicData>
                </a:graphic>
              </wp:anchor>
            </w:drawing>
          </mc:Fallback>
        </mc:AlternateContent>
      </w:r>
    </w:p>
    <w:p w14:paraId="5C3AEB9D" w14:textId="63B1F6F6" w:rsidR="004522A7" w:rsidRPr="00F05B10" w:rsidRDefault="004522A7" w:rsidP="004818A5">
      <w:pPr>
        <w:spacing w:before="16" w:after="16"/>
        <w:jc w:val="both"/>
        <w:rPr>
          <w:rFonts w:ascii="Calibri" w:eastAsia="Times New Roman" w:hAnsi="Calibri" w:cs="Calibri"/>
          <w:color w:val="FF0000"/>
          <w:kern w:val="0"/>
          <w:sz w:val="32"/>
          <w:szCs w:val="32"/>
          <w14:ligatures w14:val="none"/>
        </w:rPr>
      </w:pPr>
      <w:r w:rsidRPr="00F05B10">
        <w:rPr>
          <w:rFonts w:ascii="Calibri" w:eastAsia="Times New Roman" w:hAnsi="Calibri" w:cs="Calibri"/>
          <w:color w:val="FF0000"/>
          <w:kern w:val="0"/>
          <w:sz w:val="32"/>
          <w:szCs w:val="32"/>
          <w14:ligatures w14:val="none"/>
        </w:rPr>
        <w:t>Relative Valuation – Peer P/B Multiples</w:t>
      </w:r>
    </w:p>
    <w:p w14:paraId="0F86BF18" w14:textId="281A57C2" w:rsidR="00CE29AD" w:rsidRDefault="00F05B10"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To</w:t>
      </w:r>
      <w:r w:rsidR="00CE29AD" w:rsidRPr="00626D23">
        <w:rPr>
          <w:rFonts w:ascii="Calibri" w:eastAsia="Times New Roman" w:hAnsi="Calibri" w:cs="Calibri"/>
          <w:kern w:val="0"/>
          <w:sz w:val="24"/>
          <w:szCs w:val="24"/>
          <w14:ligatures w14:val="none"/>
        </w:rPr>
        <w:t xml:space="preserve"> confirm the DCF estimate with market standards, the model uses a relative valuation based on Price-to-Book (P/B) ratio of large Indian banks (like HDFC Bank, ICICI Bank, Axis Bank, IndusInd Bank, State Bank of India, etc.) as peers.</w:t>
      </w:r>
      <w:r w:rsidR="002E6B74">
        <w:rPr>
          <w:rFonts w:ascii="Calibri" w:eastAsia="Times New Roman" w:hAnsi="Calibri" w:cs="Calibri"/>
          <w:kern w:val="0"/>
          <w:sz w:val="24"/>
          <w:szCs w:val="24"/>
          <w14:ligatures w14:val="none"/>
        </w:rPr>
        <w:t xml:space="preserve"> </w:t>
      </w:r>
    </w:p>
    <w:p w14:paraId="642DE541" w14:textId="12B61A39" w:rsidR="002E6B74" w:rsidRPr="00626D23" w:rsidRDefault="002E6B74" w:rsidP="004818A5">
      <w:pPr>
        <w:spacing w:before="16" w:after="16"/>
        <w:jc w:val="both"/>
        <w:rPr>
          <w:rFonts w:ascii="Calibri" w:eastAsia="Times New Roman" w:hAnsi="Calibri" w:cs="Calibri"/>
          <w:kern w:val="0"/>
          <w:sz w:val="24"/>
          <w:szCs w:val="24"/>
          <w14:ligatures w14:val="none"/>
        </w:rPr>
      </w:pPr>
    </w:p>
    <w:p w14:paraId="2A53048F" w14:textId="5FFB598D" w:rsidR="004522A7" w:rsidRPr="00626D23" w:rsidRDefault="004522A7" w:rsidP="004818A5">
      <w:pPr>
        <w:spacing w:before="16" w:after="16"/>
        <w:jc w:val="both"/>
        <w:rPr>
          <w:rFonts w:ascii="Calibri" w:eastAsia="Times New Roman" w:hAnsi="Calibri" w:cs="Calibri"/>
          <w:kern w:val="0"/>
          <w:sz w:val="24"/>
          <w:szCs w:val="24"/>
          <w14:ligatures w14:val="none"/>
        </w:rPr>
      </w:pPr>
    </w:p>
    <w:p w14:paraId="4DE2AB61" w14:textId="77777777" w:rsidR="004522A7" w:rsidRPr="00BF0DFA" w:rsidRDefault="004522A7" w:rsidP="004818A5">
      <w:pPr>
        <w:spacing w:before="16" w:after="16"/>
        <w:jc w:val="both"/>
        <w:rPr>
          <w:rFonts w:ascii="Calibri" w:eastAsia="Times New Roman" w:hAnsi="Calibri" w:cs="Calibri"/>
          <w:color w:val="FF0000"/>
          <w:kern w:val="0"/>
          <w:sz w:val="32"/>
          <w:szCs w:val="32"/>
          <w14:ligatures w14:val="none"/>
        </w:rPr>
      </w:pPr>
      <w:r w:rsidRPr="00BF0DFA">
        <w:rPr>
          <w:rFonts w:ascii="Calibri" w:eastAsia="Times New Roman" w:hAnsi="Calibri" w:cs="Calibri"/>
          <w:color w:val="FF0000"/>
          <w:kern w:val="0"/>
          <w:sz w:val="32"/>
          <w:szCs w:val="32"/>
          <w14:ligatures w14:val="none"/>
        </w:rPr>
        <w:t>Blended Fair Value</w:t>
      </w:r>
    </w:p>
    <w:tbl>
      <w:tblPr>
        <w:tblStyle w:val="TableGrid"/>
        <w:tblpPr w:leftFromText="180" w:rightFromText="180" w:vertAnchor="text" w:horzAnchor="margin" w:tblpXSpec="right" w:tblpY="23"/>
        <w:tblW w:w="0" w:type="auto"/>
        <w:tblLook w:val="04A0" w:firstRow="1" w:lastRow="0" w:firstColumn="1" w:lastColumn="0" w:noHBand="0" w:noVBand="1"/>
      </w:tblPr>
      <w:tblGrid>
        <w:gridCol w:w="2705"/>
        <w:gridCol w:w="1558"/>
        <w:gridCol w:w="1842"/>
      </w:tblGrid>
      <w:tr w:rsidR="000C6126" w:rsidRPr="000C6126" w14:paraId="43CD7FEE" w14:textId="77777777" w:rsidTr="000C6126">
        <w:trPr>
          <w:trHeight w:val="225"/>
        </w:trPr>
        <w:tc>
          <w:tcPr>
            <w:tcW w:w="2705" w:type="dxa"/>
            <w:noWrap/>
            <w:hideMark/>
          </w:tcPr>
          <w:p w14:paraId="5D544F30"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p>
        </w:tc>
        <w:tc>
          <w:tcPr>
            <w:tcW w:w="1558" w:type="dxa"/>
            <w:noWrap/>
            <w:hideMark/>
          </w:tcPr>
          <w:p w14:paraId="066EC254" w14:textId="77777777" w:rsidR="000C6126" w:rsidRPr="000C6126" w:rsidRDefault="000C6126" w:rsidP="000C6126">
            <w:pPr>
              <w:spacing w:before="16" w:after="16"/>
              <w:jc w:val="center"/>
              <w:rPr>
                <w:rFonts w:ascii="Calibri" w:eastAsia="Times New Roman" w:hAnsi="Calibri" w:cs="Calibri"/>
                <w:b/>
                <w:bCs/>
                <w:kern w:val="0"/>
                <w:sz w:val="24"/>
                <w:szCs w:val="24"/>
                <w14:ligatures w14:val="none"/>
              </w:rPr>
            </w:pPr>
            <w:r w:rsidRPr="000C6126">
              <w:rPr>
                <w:rFonts w:ascii="Calibri" w:eastAsia="Times New Roman" w:hAnsi="Calibri" w:cs="Calibri"/>
                <w:b/>
                <w:bCs/>
                <w:kern w:val="0"/>
                <w:sz w:val="24"/>
                <w:szCs w:val="24"/>
                <w14:ligatures w14:val="none"/>
              </w:rPr>
              <w:t>DCF</w:t>
            </w:r>
          </w:p>
        </w:tc>
        <w:tc>
          <w:tcPr>
            <w:tcW w:w="1842" w:type="dxa"/>
            <w:noWrap/>
            <w:hideMark/>
          </w:tcPr>
          <w:p w14:paraId="6221BFF2" w14:textId="77777777" w:rsidR="000C6126" w:rsidRPr="000C6126" w:rsidRDefault="000C6126" w:rsidP="000C6126">
            <w:pPr>
              <w:spacing w:before="16" w:after="16"/>
              <w:jc w:val="center"/>
              <w:rPr>
                <w:rFonts w:ascii="Calibri" w:eastAsia="Times New Roman" w:hAnsi="Calibri" w:cs="Calibri"/>
                <w:b/>
                <w:bCs/>
                <w:kern w:val="0"/>
                <w:sz w:val="24"/>
                <w:szCs w:val="24"/>
                <w14:ligatures w14:val="none"/>
              </w:rPr>
            </w:pPr>
            <w:r w:rsidRPr="000C6126">
              <w:rPr>
                <w:rFonts w:ascii="Calibri" w:eastAsia="Times New Roman" w:hAnsi="Calibri" w:cs="Calibri"/>
                <w:b/>
                <w:bCs/>
                <w:kern w:val="0"/>
                <w:sz w:val="24"/>
                <w:szCs w:val="24"/>
                <w14:ligatures w14:val="none"/>
              </w:rPr>
              <w:t>Multiples</w:t>
            </w:r>
          </w:p>
        </w:tc>
      </w:tr>
      <w:tr w:rsidR="000C6126" w:rsidRPr="000C6126" w14:paraId="719ED234" w14:textId="77777777" w:rsidTr="000C6126">
        <w:trPr>
          <w:trHeight w:val="225"/>
        </w:trPr>
        <w:tc>
          <w:tcPr>
            <w:tcW w:w="2705" w:type="dxa"/>
            <w:noWrap/>
            <w:hideMark/>
          </w:tcPr>
          <w:p w14:paraId="3DB19F35"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Est. Price (₹ per share)</w:t>
            </w:r>
          </w:p>
        </w:tc>
        <w:tc>
          <w:tcPr>
            <w:tcW w:w="1558" w:type="dxa"/>
            <w:noWrap/>
            <w:hideMark/>
          </w:tcPr>
          <w:p w14:paraId="6235949C"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3172.65</w:t>
            </w:r>
          </w:p>
        </w:tc>
        <w:tc>
          <w:tcPr>
            <w:tcW w:w="1842" w:type="dxa"/>
            <w:noWrap/>
            <w:hideMark/>
          </w:tcPr>
          <w:p w14:paraId="3C931524"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1686.96</w:t>
            </w:r>
          </w:p>
        </w:tc>
      </w:tr>
      <w:tr w:rsidR="000C6126" w:rsidRPr="000C6126" w14:paraId="7B4FFFC9" w14:textId="77777777" w:rsidTr="000C6126">
        <w:trPr>
          <w:trHeight w:val="225"/>
        </w:trPr>
        <w:tc>
          <w:tcPr>
            <w:tcW w:w="2705" w:type="dxa"/>
            <w:noWrap/>
            <w:hideMark/>
          </w:tcPr>
          <w:p w14:paraId="74F303B5"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Weights</w:t>
            </w:r>
          </w:p>
        </w:tc>
        <w:tc>
          <w:tcPr>
            <w:tcW w:w="1558" w:type="dxa"/>
            <w:noWrap/>
            <w:hideMark/>
          </w:tcPr>
          <w:p w14:paraId="29E22979"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40.0%</w:t>
            </w:r>
          </w:p>
        </w:tc>
        <w:tc>
          <w:tcPr>
            <w:tcW w:w="1842" w:type="dxa"/>
            <w:noWrap/>
            <w:hideMark/>
          </w:tcPr>
          <w:p w14:paraId="645DBE07"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60.0%</w:t>
            </w:r>
          </w:p>
        </w:tc>
      </w:tr>
      <w:tr w:rsidR="000C6126" w:rsidRPr="000C6126" w14:paraId="04F0072C" w14:textId="77777777" w:rsidTr="000C6126">
        <w:trPr>
          <w:trHeight w:val="225"/>
        </w:trPr>
        <w:tc>
          <w:tcPr>
            <w:tcW w:w="2705" w:type="dxa"/>
            <w:noWrap/>
            <w:hideMark/>
          </w:tcPr>
          <w:p w14:paraId="4714BBC7"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r w:rsidRPr="000C6126">
              <w:rPr>
                <w:rFonts w:ascii="Calibri" w:eastAsia="Times New Roman" w:hAnsi="Calibri" w:cs="Calibri"/>
                <w:kern w:val="0"/>
                <w:sz w:val="24"/>
                <w:szCs w:val="24"/>
                <w14:ligatures w14:val="none"/>
              </w:rPr>
              <w:t>Blended Fair Value (₹ per share)</w:t>
            </w:r>
          </w:p>
        </w:tc>
        <w:tc>
          <w:tcPr>
            <w:tcW w:w="1558" w:type="dxa"/>
            <w:noWrap/>
            <w:hideMark/>
          </w:tcPr>
          <w:p w14:paraId="0174A194" w14:textId="77777777" w:rsidR="000C6126" w:rsidRPr="000C6126" w:rsidRDefault="000C6126" w:rsidP="000C6126">
            <w:pPr>
              <w:spacing w:before="16" w:after="16"/>
              <w:jc w:val="center"/>
              <w:rPr>
                <w:rFonts w:ascii="Calibri" w:eastAsia="Times New Roman" w:hAnsi="Calibri" w:cs="Calibri"/>
                <w:b/>
                <w:bCs/>
                <w:kern w:val="0"/>
                <w:sz w:val="24"/>
                <w:szCs w:val="24"/>
                <w14:ligatures w14:val="none"/>
              </w:rPr>
            </w:pPr>
            <w:r w:rsidRPr="000C6126">
              <w:rPr>
                <w:rFonts w:ascii="Calibri" w:eastAsia="Times New Roman" w:hAnsi="Calibri" w:cs="Calibri"/>
                <w:b/>
                <w:bCs/>
                <w:kern w:val="0"/>
                <w:sz w:val="24"/>
                <w:szCs w:val="24"/>
                <w14:ligatures w14:val="none"/>
              </w:rPr>
              <w:t>2281.24</w:t>
            </w:r>
          </w:p>
        </w:tc>
        <w:tc>
          <w:tcPr>
            <w:tcW w:w="1842" w:type="dxa"/>
            <w:noWrap/>
            <w:hideMark/>
          </w:tcPr>
          <w:p w14:paraId="72676DE6" w14:textId="77777777" w:rsidR="000C6126" w:rsidRPr="000C6126" w:rsidRDefault="000C6126" w:rsidP="000C6126">
            <w:pPr>
              <w:spacing w:before="16" w:after="16"/>
              <w:jc w:val="center"/>
              <w:rPr>
                <w:rFonts w:ascii="Calibri" w:eastAsia="Times New Roman" w:hAnsi="Calibri" w:cs="Calibri"/>
                <w:kern w:val="0"/>
                <w:sz w:val="24"/>
                <w:szCs w:val="24"/>
                <w14:ligatures w14:val="none"/>
              </w:rPr>
            </w:pPr>
          </w:p>
        </w:tc>
      </w:tr>
    </w:tbl>
    <w:p w14:paraId="066B5B0A" w14:textId="02868391" w:rsidR="00B54525" w:rsidRPr="00626D23" w:rsidRDefault="00E4308A"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To</w:t>
      </w:r>
      <w:r w:rsidR="00B54525" w:rsidRPr="00626D23">
        <w:rPr>
          <w:rFonts w:ascii="Calibri" w:eastAsia="Times New Roman" w:hAnsi="Calibri" w:cs="Calibri"/>
          <w:kern w:val="0"/>
          <w:sz w:val="24"/>
          <w:szCs w:val="24"/>
          <w14:ligatures w14:val="none"/>
        </w:rPr>
        <w:t xml:space="preserve"> bring together the intrinsic valuation via DCF with the market-based relative valuation through P/B, the model creates a blended fair value by giving 40% weight to DCF and 60% weight to the P/B valuation, scenarios that usually support bank valuations through book value multiples rather than neglecting the long-term cash-flow-based value, which has been captured by DCF.</w:t>
      </w:r>
    </w:p>
    <w:p w14:paraId="1FDC787C" w14:textId="2AB5A578" w:rsidR="004522A7"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lastRenderedPageBreak/>
        <w:t>This suggests that Kotak Mahindra Bank is slightly undervalued on a blended basis, even though it appears expensive on pure P/B multiples.</w:t>
      </w:r>
    </w:p>
    <w:p w14:paraId="5210D5A4" w14:textId="1BB5393F" w:rsidR="000C6126" w:rsidRDefault="000C6126" w:rsidP="004818A5">
      <w:pPr>
        <w:spacing w:before="16" w:after="16"/>
        <w:jc w:val="both"/>
        <w:rPr>
          <w:rFonts w:ascii="Calibri" w:eastAsia="Times New Roman" w:hAnsi="Calibri" w:cs="Calibri"/>
          <w:kern w:val="0"/>
          <w:sz w:val="24"/>
          <w:szCs w:val="24"/>
          <w14:ligatures w14:val="none"/>
        </w:rPr>
      </w:pPr>
    </w:p>
    <w:p w14:paraId="0915C045" w14:textId="0A3B70C6" w:rsidR="000C6126" w:rsidRPr="00626D23" w:rsidRDefault="000C6126" w:rsidP="004818A5">
      <w:pPr>
        <w:spacing w:before="16" w:after="16"/>
        <w:jc w:val="both"/>
        <w:rPr>
          <w:rFonts w:ascii="Calibri" w:eastAsia="Times New Roman" w:hAnsi="Calibri" w:cs="Calibri"/>
          <w:kern w:val="0"/>
          <w:sz w:val="24"/>
          <w:szCs w:val="24"/>
          <w14:ligatures w14:val="none"/>
        </w:rPr>
      </w:pPr>
    </w:p>
    <w:p w14:paraId="6806DDF9" w14:textId="340E96FD" w:rsidR="004522A7" w:rsidRPr="00626D23" w:rsidRDefault="004522A7" w:rsidP="004818A5">
      <w:pPr>
        <w:spacing w:before="16" w:after="16"/>
        <w:jc w:val="both"/>
        <w:rPr>
          <w:rFonts w:ascii="Calibri" w:eastAsia="Times New Roman" w:hAnsi="Calibri" w:cs="Calibri"/>
          <w:kern w:val="0"/>
          <w:sz w:val="24"/>
          <w:szCs w:val="24"/>
          <w14:ligatures w14:val="none"/>
        </w:rPr>
      </w:pPr>
    </w:p>
    <w:p w14:paraId="139DB3CE" w14:textId="7A20952F" w:rsidR="004522A7" w:rsidRPr="000C6126" w:rsidRDefault="004522A7" w:rsidP="004818A5">
      <w:pPr>
        <w:spacing w:before="16" w:after="16"/>
        <w:jc w:val="both"/>
        <w:rPr>
          <w:rFonts w:ascii="Calibri" w:eastAsia="Times New Roman" w:hAnsi="Calibri" w:cs="Calibri"/>
          <w:kern w:val="0"/>
          <w:sz w:val="24"/>
          <w:szCs w:val="24"/>
          <w14:ligatures w14:val="none"/>
        </w:rPr>
      </w:pPr>
      <w:r w:rsidRPr="00202F11">
        <w:rPr>
          <w:rFonts w:ascii="Calibri" w:eastAsia="Times New Roman" w:hAnsi="Calibri" w:cs="Calibri"/>
          <w:color w:val="FF0000"/>
          <w:kern w:val="0"/>
          <w:sz w:val="28"/>
          <w:szCs w:val="28"/>
          <w14:ligatures w14:val="none"/>
        </w:rPr>
        <w:t>Sensitivity Analysis</w:t>
      </w:r>
    </w:p>
    <w:p w14:paraId="2407A753" w14:textId="5C518622" w:rsidR="004522A7" w:rsidRPr="00626D23" w:rsidRDefault="0012304E"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To</w:t>
      </w:r>
      <w:r w:rsidR="00293428" w:rsidRPr="00626D23">
        <w:rPr>
          <w:rFonts w:ascii="Calibri" w:eastAsia="Times New Roman" w:hAnsi="Calibri" w:cs="Calibri"/>
          <w:kern w:val="0"/>
          <w:sz w:val="24"/>
          <w:szCs w:val="24"/>
          <w14:ligatures w14:val="none"/>
        </w:rPr>
        <w:t xml:space="preserve"> comprehend the impact of variations in the discount rate (cost of equity) and terminal growth rate (g) on Kotak's DCF-based value per share, a sensitivity analysis is conducted. By leveraging the identical FCFE forecasts (FY26–FY30), the value per share is reconsidered for different pairings</w:t>
      </w:r>
      <w:r w:rsidR="00293428" w:rsidRPr="00626D23">
        <w:rPr>
          <w:rFonts w:ascii="Calibri" w:eastAsia="Times New Roman" w:hAnsi="Calibri" w:cs="Calibri"/>
          <w:kern w:val="0"/>
          <w:sz w:val="24"/>
          <w:szCs w:val="24"/>
          <w14:ligatures w14:val="none"/>
        </w:rPr>
        <w:t xml:space="preserve"> </w:t>
      </w:r>
      <w:r w:rsidR="004522A7" w:rsidRPr="00626D23">
        <w:rPr>
          <w:rFonts w:ascii="Calibri" w:eastAsia="Times New Roman" w:hAnsi="Calibri" w:cs="Calibri"/>
          <w:kern w:val="0"/>
          <w:sz w:val="24"/>
          <w:szCs w:val="24"/>
          <w14:ligatures w14:val="none"/>
        </w:rPr>
        <w:t>of Ke​ and g</w:t>
      </w:r>
      <w:r w:rsidR="00B54525" w:rsidRPr="00626D23">
        <w:rPr>
          <w:rFonts w:ascii="Calibri" w:eastAsia="Times New Roman" w:hAnsi="Calibri" w:cs="Calibri"/>
          <w:kern w:val="0"/>
          <w:sz w:val="24"/>
          <w:szCs w:val="24"/>
          <w14:ligatures w14:val="none"/>
        </w:rPr>
        <w:t>.</w:t>
      </w:r>
    </w:p>
    <w:p w14:paraId="54AAEB8D" w14:textId="044309B2" w:rsidR="004522A7" w:rsidRDefault="004522A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Using FCFE forecasts (₹ in thousands) and 1,988,096,870 shares, the DCF value per share (₹) under selected scenarios is:</w:t>
      </w:r>
    </w:p>
    <w:p w14:paraId="61B02A02" w14:textId="1178267D" w:rsidR="0012304E" w:rsidRDefault="0012304E" w:rsidP="004818A5">
      <w:pPr>
        <w:spacing w:before="16" w:after="16"/>
        <w:jc w:val="both"/>
        <w:rPr>
          <w:rFonts w:ascii="Calibri" w:eastAsia="Times New Roman" w:hAnsi="Calibri" w:cs="Calibri"/>
          <w:kern w:val="0"/>
          <w:sz w:val="24"/>
          <w:szCs w:val="24"/>
          <w14:ligatures w14:val="none"/>
        </w:rPr>
      </w:pPr>
    </w:p>
    <w:p w14:paraId="7A8A1839" w14:textId="2F3AC05F" w:rsidR="0012304E" w:rsidRPr="00626D23" w:rsidRDefault="0012304E" w:rsidP="004818A5">
      <w:pPr>
        <w:spacing w:before="16" w:after="16"/>
        <w:jc w:val="both"/>
        <w:rPr>
          <w:rFonts w:ascii="Calibri" w:eastAsia="Times New Roman" w:hAnsi="Calibri" w:cs="Calibri"/>
          <w:kern w:val="0"/>
          <w:sz w:val="24"/>
          <w:szCs w:val="24"/>
          <w14:ligatures w14:val="none"/>
        </w:rPr>
      </w:pPr>
    </w:p>
    <w:p w14:paraId="4FDF955F" w14:textId="7D0BEF54" w:rsidR="004522A7" w:rsidRPr="00E567C3" w:rsidRDefault="004522A7" w:rsidP="004818A5">
      <w:pPr>
        <w:spacing w:before="16" w:after="16"/>
        <w:jc w:val="both"/>
        <w:rPr>
          <w:rFonts w:ascii="Calibri" w:eastAsia="Times New Roman" w:hAnsi="Calibri" w:cs="Calibri"/>
          <w:color w:val="FF0000"/>
          <w:kern w:val="0"/>
          <w:sz w:val="28"/>
          <w:szCs w:val="28"/>
          <w14:ligatures w14:val="none"/>
        </w:rPr>
      </w:pPr>
      <w:r w:rsidRPr="00E567C3">
        <w:rPr>
          <w:rFonts w:ascii="Calibri" w:eastAsia="Times New Roman" w:hAnsi="Calibri" w:cs="Calibri"/>
          <w:color w:val="FF0000"/>
          <w:kern w:val="0"/>
          <w:sz w:val="28"/>
          <w:szCs w:val="28"/>
          <w14:ligatures w14:val="none"/>
        </w:rPr>
        <w:t>Interpretation:</w:t>
      </w:r>
    </w:p>
    <w:p w14:paraId="41338381" w14:textId="21B4AEB2" w:rsidR="00E567C3" w:rsidRDefault="00293428" w:rsidP="004818A5">
      <w:pPr>
        <w:pStyle w:val="ListParagraph"/>
        <w:numPr>
          <w:ilvl w:val="0"/>
          <w:numId w:val="46"/>
        </w:numPr>
        <w:spacing w:before="16" w:after="16"/>
        <w:jc w:val="both"/>
        <w:rPr>
          <w:rFonts w:ascii="Calibri" w:eastAsia="Times New Roman" w:hAnsi="Calibri" w:cs="Calibri"/>
          <w:kern w:val="0"/>
          <w:sz w:val="24"/>
          <w:szCs w:val="24"/>
          <w14:ligatures w14:val="none"/>
        </w:rPr>
      </w:pPr>
      <w:r w:rsidRPr="00E567C3">
        <w:rPr>
          <w:rFonts w:ascii="Calibri" w:eastAsia="Times New Roman" w:hAnsi="Calibri" w:cs="Calibri"/>
          <w:kern w:val="0"/>
          <w:sz w:val="24"/>
          <w:szCs w:val="24"/>
          <w14:ligatures w14:val="none"/>
        </w:rPr>
        <w:t>Valuing a company at a DCF might change due to a reduction in the discount rate from 10.75% to 10.0% having an increase of around ₹500 per share, which indicates the positive sensitivity of the valuation to a lower required return.</w:t>
      </w:r>
    </w:p>
    <w:p w14:paraId="3F3D27A4" w14:textId="49A6C577" w:rsidR="00E567C3" w:rsidRDefault="00293428" w:rsidP="004818A5">
      <w:pPr>
        <w:pStyle w:val="ListParagraph"/>
        <w:numPr>
          <w:ilvl w:val="0"/>
          <w:numId w:val="46"/>
        </w:numPr>
        <w:spacing w:before="16" w:after="16"/>
        <w:jc w:val="both"/>
        <w:rPr>
          <w:rFonts w:ascii="Calibri" w:eastAsia="Times New Roman" w:hAnsi="Calibri" w:cs="Calibri"/>
          <w:kern w:val="0"/>
          <w:sz w:val="24"/>
          <w:szCs w:val="24"/>
          <w14:ligatures w14:val="none"/>
        </w:rPr>
      </w:pPr>
      <w:r w:rsidRPr="00E567C3">
        <w:rPr>
          <w:rFonts w:ascii="Calibri" w:eastAsia="Times New Roman" w:hAnsi="Calibri" w:cs="Calibri"/>
          <w:kern w:val="0"/>
          <w:sz w:val="24"/>
          <w:szCs w:val="24"/>
          <w14:ligatures w14:val="none"/>
        </w:rPr>
        <w:t>Valuing the company at a DCF might change due to an increase in the discount rate from 10.75% to 12.5% resulting in a decrease of around ₹776 per share, which reveals that the valuation is quite sensitive to the cost of equity assumption.</w:t>
      </w:r>
    </w:p>
    <w:p w14:paraId="23DEEF12" w14:textId="77777777" w:rsidR="00E567C3" w:rsidRDefault="00293428" w:rsidP="004818A5">
      <w:pPr>
        <w:pStyle w:val="ListParagraph"/>
        <w:numPr>
          <w:ilvl w:val="0"/>
          <w:numId w:val="46"/>
        </w:numPr>
        <w:spacing w:before="16" w:after="16"/>
        <w:jc w:val="both"/>
        <w:rPr>
          <w:rFonts w:ascii="Calibri" w:eastAsia="Times New Roman" w:hAnsi="Calibri" w:cs="Calibri"/>
          <w:kern w:val="0"/>
          <w:sz w:val="24"/>
          <w:szCs w:val="24"/>
          <w14:ligatures w14:val="none"/>
        </w:rPr>
      </w:pPr>
      <w:r w:rsidRPr="00E567C3">
        <w:rPr>
          <w:rFonts w:ascii="Calibri" w:eastAsia="Times New Roman" w:hAnsi="Calibri" w:cs="Calibri"/>
          <w:kern w:val="0"/>
          <w:sz w:val="24"/>
          <w:szCs w:val="24"/>
          <w14:ligatures w14:val="none"/>
        </w:rPr>
        <w:t>Intermediation of a 0.5% increase in terminal growth (from 5.0% to 5.5%) adds approximately ₹258 per share, while a 0.5% decrease (to 4.5%) cuts value by about ₹217 per share.</w:t>
      </w:r>
    </w:p>
    <w:tbl>
      <w:tblPr>
        <w:tblpPr w:leftFromText="180" w:rightFromText="180" w:vertAnchor="text" w:horzAnchor="margin" w:tblpXSpec="right" w:tblpY="686"/>
        <w:tblW w:w="8185" w:type="dxa"/>
        <w:tblLook w:val="04A0" w:firstRow="1" w:lastRow="0" w:firstColumn="1" w:lastColumn="0" w:noHBand="0" w:noVBand="1"/>
      </w:tblPr>
      <w:tblGrid>
        <w:gridCol w:w="2335"/>
        <w:gridCol w:w="1440"/>
        <w:gridCol w:w="1530"/>
        <w:gridCol w:w="1440"/>
        <w:gridCol w:w="1440"/>
      </w:tblGrid>
      <w:tr w:rsidR="00FA27D5" w:rsidRPr="00FA27D5" w14:paraId="2C896F10" w14:textId="77777777" w:rsidTr="00FA27D5">
        <w:trPr>
          <w:trHeight w:val="247"/>
        </w:trPr>
        <w:tc>
          <w:tcPr>
            <w:tcW w:w="2335"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271AAF8E"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Terminal Growth (g)</w:t>
            </w:r>
          </w:p>
        </w:tc>
        <w:tc>
          <w:tcPr>
            <w:tcW w:w="1440" w:type="dxa"/>
            <w:tcBorders>
              <w:top w:val="single" w:sz="4" w:space="0" w:color="auto"/>
              <w:left w:val="nil"/>
              <w:bottom w:val="single" w:sz="4" w:space="0" w:color="auto"/>
              <w:right w:val="single" w:sz="4" w:space="0" w:color="auto"/>
            </w:tcBorders>
            <w:shd w:val="clear" w:color="000000" w:fill="FF0000"/>
            <w:noWrap/>
            <w:vAlign w:val="bottom"/>
            <w:hideMark/>
          </w:tcPr>
          <w:p w14:paraId="45CDB553"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WACC 10.0%</w:t>
            </w:r>
          </w:p>
        </w:tc>
        <w:tc>
          <w:tcPr>
            <w:tcW w:w="1530" w:type="dxa"/>
            <w:tcBorders>
              <w:top w:val="single" w:sz="4" w:space="0" w:color="auto"/>
              <w:left w:val="nil"/>
              <w:bottom w:val="single" w:sz="4" w:space="0" w:color="auto"/>
              <w:right w:val="single" w:sz="4" w:space="0" w:color="auto"/>
            </w:tcBorders>
            <w:shd w:val="clear" w:color="000000" w:fill="FF0000"/>
            <w:noWrap/>
            <w:vAlign w:val="bottom"/>
            <w:hideMark/>
          </w:tcPr>
          <w:p w14:paraId="7FB209B7"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WACC 10.75%</w:t>
            </w:r>
          </w:p>
        </w:tc>
        <w:tc>
          <w:tcPr>
            <w:tcW w:w="1440" w:type="dxa"/>
            <w:tcBorders>
              <w:top w:val="single" w:sz="4" w:space="0" w:color="auto"/>
              <w:left w:val="nil"/>
              <w:bottom w:val="single" w:sz="4" w:space="0" w:color="auto"/>
              <w:right w:val="single" w:sz="4" w:space="0" w:color="auto"/>
            </w:tcBorders>
            <w:shd w:val="clear" w:color="000000" w:fill="FF0000"/>
            <w:noWrap/>
            <w:vAlign w:val="bottom"/>
            <w:hideMark/>
          </w:tcPr>
          <w:p w14:paraId="6C2BA624" w14:textId="61D9AA79"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WACC 11.5%</w:t>
            </w:r>
          </w:p>
        </w:tc>
        <w:tc>
          <w:tcPr>
            <w:tcW w:w="1440" w:type="dxa"/>
            <w:tcBorders>
              <w:top w:val="single" w:sz="4" w:space="0" w:color="auto"/>
              <w:left w:val="nil"/>
              <w:bottom w:val="single" w:sz="4" w:space="0" w:color="auto"/>
              <w:right w:val="single" w:sz="4" w:space="0" w:color="auto"/>
            </w:tcBorders>
            <w:shd w:val="clear" w:color="000000" w:fill="FF0000"/>
            <w:noWrap/>
            <w:vAlign w:val="bottom"/>
            <w:hideMark/>
          </w:tcPr>
          <w:p w14:paraId="6191AC3C"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WACC 12.0%</w:t>
            </w:r>
          </w:p>
        </w:tc>
      </w:tr>
      <w:tr w:rsidR="00FA27D5" w:rsidRPr="00FA27D5" w14:paraId="45172F7A" w14:textId="77777777" w:rsidTr="00FA27D5">
        <w:trPr>
          <w:trHeight w:val="247"/>
        </w:trPr>
        <w:tc>
          <w:tcPr>
            <w:tcW w:w="2335" w:type="dxa"/>
            <w:tcBorders>
              <w:top w:val="nil"/>
              <w:left w:val="single" w:sz="4" w:space="0" w:color="auto"/>
              <w:bottom w:val="single" w:sz="4" w:space="0" w:color="auto"/>
              <w:right w:val="single" w:sz="4" w:space="0" w:color="auto"/>
            </w:tcBorders>
            <w:shd w:val="clear" w:color="auto" w:fill="auto"/>
            <w:noWrap/>
            <w:vAlign w:val="bottom"/>
            <w:hideMark/>
          </w:tcPr>
          <w:p w14:paraId="2F76768E"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4.0%</w:t>
            </w:r>
          </w:p>
        </w:tc>
        <w:tc>
          <w:tcPr>
            <w:tcW w:w="1440" w:type="dxa"/>
            <w:tcBorders>
              <w:top w:val="nil"/>
              <w:left w:val="nil"/>
              <w:bottom w:val="single" w:sz="4" w:space="0" w:color="auto"/>
              <w:right w:val="single" w:sz="4" w:space="0" w:color="auto"/>
            </w:tcBorders>
            <w:shd w:val="clear" w:color="auto" w:fill="auto"/>
            <w:noWrap/>
            <w:vAlign w:val="bottom"/>
            <w:hideMark/>
          </w:tcPr>
          <w:p w14:paraId="6EAEF2D6"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3139.6634</w:t>
            </w:r>
          </w:p>
        </w:tc>
        <w:tc>
          <w:tcPr>
            <w:tcW w:w="1530" w:type="dxa"/>
            <w:tcBorders>
              <w:top w:val="nil"/>
              <w:left w:val="nil"/>
              <w:bottom w:val="single" w:sz="4" w:space="0" w:color="auto"/>
              <w:right w:val="single" w:sz="4" w:space="0" w:color="auto"/>
            </w:tcBorders>
            <w:shd w:val="clear" w:color="auto" w:fill="auto"/>
            <w:noWrap/>
            <w:vAlign w:val="bottom"/>
            <w:hideMark/>
          </w:tcPr>
          <w:p w14:paraId="48A6DFFF"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2771.7357</w:t>
            </w:r>
          </w:p>
        </w:tc>
        <w:tc>
          <w:tcPr>
            <w:tcW w:w="1440" w:type="dxa"/>
            <w:tcBorders>
              <w:top w:val="nil"/>
              <w:left w:val="nil"/>
              <w:bottom w:val="single" w:sz="4" w:space="0" w:color="auto"/>
              <w:right w:val="single" w:sz="4" w:space="0" w:color="auto"/>
            </w:tcBorders>
            <w:shd w:val="clear" w:color="auto" w:fill="auto"/>
            <w:noWrap/>
            <w:vAlign w:val="bottom"/>
            <w:hideMark/>
          </w:tcPr>
          <w:p w14:paraId="44EC14F9" w14:textId="0D13CD38"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2477.8606</w:t>
            </w:r>
          </w:p>
        </w:tc>
        <w:tc>
          <w:tcPr>
            <w:tcW w:w="1440" w:type="dxa"/>
            <w:tcBorders>
              <w:top w:val="nil"/>
              <w:left w:val="nil"/>
              <w:bottom w:val="single" w:sz="4" w:space="0" w:color="auto"/>
              <w:right w:val="single" w:sz="4" w:space="0" w:color="auto"/>
            </w:tcBorders>
            <w:shd w:val="clear" w:color="auto" w:fill="auto"/>
            <w:noWrap/>
            <w:vAlign w:val="bottom"/>
            <w:hideMark/>
          </w:tcPr>
          <w:p w14:paraId="2FED7E68"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2312.7916</w:t>
            </w:r>
          </w:p>
        </w:tc>
      </w:tr>
      <w:tr w:rsidR="00FA27D5" w:rsidRPr="00FA27D5" w14:paraId="6D106067" w14:textId="77777777" w:rsidTr="00FA27D5">
        <w:trPr>
          <w:trHeight w:val="247"/>
        </w:trPr>
        <w:tc>
          <w:tcPr>
            <w:tcW w:w="2335" w:type="dxa"/>
            <w:tcBorders>
              <w:top w:val="nil"/>
              <w:left w:val="single" w:sz="4" w:space="0" w:color="auto"/>
              <w:bottom w:val="single" w:sz="4" w:space="0" w:color="auto"/>
              <w:right w:val="single" w:sz="4" w:space="0" w:color="auto"/>
            </w:tcBorders>
            <w:shd w:val="clear" w:color="auto" w:fill="auto"/>
            <w:noWrap/>
            <w:vAlign w:val="bottom"/>
            <w:hideMark/>
          </w:tcPr>
          <w:p w14:paraId="2585310A"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4.5%</w:t>
            </w:r>
          </w:p>
        </w:tc>
        <w:tc>
          <w:tcPr>
            <w:tcW w:w="1440" w:type="dxa"/>
            <w:tcBorders>
              <w:top w:val="nil"/>
              <w:left w:val="nil"/>
              <w:bottom w:val="single" w:sz="4" w:space="0" w:color="auto"/>
              <w:right w:val="single" w:sz="4" w:space="0" w:color="auto"/>
            </w:tcBorders>
            <w:shd w:val="clear" w:color="auto" w:fill="auto"/>
            <w:noWrap/>
            <w:vAlign w:val="bottom"/>
            <w:hideMark/>
          </w:tcPr>
          <w:p w14:paraId="01B71EAF"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3381.9262</w:t>
            </w:r>
          </w:p>
        </w:tc>
        <w:tc>
          <w:tcPr>
            <w:tcW w:w="1530" w:type="dxa"/>
            <w:tcBorders>
              <w:top w:val="nil"/>
              <w:left w:val="nil"/>
              <w:bottom w:val="single" w:sz="4" w:space="0" w:color="auto"/>
              <w:right w:val="single" w:sz="4" w:space="0" w:color="auto"/>
            </w:tcBorders>
            <w:shd w:val="clear" w:color="auto" w:fill="auto"/>
            <w:noWrap/>
            <w:vAlign w:val="bottom"/>
            <w:hideMark/>
          </w:tcPr>
          <w:p w14:paraId="6920CF14"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2956.1576</w:t>
            </w:r>
          </w:p>
        </w:tc>
        <w:tc>
          <w:tcPr>
            <w:tcW w:w="1440" w:type="dxa"/>
            <w:tcBorders>
              <w:top w:val="nil"/>
              <w:left w:val="nil"/>
              <w:bottom w:val="single" w:sz="4" w:space="0" w:color="auto"/>
              <w:right w:val="single" w:sz="4" w:space="0" w:color="auto"/>
            </w:tcBorders>
            <w:shd w:val="clear" w:color="auto" w:fill="auto"/>
            <w:noWrap/>
            <w:vAlign w:val="bottom"/>
            <w:hideMark/>
          </w:tcPr>
          <w:p w14:paraId="2AB51241" w14:textId="46564AA9"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2622.1095</w:t>
            </w:r>
          </w:p>
        </w:tc>
        <w:tc>
          <w:tcPr>
            <w:tcW w:w="1440" w:type="dxa"/>
            <w:tcBorders>
              <w:top w:val="nil"/>
              <w:left w:val="nil"/>
              <w:bottom w:val="single" w:sz="4" w:space="0" w:color="auto"/>
              <w:right w:val="single" w:sz="4" w:space="0" w:color="auto"/>
            </w:tcBorders>
            <w:shd w:val="clear" w:color="auto" w:fill="auto"/>
            <w:noWrap/>
            <w:vAlign w:val="bottom"/>
            <w:hideMark/>
          </w:tcPr>
          <w:p w14:paraId="7F8A05E0"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2436.7705</w:t>
            </w:r>
          </w:p>
        </w:tc>
      </w:tr>
      <w:tr w:rsidR="00FA27D5" w:rsidRPr="00FA27D5" w14:paraId="72EEF9C5" w14:textId="77777777" w:rsidTr="00FA27D5">
        <w:trPr>
          <w:trHeight w:val="247"/>
        </w:trPr>
        <w:tc>
          <w:tcPr>
            <w:tcW w:w="2335" w:type="dxa"/>
            <w:tcBorders>
              <w:top w:val="nil"/>
              <w:left w:val="single" w:sz="4" w:space="0" w:color="auto"/>
              <w:bottom w:val="single" w:sz="4" w:space="0" w:color="auto"/>
              <w:right w:val="single" w:sz="4" w:space="0" w:color="auto"/>
            </w:tcBorders>
            <w:shd w:val="clear" w:color="auto" w:fill="auto"/>
            <w:noWrap/>
            <w:vAlign w:val="bottom"/>
            <w:hideMark/>
          </w:tcPr>
          <w:p w14:paraId="284F3D57"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5.0%</w:t>
            </w:r>
          </w:p>
        </w:tc>
        <w:tc>
          <w:tcPr>
            <w:tcW w:w="1440" w:type="dxa"/>
            <w:tcBorders>
              <w:top w:val="nil"/>
              <w:left w:val="nil"/>
              <w:bottom w:val="single" w:sz="4" w:space="0" w:color="auto"/>
              <w:right w:val="single" w:sz="4" w:space="0" w:color="auto"/>
            </w:tcBorders>
            <w:shd w:val="clear" w:color="auto" w:fill="auto"/>
            <w:noWrap/>
            <w:vAlign w:val="bottom"/>
            <w:hideMark/>
          </w:tcPr>
          <w:p w14:paraId="02F0F811"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3672.6414</w:t>
            </w:r>
          </w:p>
        </w:tc>
        <w:tc>
          <w:tcPr>
            <w:tcW w:w="1530" w:type="dxa"/>
            <w:tcBorders>
              <w:top w:val="nil"/>
              <w:left w:val="nil"/>
              <w:bottom w:val="single" w:sz="4" w:space="0" w:color="auto"/>
              <w:right w:val="single" w:sz="4" w:space="0" w:color="auto"/>
            </w:tcBorders>
            <w:shd w:val="clear" w:color="auto" w:fill="auto"/>
            <w:noWrap/>
            <w:vAlign w:val="bottom"/>
            <w:hideMark/>
          </w:tcPr>
          <w:p w14:paraId="71696643"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3172.6529</w:t>
            </w:r>
          </w:p>
        </w:tc>
        <w:tc>
          <w:tcPr>
            <w:tcW w:w="1440" w:type="dxa"/>
            <w:tcBorders>
              <w:top w:val="nil"/>
              <w:left w:val="nil"/>
              <w:bottom w:val="single" w:sz="4" w:space="0" w:color="auto"/>
              <w:right w:val="single" w:sz="4" w:space="0" w:color="auto"/>
            </w:tcBorders>
            <w:shd w:val="clear" w:color="auto" w:fill="auto"/>
            <w:noWrap/>
            <w:vAlign w:val="bottom"/>
            <w:hideMark/>
          </w:tcPr>
          <w:p w14:paraId="7384FA1F" w14:textId="1805AEE8"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2788.5506</w:t>
            </w:r>
          </w:p>
        </w:tc>
        <w:tc>
          <w:tcPr>
            <w:tcW w:w="1440" w:type="dxa"/>
            <w:tcBorders>
              <w:top w:val="nil"/>
              <w:left w:val="nil"/>
              <w:bottom w:val="single" w:sz="4" w:space="0" w:color="auto"/>
              <w:right w:val="single" w:sz="4" w:space="0" w:color="auto"/>
            </w:tcBorders>
            <w:shd w:val="clear" w:color="auto" w:fill="auto"/>
            <w:noWrap/>
            <w:vAlign w:val="bottom"/>
            <w:hideMark/>
          </w:tcPr>
          <w:p w14:paraId="4F7C69AD"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2578.4607</w:t>
            </w:r>
          </w:p>
        </w:tc>
      </w:tr>
      <w:tr w:rsidR="00FA27D5" w:rsidRPr="00FA27D5" w14:paraId="2795D836" w14:textId="77777777" w:rsidTr="00FA27D5">
        <w:trPr>
          <w:trHeight w:val="247"/>
        </w:trPr>
        <w:tc>
          <w:tcPr>
            <w:tcW w:w="2335" w:type="dxa"/>
            <w:tcBorders>
              <w:top w:val="nil"/>
              <w:left w:val="single" w:sz="4" w:space="0" w:color="auto"/>
              <w:bottom w:val="single" w:sz="4" w:space="0" w:color="auto"/>
              <w:right w:val="single" w:sz="4" w:space="0" w:color="auto"/>
            </w:tcBorders>
            <w:shd w:val="clear" w:color="auto" w:fill="auto"/>
            <w:noWrap/>
            <w:vAlign w:val="bottom"/>
            <w:hideMark/>
          </w:tcPr>
          <w:p w14:paraId="54F0F84C"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5.5%</w:t>
            </w:r>
          </w:p>
        </w:tc>
        <w:tc>
          <w:tcPr>
            <w:tcW w:w="1440" w:type="dxa"/>
            <w:tcBorders>
              <w:top w:val="nil"/>
              <w:left w:val="nil"/>
              <w:bottom w:val="single" w:sz="4" w:space="0" w:color="auto"/>
              <w:right w:val="single" w:sz="4" w:space="0" w:color="auto"/>
            </w:tcBorders>
            <w:shd w:val="clear" w:color="auto" w:fill="auto"/>
            <w:noWrap/>
            <w:vAlign w:val="bottom"/>
            <w:hideMark/>
          </w:tcPr>
          <w:p w14:paraId="3B724DA8"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4027.9601</w:t>
            </w:r>
          </w:p>
        </w:tc>
        <w:tc>
          <w:tcPr>
            <w:tcW w:w="1530" w:type="dxa"/>
            <w:tcBorders>
              <w:top w:val="nil"/>
              <w:left w:val="nil"/>
              <w:bottom w:val="single" w:sz="4" w:space="0" w:color="auto"/>
              <w:right w:val="single" w:sz="4" w:space="0" w:color="auto"/>
            </w:tcBorders>
            <w:shd w:val="clear" w:color="auto" w:fill="auto"/>
            <w:noWrap/>
            <w:vAlign w:val="bottom"/>
            <w:hideMark/>
          </w:tcPr>
          <w:p w14:paraId="2B19FBE7"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3430.3854</w:t>
            </w:r>
          </w:p>
        </w:tc>
        <w:tc>
          <w:tcPr>
            <w:tcW w:w="1440" w:type="dxa"/>
            <w:tcBorders>
              <w:top w:val="nil"/>
              <w:left w:val="nil"/>
              <w:bottom w:val="single" w:sz="4" w:space="0" w:color="auto"/>
              <w:right w:val="single" w:sz="4" w:space="0" w:color="auto"/>
            </w:tcBorders>
            <w:shd w:val="clear" w:color="auto" w:fill="auto"/>
            <w:noWrap/>
            <w:vAlign w:val="bottom"/>
            <w:hideMark/>
          </w:tcPr>
          <w:p w14:paraId="1EE1868A" w14:textId="4F2879C6"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2982.7318</w:t>
            </w:r>
          </w:p>
        </w:tc>
        <w:tc>
          <w:tcPr>
            <w:tcW w:w="1440" w:type="dxa"/>
            <w:tcBorders>
              <w:top w:val="nil"/>
              <w:left w:val="nil"/>
              <w:bottom w:val="single" w:sz="4" w:space="0" w:color="auto"/>
              <w:right w:val="single" w:sz="4" w:space="0" w:color="auto"/>
            </w:tcBorders>
            <w:shd w:val="clear" w:color="auto" w:fill="auto"/>
            <w:noWrap/>
            <w:vAlign w:val="bottom"/>
            <w:hideMark/>
          </w:tcPr>
          <w:p w14:paraId="4CF329C2"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2741.9494</w:t>
            </w:r>
          </w:p>
        </w:tc>
      </w:tr>
      <w:tr w:rsidR="00FA27D5" w:rsidRPr="00FA27D5" w14:paraId="4A10575E" w14:textId="77777777" w:rsidTr="00FA27D5">
        <w:trPr>
          <w:trHeight w:val="247"/>
        </w:trPr>
        <w:tc>
          <w:tcPr>
            <w:tcW w:w="2335" w:type="dxa"/>
            <w:tcBorders>
              <w:top w:val="nil"/>
              <w:left w:val="single" w:sz="4" w:space="0" w:color="auto"/>
              <w:bottom w:val="single" w:sz="4" w:space="0" w:color="auto"/>
              <w:right w:val="single" w:sz="4" w:space="0" w:color="auto"/>
            </w:tcBorders>
            <w:shd w:val="clear" w:color="auto" w:fill="auto"/>
            <w:noWrap/>
            <w:vAlign w:val="bottom"/>
            <w:hideMark/>
          </w:tcPr>
          <w:p w14:paraId="3A945633"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6.0%</w:t>
            </w:r>
          </w:p>
        </w:tc>
        <w:tc>
          <w:tcPr>
            <w:tcW w:w="1440" w:type="dxa"/>
            <w:tcBorders>
              <w:top w:val="nil"/>
              <w:left w:val="nil"/>
              <w:bottom w:val="single" w:sz="4" w:space="0" w:color="auto"/>
              <w:right w:val="single" w:sz="4" w:space="0" w:color="auto"/>
            </w:tcBorders>
            <w:shd w:val="clear" w:color="auto" w:fill="auto"/>
            <w:noWrap/>
            <w:vAlign w:val="bottom"/>
            <w:hideMark/>
          </w:tcPr>
          <w:p w14:paraId="67BBC069"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4472.1084</w:t>
            </w:r>
          </w:p>
        </w:tc>
        <w:tc>
          <w:tcPr>
            <w:tcW w:w="1530" w:type="dxa"/>
            <w:tcBorders>
              <w:top w:val="nil"/>
              <w:left w:val="nil"/>
              <w:bottom w:val="single" w:sz="4" w:space="0" w:color="auto"/>
              <w:right w:val="single" w:sz="4" w:space="0" w:color="auto"/>
            </w:tcBorders>
            <w:shd w:val="clear" w:color="auto" w:fill="auto"/>
            <w:noWrap/>
            <w:vAlign w:val="bottom"/>
            <w:hideMark/>
          </w:tcPr>
          <w:p w14:paraId="28D16CD7" w14:textId="77777777" w:rsidR="00FA27D5" w:rsidRPr="00FA27D5" w:rsidRDefault="00FA27D5" w:rsidP="00FA27D5">
            <w:pPr>
              <w:spacing w:after="0" w:line="240" w:lineRule="auto"/>
              <w:jc w:val="center"/>
              <w:rPr>
                <w:rFonts w:ascii="Calibri" w:eastAsia="Times New Roman" w:hAnsi="Calibri" w:cs="Calibri"/>
                <w:b/>
                <w:bCs/>
                <w:color w:val="000000"/>
                <w:kern w:val="0"/>
                <w14:ligatures w14:val="none"/>
              </w:rPr>
            </w:pPr>
            <w:r w:rsidRPr="00FA27D5">
              <w:rPr>
                <w:rFonts w:ascii="Calibri" w:eastAsia="Times New Roman" w:hAnsi="Calibri" w:cs="Calibri"/>
                <w:b/>
                <w:bCs/>
                <w:color w:val="000000"/>
                <w:kern w:val="0"/>
                <w14:ligatures w14:val="none"/>
              </w:rPr>
              <w:t>3742.3774</w:t>
            </w:r>
          </w:p>
        </w:tc>
        <w:tc>
          <w:tcPr>
            <w:tcW w:w="1440" w:type="dxa"/>
            <w:tcBorders>
              <w:top w:val="nil"/>
              <w:left w:val="nil"/>
              <w:bottom w:val="single" w:sz="4" w:space="0" w:color="auto"/>
              <w:right w:val="single" w:sz="4" w:space="0" w:color="auto"/>
            </w:tcBorders>
            <w:shd w:val="clear" w:color="auto" w:fill="auto"/>
            <w:noWrap/>
            <w:vAlign w:val="bottom"/>
            <w:hideMark/>
          </w:tcPr>
          <w:p w14:paraId="05492EC7" w14:textId="18BB49D0"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3212.2187</w:t>
            </w:r>
          </w:p>
        </w:tc>
        <w:tc>
          <w:tcPr>
            <w:tcW w:w="1440" w:type="dxa"/>
            <w:tcBorders>
              <w:top w:val="nil"/>
              <w:left w:val="nil"/>
              <w:bottom w:val="single" w:sz="4" w:space="0" w:color="auto"/>
              <w:right w:val="single" w:sz="4" w:space="0" w:color="auto"/>
            </w:tcBorders>
            <w:shd w:val="clear" w:color="auto" w:fill="auto"/>
            <w:noWrap/>
            <w:vAlign w:val="bottom"/>
            <w:hideMark/>
          </w:tcPr>
          <w:p w14:paraId="63944462" w14:textId="77777777" w:rsidR="00FA27D5" w:rsidRPr="00FA27D5" w:rsidRDefault="00FA27D5" w:rsidP="00FA27D5">
            <w:pPr>
              <w:spacing w:after="0" w:line="240" w:lineRule="auto"/>
              <w:jc w:val="center"/>
              <w:rPr>
                <w:rFonts w:ascii="Calibri" w:eastAsia="Times New Roman" w:hAnsi="Calibri" w:cs="Calibri"/>
                <w:color w:val="000000"/>
                <w:kern w:val="0"/>
                <w14:ligatures w14:val="none"/>
              </w:rPr>
            </w:pPr>
            <w:r w:rsidRPr="00FA27D5">
              <w:rPr>
                <w:rFonts w:ascii="Calibri" w:eastAsia="Times New Roman" w:hAnsi="Calibri" w:cs="Calibri"/>
                <w:color w:val="000000"/>
                <w:kern w:val="0"/>
                <w14:ligatures w14:val="none"/>
              </w:rPr>
              <w:t>2932.6863</w:t>
            </w:r>
          </w:p>
        </w:tc>
      </w:tr>
    </w:tbl>
    <w:p w14:paraId="5C4FD2DB" w14:textId="2E328BFE" w:rsidR="00FA27D5" w:rsidRPr="00FD733A" w:rsidRDefault="00293428" w:rsidP="00FD733A">
      <w:pPr>
        <w:pStyle w:val="ListParagraph"/>
        <w:numPr>
          <w:ilvl w:val="0"/>
          <w:numId w:val="46"/>
        </w:numPr>
        <w:spacing w:before="16" w:after="16"/>
        <w:jc w:val="both"/>
        <w:rPr>
          <w:rFonts w:ascii="Calibri" w:eastAsia="Times New Roman" w:hAnsi="Calibri" w:cs="Calibri"/>
          <w:kern w:val="0"/>
          <w:sz w:val="24"/>
          <w:szCs w:val="24"/>
          <w14:ligatures w14:val="none"/>
        </w:rPr>
      </w:pPr>
      <w:r w:rsidRPr="00E567C3">
        <w:rPr>
          <w:rFonts w:ascii="Calibri" w:eastAsia="Times New Roman" w:hAnsi="Calibri" w:cs="Calibri"/>
          <w:kern w:val="0"/>
          <w:sz w:val="24"/>
          <w:szCs w:val="24"/>
          <w14:ligatures w14:val="none"/>
        </w:rPr>
        <w:t>In general, it is seen that the DCF value of Kotak is more sensitive to the variation in the discount rate compared to the variation in terminal growth which is a common trend for long-duration cash-flow‐driven valuations.</w:t>
      </w:r>
    </w:p>
    <w:p w14:paraId="44A51261" w14:textId="7CD040B8" w:rsidR="00FD733A" w:rsidRPr="00FA27D5" w:rsidRDefault="00FD733A" w:rsidP="00FA27D5">
      <w:pPr>
        <w:spacing w:before="16" w:after="16"/>
        <w:jc w:val="both"/>
        <w:rPr>
          <w:rFonts w:ascii="Calibri" w:eastAsia="Times New Roman" w:hAnsi="Calibri" w:cs="Calibri"/>
          <w:kern w:val="0"/>
          <w:sz w:val="24"/>
          <w:szCs w:val="24"/>
          <w14:ligatures w14:val="none"/>
        </w:rPr>
      </w:pPr>
    </w:p>
    <w:p w14:paraId="0FCE60DA" w14:textId="55FDD072" w:rsidR="006D3DBB" w:rsidRDefault="000B4393" w:rsidP="000B4393">
      <w:pPr>
        <w:pStyle w:val="ListParagraph"/>
        <w:numPr>
          <w:ilvl w:val="0"/>
          <w:numId w:val="46"/>
        </w:numPr>
        <w:spacing w:before="16" w:after="16"/>
        <w:jc w:val="both"/>
        <w:rPr>
          <w:rFonts w:ascii="Calibri" w:eastAsia="Times New Roman" w:hAnsi="Calibri" w:cs="Calibri"/>
          <w:kern w:val="0"/>
          <w:sz w:val="24"/>
          <w:szCs w:val="24"/>
          <w14:ligatures w14:val="none"/>
        </w:rPr>
      </w:pPr>
      <w:r w:rsidRPr="006D3DBB">
        <w:rPr>
          <w:rFonts w:ascii="Calibri" w:eastAsia="Times New Roman" w:hAnsi="Calibri" w:cs="Calibri"/>
          <w:kern w:val="0"/>
          <w:sz w:val="24"/>
          <w:szCs w:val="24"/>
          <w14:ligatures w14:val="none"/>
        </w:rPr>
        <w:t xml:space="preserve">Through disciplined cost control and improving operational efficiency, Kotak Mahindra Bank has experienced consistent growth in both interest and non-interest income. Since the bank's cost-to-income ratio has remained in the low 40s, it indicates responsible expense management; nevertheless, the bank continues to invest in digital transformation and expanding its network. Kotak's net interest margin (NIM) is approximately 5% — one of the highest in the private banking industry — supported by a strong current and savings account (CASA) </w:t>
      </w:r>
      <w:r w:rsidR="00ED140C" w:rsidRPr="006D3DBB">
        <w:rPr>
          <w:rFonts w:ascii="Calibri" w:eastAsia="Times New Roman" w:hAnsi="Calibri" w:cs="Calibri"/>
          <w:kern w:val="0"/>
          <w:sz w:val="24"/>
          <w:szCs w:val="24"/>
          <w14:ligatures w14:val="none"/>
        </w:rPr>
        <w:t xml:space="preserve">base. </w:t>
      </w:r>
    </w:p>
    <w:p w14:paraId="3E7D9A25" w14:textId="3223AB5B" w:rsidR="006D3DBB" w:rsidRPr="006D3DBB" w:rsidRDefault="00894830" w:rsidP="00894830">
      <w:pPr>
        <w:pStyle w:val="ListParagraph"/>
        <w:numPr>
          <w:ilvl w:val="0"/>
          <w:numId w:val="46"/>
        </w:numPr>
        <w:spacing w:before="16" w:after="16"/>
        <w:rPr>
          <w:rFonts w:ascii="Calibri" w:eastAsia="Times New Roman" w:hAnsi="Calibri" w:cs="Calibri"/>
          <w:kern w:val="0"/>
          <w:sz w:val="24"/>
          <w:szCs w:val="24"/>
          <w14:ligatures w14:val="none"/>
        </w:rPr>
      </w:pPr>
      <w:r>
        <w:rPr>
          <w:noProof/>
        </w:rPr>
        <w:lastRenderedPageBreak/>
        <w:drawing>
          <wp:anchor distT="0" distB="0" distL="114300" distR="114300" simplePos="0" relativeHeight="251678208" behindDoc="0" locked="0" layoutInCell="1" allowOverlap="1" wp14:anchorId="239B8075" wp14:editId="7ACD4A53">
            <wp:simplePos x="0" y="0"/>
            <wp:positionH relativeFrom="column">
              <wp:posOffset>2460293</wp:posOffset>
            </wp:positionH>
            <wp:positionV relativeFrom="paragraph">
              <wp:posOffset>70954</wp:posOffset>
            </wp:positionV>
            <wp:extent cx="4324985" cy="2114550"/>
            <wp:effectExtent l="0" t="0" r="18415" b="0"/>
            <wp:wrapThrough wrapText="bothSides">
              <wp:wrapPolygon edited="0">
                <wp:start x="0" y="0"/>
                <wp:lineTo x="0" y="21405"/>
                <wp:lineTo x="21597" y="21405"/>
                <wp:lineTo x="21597" y="0"/>
                <wp:lineTo x="0" y="0"/>
              </wp:wrapPolygon>
            </wp:wrapThrough>
            <wp:docPr id="1824243242" name="Chart 1">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r w:rsidR="000B4393" w:rsidRPr="006D3DBB">
        <w:rPr>
          <w:rFonts w:ascii="Calibri" w:eastAsia="Times New Roman" w:hAnsi="Calibri" w:cs="Calibri"/>
          <w:kern w:val="0"/>
          <w:sz w:val="24"/>
          <w:szCs w:val="24"/>
          <w14:ligatures w14:val="none"/>
        </w:rPr>
        <w:t>Kotak has an integrated financial services platform that covers retail banking, wholesale banking, asset management, insurance, and securities. This platform allows Kotak to diversify its income streams, thereby increasing the financial security of its operations. Fee-based income from subsidiaries has consistently contributed approximately one-fourth of Kotak's total income, and Kotak's digital initiatives, such as Kotak 811 and Kotak have helped to create new customer relationships and enhance engagement.</w:t>
      </w:r>
    </w:p>
    <w:p w14:paraId="31BBB859" w14:textId="4133123F" w:rsidR="006D3DBB" w:rsidRDefault="000B4393" w:rsidP="000B4393">
      <w:pPr>
        <w:pStyle w:val="ListParagraph"/>
        <w:numPr>
          <w:ilvl w:val="0"/>
          <w:numId w:val="46"/>
        </w:numPr>
        <w:spacing w:before="16" w:after="16"/>
        <w:jc w:val="both"/>
        <w:rPr>
          <w:rFonts w:ascii="Calibri" w:eastAsia="Times New Roman" w:hAnsi="Calibri" w:cs="Calibri"/>
          <w:kern w:val="0"/>
          <w:sz w:val="24"/>
          <w:szCs w:val="24"/>
          <w14:ligatures w14:val="none"/>
        </w:rPr>
      </w:pPr>
      <w:r w:rsidRPr="006D3DBB">
        <w:rPr>
          <w:rFonts w:ascii="Calibri" w:eastAsia="Times New Roman" w:hAnsi="Calibri" w:cs="Calibri"/>
          <w:kern w:val="0"/>
          <w:sz w:val="24"/>
          <w:szCs w:val="24"/>
          <w14:ligatures w14:val="none"/>
        </w:rPr>
        <w:t xml:space="preserve">Capital adequacy ratios for the bank remain well </w:t>
      </w:r>
      <w:r w:rsidR="00ED140C" w:rsidRPr="006D3DBB">
        <w:rPr>
          <w:rFonts w:ascii="Calibri" w:eastAsia="Times New Roman" w:hAnsi="Calibri" w:cs="Calibri"/>
          <w:kern w:val="0"/>
          <w:sz w:val="24"/>
          <w:szCs w:val="24"/>
          <w14:ligatures w14:val="none"/>
        </w:rPr>
        <w:t>more than</w:t>
      </w:r>
      <w:r w:rsidRPr="006D3DBB">
        <w:rPr>
          <w:rFonts w:ascii="Calibri" w:eastAsia="Times New Roman" w:hAnsi="Calibri" w:cs="Calibri"/>
          <w:kern w:val="0"/>
          <w:sz w:val="24"/>
          <w:szCs w:val="24"/>
          <w14:ligatures w14:val="none"/>
        </w:rPr>
        <w:t xml:space="preserve"> regulatory standards and further provide ample capacity for the bank's future growth potential and resilience to adverse developments in the economic environment. The quality of assets continues to improve, driven by prudent lending practices and comprehensive risk management. As a result, total gross and net non-performing assets have decreased steadily year-on-year.</w:t>
      </w:r>
    </w:p>
    <w:p w14:paraId="73B73E2F" w14:textId="77777777" w:rsidR="00A76023" w:rsidRDefault="000B4393" w:rsidP="000B4393">
      <w:pPr>
        <w:pStyle w:val="ListParagraph"/>
        <w:numPr>
          <w:ilvl w:val="0"/>
          <w:numId w:val="46"/>
        </w:numPr>
        <w:spacing w:before="16" w:after="16"/>
        <w:jc w:val="both"/>
        <w:rPr>
          <w:rFonts w:ascii="Calibri" w:eastAsia="Times New Roman" w:hAnsi="Calibri" w:cs="Calibri"/>
          <w:kern w:val="0"/>
          <w:sz w:val="24"/>
          <w:szCs w:val="24"/>
          <w14:ligatures w14:val="none"/>
        </w:rPr>
      </w:pPr>
      <w:r w:rsidRPr="006D3DBB">
        <w:rPr>
          <w:rFonts w:ascii="Calibri" w:eastAsia="Times New Roman" w:hAnsi="Calibri" w:cs="Calibri"/>
          <w:kern w:val="0"/>
          <w:sz w:val="24"/>
          <w:szCs w:val="24"/>
          <w14:ligatures w14:val="none"/>
        </w:rPr>
        <w:t>Profit after tax (profit after tax/PAT) has increased at a rate consistent with other banks, primarily due to the bank's increasing net interest income, increasing commission income and low credit losses (PAT/Return on equity [ROE]).</w:t>
      </w:r>
    </w:p>
    <w:p w14:paraId="5486A4A2" w14:textId="21772AF2" w:rsidR="000B4393" w:rsidRPr="00A76023" w:rsidRDefault="000B4393" w:rsidP="000B4393">
      <w:pPr>
        <w:pStyle w:val="ListParagraph"/>
        <w:numPr>
          <w:ilvl w:val="0"/>
          <w:numId w:val="46"/>
        </w:numPr>
        <w:spacing w:before="16" w:after="16"/>
        <w:jc w:val="both"/>
        <w:rPr>
          <w:rFonts w:ascii="Calibri" w:eastAsia="Times New Roman" w:hAnsi="Calibri" w:cs="Calibri"/>
          <w:kern w:val="0"/>
          <w:sz w:val="24"/>
          <w:szCs w:val="24"/>
          <w14:ligatures w14:val="none"/>
        </w:rPr>
      </w:pPr>
      <w:r w:rsidRPr="00A76023">
        <w:rPr>
          <w:rFonts w:ascii="Calibri" w:eastAsia="Times New Roman" w:hAnsi="Calibri" w:cs="Calibri"/>
          <w:kern w:val="0"/>
          <w:sz w:val="24"/>
          <w:szCs w:val="24"/>
          <w14:ligatures w14:val="none"/>
        </w:rPr>
        <w:t>The transition from Kalyan Krishnan to Ashok Vaswani as the bank's Chief Executive Officer has been conducted smoothly and provides ongoing assurance regarding the bank's ongoing management continuity and high level of governance. The bank remains widely regarded as having a strong reputation for its ongoing integrity and regulatory compliance, thereby contributing to heightened levels of investor confidence in the bank.</w:t>
      </w:r>
    </w:p>
    <w:p w14:paraId="6FF6E0C9" w14:textId="3F617EDE" w:rsidR="000B4393" w:rsidRPr="00ED140C" w:rsidRDefault="00ED140C" w:rsidP="004818A5">
      <w:pPr>
        <w:spacing w:before="16" w:after="16"/>
        <w:jc w:val="both"/>
        <w:rPr>
          <w:rFonts w:ascii="Calibri" w:eastAsia="Times New Roman" w:hAnsi="Calibri" w:cs="Calibri"/>
          <w:color w:val="FF0000"/>
          <w:kern w:val="0"/>
          <w:sz w:val="32"/>
          <w:szCs w:val="32"/>
          <w14:ligatures w14:val="none"/>
        </w:rPr>
      </w:pPr>
      <w:r w:rsidRPr="00ED140C">
        <w:rPr>
          <w:rFonts w:ascii="Calibri" w:eastAsia="Times New Roman" w:hAnsi="Calibri" w:cs="Calibri"/>
          <w:color w:val="FF0000"/>
          <w:kern w:val="0"/>
          <w:sz w:val="32"/>
          <w:szCs w:val="32"/>
          <w14:ligatures w14:val="none"/>
        </w:rPr>
        <w:t>Key Risks</w:t>
      </w:r>
    </w:p>
    <w:p w14:paraId="457D6025" w14:textId="77777777" w:rsidR="00442721" w:rsidRPr="00ED140C" w:rsidRDefault="00442721" w:rsidP="004818A5">
      <w:pPr>
        <w:spacing w:before="16" w:after="16"/>
        <w:jc w:val="both"/>
        <w:rPr>
          <w:rFonts w:ascii="Calibri" w:eastAsia="Times New Roman" w:hAnsi="Calibri" w:cs="Calibri"/>
          <w:b/>
          <w:bCs/>
          <w:kern w:val="0"/>
          <w:sz w:val="24"/>
          <w:szCs w:val="24"/>
          <w14:ligatures w14:val="none"/>
        </w:rPr>
      </w:pPr>
      <w:r w:rsidRPr="00ED140C">
        <w:rPr>
          <w:rFonts w:ascii="Calibri" w:eastAsia="Times New Roman" w:hAnsi="Calibri" w:cs="Calibri"/>
          <w:b/>
          <w:bCs/>
          <w:kern w:val="0"/>
          <w:sz w:val="24"/>
          <w:szCs w:val="24"/>
          <w14:ligatures w14:val="none"/>
        </w:rPr>
        <w:t>Investment Risks</w:t>
      </w:r>
    </w:p>
    <w:p w14:paraId="1022C886" w14:textId="4C749E49" w:rsidR="008C36A9" w:rsidRPr="00626D23" w:rsidRDefault="008C36A9"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Although Kotak Mahindra Bank is a fundamentally sound and well-capitalised institution, investors should be aware of the risks that could impact the bank's future performance and valuation. The bank's activities take place in a very tightly regulated and competitive market and its profitability is highly dependent on macro and policy developments.</w:t>
      </w:r>
    </w:p>
    <w:p w14:paraId="21738763" w14:textId="77777777" w:rsidR="008C36A9" w:rsidRPr="00ED140C" w:rsidRDefault="008C36A9" w:rsidP="004818A5">
      <w:pPr>
        <w:spacing w:before="16" w:after="16"/>
        <w:jc w:val="both"/>
        <w:rPr>
          <w:rFonts w:ascii="Calibri" w:eastAsia="Times New Roman" w:hAnsi="Calibri" w:cs="Calibri"/>
          <w:b/>
          <w:bCs/>
          <w:kern w:val="0"/>
          <w:sz w:val="24"/>
          <w:szCs w:val="24"/>
          <w14:ligatures w14:val="none"/>
        </w:rPr>
      </w:pPr>
      <w:r w:rsidRPr="00ED140C">
        <w:rPr>
          <w:rFonts w:ascii="Calibri" w:eastAsia="Times New Roman" w:hAnsi="Calibri" w:cs="Calibri"/>
          <w:b/>
          <w:bCs/>
          <w:kern w:val="0"/>
          <w:sz w:val="24"/>
          <w:szCs w:val="24"/>
          <w14:ligatures w14:val="none"/>
        </w:rPr>
        <w:t>Political &amp; Regulatory Risk</w:t>
      </w:r>
    </w:p>
    <w:p w14:paraId="52615E63" w14:textId="1A32C040" w:rsidR="008C36A9" w:rsidRPr="00626D23" w:rsidRDefault="006C7CEC" w:rsidP="004818A5">
      <w:pPr>
        <w:spacing w:before="16" w:after="16"/>
        <w:jc w:val="both"/>
        <w:rPr>
          <w:rFonts w:ascii="Calibri" w:eastAsia="Times New Roman" w:hAnsi="Calibri" w:cs="Calibri"/>
          <w:kern w:val="0"/>
          <w:sz w:val="24"/>
          <w:szCs w:val="24"/>
          <w14:ligatures w14:val="none"/>
        </w:rPr>
      </w:pPr>
      <w:r>
        <w:rPr>
          <w:rFonts w:ascii="Calibri" w:eastAsia="Times New Roman" w:hAnsi="Calibri" w:cs="Calibri"/>
          <w:kern w:val="0"/>
          <w:sz w:val="24"/>
          <w:szCs w:val="24"/>
          <w14:ligatures w14:val="none"/>
        </w:rPr>
        <w:t xml:space="preserve">Kotak </w:t>
      </w:r>
      <w:r w:rsidR="008C36A9" w:rsidRPr="00626D23">
        <w:rPr>
          <w:rFonts w:ascii="Calibri" w:eastAsia="Times New Roman" w:hAnsi="Calibri" w:cs="Calibri"/>
          <w:kern w:val="0"/>
          <w:sz w:val="24"/>
          <w:szCs w:val="24"/>
          <w14:ligatures w14:val="none"/>
        </w:rPr>
        <w:t xml:space="preserve">is under the close watch of the Reserve Bank of India (RBI). The regulatory changes regarding capital adequacy, provisioning norms, unsecured lending, IT and cybersecurity standards or exposure limits may have a significant impact on growth, margins, and the amount of investment needed. The recent incident when the RBI prohibited digital onboarding and card issuance (which was later lifted) is a case in point where supervisory actions have slowed down business momentum and created a negative perception. Future regulatory measures – even if intended for the good – </w:t>
      </w:r>
      <w:r w:rsidRPr="00626D23">
        <w:rPr>
          <w:rFonts w:ascii="Calibri" w:eastAsia="Times New Roman" w:hAnsi="Calibri" w:cs="Calibri"/>
          <w:kern w:val="0"/>
          <w:sz w:val="24"/>
          <w:szCs w:val="24"/>
          <w14:ligatures w14:val="none"/>
        </w:rPr>
        <w:t>remain</w:t>
      </w:r>
      <w:r w:rsidR="008C36A9" w:rsidRPr="00626D23">
        <w:rPr>
          <w:rFonts w:ascii="Calibri" w:eastAsia="Times New Roman" w:hAnsi="Calibri" w:cs="Calibri"/>
          <w:kern w:val="0"/>
          <w:sz w:val="24"/>
          <w:szCs w:val="24"/>
          <w14:ligatures w14:val="none"/>
        </w:rPr>
        <w:t xml:space="preserve"> an important risk factor for investors and need to be watched closely.</w:t>
      </w:r>
    </w:p>
    <w:p w14:paraId="0E31A396" w14:textId="77777777" w:rsidR="00442721" w:rsidRPr="00F60F67" w:rsidRDefault="00442721" w:rsidP="004818A5">
      <w:pPr>
        <w:spacing w:before="16" w:after="16"/>
        <w:jc w:val="both"/>
        <w:rPr>
          <w:rFonts w:ascii="Calibri" w:eastAsia="Times New Roman" w:hAnsi="Calibri" w:cs="Calibri"/>
          <w:b/>
          <w:bCs/>
          <w:kern w:val="0"/>
          <w:sz w:val="24"/>
          <w:szCs w:val="24"/>
          <w14:ligatures w14:val="none"/>
        </w:rPr>
      </w:pPr>
      <w:r w:rsidRPr="00F60F67">
        <w:rPr>
          <w:rFonts w:ascii="Calibri" w:eastAsia="Times New Roman" w:hAnsi="Calibri" w:cs="Calibri"/>
          <w:b/>
          <w:bCs/>
          <w:kern w:val="0"/>
          <w:sz w:val="24"/>
          <w:szCs w:val="24"/>
          <w14:ligatures w14:val="none"/>
        </w:rPr>
        <w:t>Economic Risk</w:t>
      </w:r>
    </w:p>
    <w:p w14:paraId="0017EB2F" w14:textId="6A7220F1" w:rsidR="00BC14CA" w:rsidRPr="00626D23" w:rsidRDefault="00BC14CA"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The economic cycle in India not only impacts Kotak’s revenues but also its asset quality. A drastic fall in GDP growth, difficulties in the MSME or corporate sectors, or sector-specific problems (like real estate, infrastructure, and NBFCs) could cause a rise in non-traditional assets and credit costs. However, Kotak’s </w:t>
      </w:r>
      <w:r w:rsidRPr="00626D23">
        <w:rPr>
          <w:rFonts w:ascii="Calibri" w:eastAsia="Times New Roman" w:hAnsi="Calibri" w:cs="Calibri"/>
          <w:kern w:val="0"/>
          <w:sz w:val="24"/>
          <w:szCs w:val="24"/>
          <w14:ligatures w14:val="none"/>
        </w:rPr>
        <w:lastRenderedPageBreak/>
        <w:t>conservative underwriting gives it a buffer, but still, a long-lasting recession would pressurize profitability and return on equity (ROE) in the case of Kotak.</w:t>
      </w:r>
    </w:p>
    <w:p w14:paraId="2B0238BE" w14:textId="3837BAEA" w:rsidR="00BC14CA" w:rsidRPr="00626D23" w:rsidRDefault="00BC14CA"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 bank's earnings are influenced by the fluctuations in interest rates and yield curves. A rapid policy tightening might have the opposite effect on loan demand and raise the cost of funds, while a quick decline in rates might affect the net interest income if the asset's yield re-prices faster than that of the liability. Given the premium valuation of Kotak, the margin contraction if it is not short-lived would be a de-rating event.</w:t>
      </w:r>
    </w:p>
    <w:p w14:paraId="0F478926" w14:textId="77777777" w:rsidR="00BC14CA" w:rsidRPr="00F60F67" w:rsidRDefault="00BC14CA" w:rsidP="004818A5">
      <w:pPr>
        <w:spacing w:before="16" w:after="16"/>
        <w:jc w:val="both"/>
        <w:rPr>
          <w:rFonts w:ascii="Calibri" w:eastAsia="Times New Roman" w:hAnsi="Calibri" w:cs="Calibri"/>
          <w:b/>
          <w:bCs/>
          <w:kern w:val="0"/>
          <w:sz w:val="24"/>
          <w:szCs w:val="24"/>
          <w14:ligatures w14:val="none"/>
        </w:rPr>
      </w:pPr>
      <w:r w:rsidRPr="00F60F67">
        <w:rPr>
          <w:rFonts w:ascii="Calibri" w:eastAsia="Times New Roman" w:hAnsi="Calibri" w:cs="Calibri"/>
          <w:b/>
          <w:bCs/>
          <w:kern w:val="0"/>
          <w:sz w:val="24"/>
          <w:szCs w:val="24"/>
          <w14:ligatures w14:val="none"/>
        </w:rPr>
        <w:t>Market Risk</w:t>
      </w:r>
    </w:p>
    <w:p w14:paraId="325BBA99" w14:textId="77777777" w:rsidR="00BC14CA" w:rsidRPr="00626D23" w:rsidRDefault="00BC14CA"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Due to its solid franchise and governance history, Kotak routinely commands a premium price-to-book multiple compared to its rivals. This premium restricts the area for disappointment: poor-than-expected growth, asset quality decline, or regulatory surprises might lead to a significantly negative reaction in the stock price. Disruptions in the broader market or the flight of foreign portfolio investors from Indian financials might also affect the stock, regardless of the company's fundamentals.</w:t>
      </w:r>
    </w:p>
    <w:p w14:paraId="1A4A0ABF" w14:textId="6CB53055" w:rsidR="00442721" w:rsidRPr="00626D23" w:rsidRDefault="00BC14CA"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There is intensifying competition between large private banks, strengthening public sector banks, small finance banks, and digital financial services in the areas of deposits, retail lending, and payments. If the large banks price aggressively or digitize faster, the consumers' loyalty may shift, and the Kotak may face a reduction in its market share, increasing the risk of losing consumers, especially in the retail and affluent segments, which are the high-growth areas.</w:t>
      </w:r>
    </w:p>
    <w:p w14:paraId="258B0F77" w14:textId="77777777" w:rsidR="00442721" w:rsidRPr="00F60F67" w:rsidRDefault="00442721" w:rsidP="004818A5">
      <w:pPr>
        <w:spacing w:before="16" w:after="16"/>
        <w:jc w:val="both"/>
        <w:rPr>
          <w:rFonts w:ascii="Calibri" w:eastAsia="Times New Roman" w:hAnsi="Calibri" w:cs="Calibri"/>
          <w:b/>
          <w:bCs/>
          <w:kern w:val="0"/>
          <w:sz w:val="24"/>
          <w:szCs w:val="24"/>
          <w14:ligatures w14:val="none"/>
        </w:rPr>
      </w:pPr>
      <w:r w:rsidRPr="00F60F67">
        <w:rPr>
          <w:rFonts w:ascii="Calibri" w:eastAsia="Times New Roman" w:hAnsi="Calibri" w:cs="Calibri"/>
          <w:b/>
          <w:bCs/>
          <w:kern w:val="0"/>
          <w:sz w:val="24"/>
          <w:szCs w:val="24"/>
          <w14:ligatures w14:val="none"/>
        </w:rPr>
        <w:t>Operational &amp; Technology Risk</w:t>
      </w:r>
    </w:p>
    <w:p w14:paraId="77DBBCEC" w14:textId="6CDD37B9" w:rsidR="00244F37" w:rsidRPr="00626D23" w:rsidRDefault="00244F3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 xml:space="preserve">Kotak’s strategy is mostly digital, as </w:t>
      </w:r>
      <w:r w:rsidR="00254E88" w:rsidRPr="00626D23">
        <w:rPr>
          <w:rFonts w:ascii="Calibri" w:eastAsia="Times New Roman" w:hAnsi="Calibri" w:cs="Calibri"/>
          <w:kern w:val="0"/>
          <w:sz w:val="24"/>
          <w:szCs w:val="24"/>
          <w14:ligatures w14:val="none"/>
        </w:rPr>
        <w:t>online,</w:t>
      </w:r>
      <w:r w:rsidRPr="00626D23">
        <w:rPr>
          <w:rFonts w:ascii="Calibri" w:eastAsia="Times New Roman" w:hAnsi="Calibri" w:cs="Calibri"/>
          <w:kern w:val="0"/>
          <w:sz w:val="24"/>
          <w:szCs w:val="24"/>
          <w14:ligatures w14:val="none"/>
        </w:rPr>
        <w:t xml:space="preserve"> and mobile platforms account for a significant portion of the transactions and new accounts. This reliance on IT infrastructure and cyber-security of the highest quality is created henceforth. On the contrary, system outages, data breaches, and tech failures can cause disruption in services as well as the loss of customer trust and regulatory </w:t>
      </w:r>
      <w:r w:rsidR="00F60F67" w:rsidRPr="00626D23">
        <w:rPr>
          <w:rFonts w:ascii="Calibri" w:eastAsia="Times New Roman" w:hAnsi="Calibri" w:cs="Calibri"/>
          <w:kern w:val="0"/>
          <w:sz w:val="24"/>
          <w:szCs w:val="24"/>
          <w14:ligatures w14:val="none"/>
        </w:rPr>
        <w:t>penalties since</w:t>
      </w:r>
      <w:r w:rsidRPr="00626D23">
        <w:rPr>
          <w:rFonts w:ascii="Calibri" w:eastAsia="Times New Roman" w:hAnsi="Calibri" w:cs="Calibri"/>
          <w:kern w:val="0"/>
          <w:sz w:val="24"/>
          <w:szCs w:val="24"/>
          <w14:ligatures w14:val="none"/>
        </w:rPr>
        <w:t xml:space="preserve"> the RBI had earlier mentioned these issues in terms of technology and risk management.</w:t>
      </w:r>
    </w:p>
    <w:p w14:paraId="1FFF8E15" w14:textId="1190C257" w:rsidR="00244F37" w:rsidRPr="00626D23" w:rsidRDefault="00244F3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 bank is diversifying its offering beyond existing products to new geographies and customer segments, which include affluent and NRIs as well as wealth management. Execution problems in these initiatives, such as product mispricing, insufficient risk filters, or inadequate integration of acquired portfolios, could affect both returns and asset quality.</w:t>
      </w:r>
    </w:p>
    <w:p w14:paraId="29FA82F6" w14:textId="77777777" w:rsidR="00244F37" w:rsidRPr="00F60F67" w:rsidRDefault="00244F37" w:rsidP="004818A5">
      <w:pPr>
        <w:spacing w:before="16" w:after="16"/>
        <w:jc w:val="both"/>
        <w:rPr>
          <w:rFonts w:ascii="Calibri" w:eastAsia="Times New Roman" w:hAnsi="Calibri" w:cs="Calibri"/>
          <w:b/>
          <w:bCs/>
          <w:kern w:val="0"/>
          <w:sz w:val="24"/>
          <w:szCs w:val="24"/>
          <w14:ligatures w14:val="none"/>
        </w:rPr>
      </w:pPr>
      <w:r w:rsidRPr="00F60F67">
        <w:rPr>
          <w:rFonts w:ascii="Calibri" w:eastAsia="Times New Roman" w:hAnsi="Calibri" w:cs="Calibri"/>
          <w:b/>
          <w:bCs/>
          <w:kern w:val="0"/>
          <w:sz w:val="24"/>
          <w:szCs w:val="24"/>
          <w14:ligatures w14:val="none"/>
        </w:rPr>
        <w:t>Governance &amp; Concentration Risk</w:t>
      </w:r>
    </w:p>
    <w:p w14:paraId="42855519" w14:textId="77777777" w:rsidR="00244F37" w:rsidRPr="00626D23" w:rsidRDefault="00244F3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The shift from the founder-led management to a more institutional leadership structure is almost finished, but any perceived governance lapse, board-level conflict, or misalignment between promoters, management and minority shareholders can be a dangerous risk because of the bank’s high quality franchise position.</w:t>
      </w:r>
    </w:p>
    <w:p w14:paraId="24FBD2D7" w14:textId="7501E734" w:rsidR="00442721" w:rsidRDefault="00244F37" w:rsidP="004818A5">
      <w:pPr>
        <w:spacing w:before="16" w:after="16"/>
        <w:jc w:val="both"/>
        <w:rPr>
          <w:rFonts w:ascii="Calibri" w:eastAsia="Times New Roman" w:hAnsi="Calibri" w:cs="Calibri"/>
          <w:kern w:val="0"/>
          <w:sz w:val="24"/>
          <w:szCs w:val="24"/>
          <w14:ligatures w14:val="none"/>
        </w:rPr>
      </w:pPr>
      <w:r w:rsidRPr="00626D23">
        <w:rPr>
          <w:rFonts w:ascii="Calibri" w:eastAsia="Times New Roman" w:hAnsi="Calibri" w:cs="Calibri"/>
          <w:kern w:val="0"/>
          <w:sz w:val="24"/>
          <w:szCs w:val="24"/>
          <w14:ligatures w14:val="none"/>
        </w:rPr>
        <w:t>Kotak maintains a diversified book, yet the concentration in certain sectors or with high-value borrowers can be problematic when stress scenario occurs. A default or restructuring in a few large exposures may have a disproportionately large effect on slippages and provisioning in any given year.</w:t>
      </w:r>
    </w:p>
    <w:p w14:paraId="25B899D4" w14:textId="77777777" w:rsidR="00F60F67" w:rsidRPr="00626D23" w:rsidRDefault="00F60F67" w:rsidP="004818A5">
      <w:pPr>
        <w:spacing w:before="16" w:after="16"/>
        <w:jc w:val="both"/>
        <w:rPr>
          <w:rFonts w:ascii="Calibri" w:eastAsia="Times New Roman" w:hAnsi="Calibri" w:cs="Calibri"/>
          <w:kern w:val="0"/>
          <w:sz w:val="24"/>
          <w:szCs w:val="24"/>
          <w14:ligatures w14:val="none"/>
        </w:rPr>
      </w:pPr>
    </w:p>
    <w:p w14:paraId="4A5343B5" w14:textId="77777777" w:rsidR="002E63C5" w:rsidRPr="00F60F67" w:rsidRDefault="002E63C5" w:rsidP="004818A5">
      <w:pPr>
        <w:spacing w:before="16" w:after="16"/>
        <w:jc w:val="both"/>
        <w:rPr>
          <w:rFonts w:ascii="Calibri" w:eastAsia="Times New Roman" w:hAnsi="Calibri" w:cs="Calibri"/>
          <w:color w:val="FF0000"/>
          <w:kern w:val="0"/>
          <w:sz w:val="32"/>
          <w:szCs w:val="32"/>
          <w14:ligatures w14:val="none"/>
        </w:rPr>
      </w:pPr>
      <w:r w:rsidRPr="00F60F67">
        <w:rPr>
          <w:rFonts w:ascii="Calibri" w:eastAsia="Times New Roman" w:hAnsi="Calibri" w:cs="Calibri"/>
          <w:color w:val="FF0000"/>
          <w:kern w:val="0"/>
          <w:sz w:val="32"/>
          <w:szCs w:val="32"/>
          <w14:ligatures w14:val="none"/>
        </w:rPr>
        <w:t>Conclusion and Recommendation</w:t>
      </w:r>
    </w:p>
    <w:p w14:paraId="2CCB699E" w14:textId="77777777" w:rsidR="00244F37" w:rsidRPr="00626D23" w:rsidRDefault="00244F37" w:rsidP="004818A5">
      <w:pPr>
        <w:spacing w:before="16" w:after="16"/>
        <w:jc w:val="both"/>
        <w:rPr>
          <w:rFonts w:ascii="Calibri" w:hAnsi="Calibri" w:cs="Calibri"/>
          <w:sz w:val="24"/>
          <w:szCs w:val="24"/>
        </w:rPr>
      </w:pPr>
      <w:r w:rsidRPr="00626D23">
        <w:rPr>
          <w:rFonts w:ascii="Calibri" w:hAnsi="Calibri" w:cs="Calibri"/>
          <w:sz w:val="24"/>
          <w:szCs w:val="24"/>
        </w:rPr>
        <w:t>The intrinsic valuation based on DCF of ₹3,172.65 per share signifies the firm, conservative risk profile and ample generation of free cash flows which will be compounded to equity of Kotak Mahindra Bank. On the other hand, however, the P/B multiples-based valuation of ₹1,686.96 per share indicates that the market already grants Kotak a premium for good governance, excellent asset quality, and sustainable earnings.</w:t>
      </w:r>
    </w:p>
    <w:p w14:paraId="129FA293" w14:textId="77777777" w:rsidR="00244F37" w:rsidRPr="00626D23" w:rsidRDefault="00244F37" w:rsidP="004818A5">
      <w:pPr>
        <w:spacing w:before="16" w:after="16"/>
        <w:jc w:val="both"/>
        <w:rPr>
          <w:rFonts w:ascii="Calibri" w:hAnsi="Calibri" w:cs="Calibri"/>
          <w:sz w:val="24"/>
          <w:szCs w:val="24"/>
        </w:rPr>
      </w:pPr>
      <w:r w:rsidRPr="00626D23">
        <w:rPr>
          <w:rFonts w:ascii="Calibri" w:hAnsi="Calibri" w:cs="Calibri"/>
          <w:sz w:val="24"/>
          <w:szCs w:val="24"/>
        </w:rPr>
        <w:t>A blended fair value of ₹2,281.24 per share (DCF weighted 40% and P/B 60%) indicates the current market price of ₹2,147.75 is around 6% undervalued. Thus, it supports a HOLD / ACCUMULATE recommendation which expresses a combination of near-term valuation balance and long-term compounding potential.</w:t>
      </w:r>
    </w:p>
    <w:p w14:paraId="2607B989" w14:textId="0603D340" w:rsidR="00244F37" w:rsidRPr="00626D23" w:rsidRDefault="00F21D54" w:rsidP="004818A5">
      <w:pPr>
        <w:spacing w:before="16" w:after="16"/>
        <w:jc w:val="both"/>
        <w:rPr>
          <w:rFonts w:ascii="Calibri" w:hAnsi="Calibri" w:cs="Calibri"/>
          <w:sz w:val="24"/>
          <w:szCs w:val="24"/>
        </w:rPr>
      </w:pPr>
      <w:r>
        <w:rPr>
          <w:noProof/>
        </w:rPr>
        <w:lastRenderedPageBreak/>
        <w:drawing>
          <wp:anchor distT="0" distB="0" distL="114300" distR="114300" simplePos="0" relativeHeight="251685376" behindDoc="0" locked="0" layoutInCell="1" allowOverlap="1" wp14:anchorId="49F8E627" wp14:editId="5BCBE25D">
            <wp:simplePos x="0" y="0"/>
            <wp:positionH relativeFrom="margin">
              <wp:align>right</wp:align>
            </wp:positionH>
            <wp:positionV relativeFrom="paragraph">
              <wp:posOffset>540716</wp:posOffset>
            </wp:positionV>
            <wp:extent cx="4182745" cy="2122805"/>
            <wp:effectExtent l="0" t="0" r="8255" b="10795"/>
            <wp:wrapThrough wrapText="bothSides">
              <wp:wrapPolygon edited="0">
                <wp:start x="0" y="0"/>
                <wp:lineTo x="0" y="21516"/>
                <wp:lineTo x="21544" y="21516"/>
                <wp:lineTo x="21544" y="0"/>
                <wp:lineTo x="0" y="0"/>
              </wp:wrapPolygon>
            </wp:wrapThrough>
            <wp:docPr id="291947071"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244F37" w:rsidRPr="00626D23">
        <w:rPr>
          <w:rFonts w:ascii="Calibri" w:hAnsi="Calibri" w:cs="Calibri"/>
          <w:sz w:val="24"/>
          <w:szCs w:val="24"/>
        </w:rPr>
        <w:t xml:space="preserve">To talk about the key risks like—regulatory tightening, margin pressure from interest rate cycles, and increase in competition not only from other private banks but also </w:t>
      </w:r>
      <w:r w:rsidR="00DB79D6" w:rsidRPr="00626D23">
        <w:rPr>
          <w:rFonts w:ascii="Calibri" w:hAnsi="Calibri" w:cs="Calibri"/>
          <w:sz w:val="24"/>
          <w:szCs w:val="24"/>
        </w:rPr>
        <w:t>fintech</w:t>
      </w:r>
      <w:r w:rsidR="00244F37" w:rsidRPr="00626D23">
        <w:rPr>
          <w:rFonts w:ascii="Calibri" w:hAnsi="Calibri" w:cs="Calibri"/>
          <w:sz w:val="24"/>
          <w:szCs w:val="24"/>
        </w:rPr>
        <w:t>, and digital and cyber-security challenges—Kotak's strong fundamentals mark a significant safety barrier. The bank's high capital adequacy (&gt;23%), industry-leading asset quality (GNPA ~1.5%), consistent profitability (ROE ~15%), and diversified earnings mix are all factors that together position it favorably to face both cyclical and regulatory challenges.</w:t>
      </w:r>
    </w:p>
    <w:p w14:paraId="7FDAC449" w14:textId="50591EEA" w:rsidR="006A760D" w:rsidRPr="00626D23" w:rsidRDefault="006A760D" w:rsidP="004818A5">
      <w:pPr>
        <w:spacing w:before="16" w:after="16"/>
        <w:jc w:val="both"/>
        <w:rPr>
          <w:rFonts w:ascii="Calibri" w:hAnsi="Calibri" w:cs="Calibri"/>
          <w:sz w:val="24"/>
          <w:szCs w:val="24"/>
        </w:rPr>
      </w:pPr>
      <w:r w:rsidRPr="00626D23">
        <w:rPr>
          <w:rFonts w:ascii="Calibri" w:hAnsi="Calibri" w:cs="Calibri"/>
          <w:sz w:val="24"/>
          <w:szCs w:val="24"/>
        </w:rPr>
        <w:t xml:space="preserve">Furthermore, Kotak’s </w:t>
      </w:r>
      <w:r w:rsidRPr="00626D23">
        <w:rPr>
          <w:rStyle w:val="Strong"/>
          <w:rFonts w:ascii="Calibri" w:hAnsi="Calibri" w:cs="Calibri"/>
          <w:b w:val="0"/>
          <w:bCs w:val="0"/>
          <w:sz w:val="24"/>
          <w:szCs w:val="24"/>
        </w:rPr>
        <w:t>prudent risk management culture</w:t>
      </w:r>
      <w:r w:rsidRPr="00626D23">
        <w:rPr>
          <w:rFonts w:ascii="Calibri" w:hAnsi="Calibri" w:cs="Calibri"/>
          <w:sz w:val="24"/>
          <w:szCs w:val="24"/>
        </w:rPr>
        <w:t xml:space="preserve">, </w:t>
      </w:r>
      <w:r w:rsidRPr="00626D23">
        <w:rPr>
          <w:rStyle w:val="Strong"/>
          <w:rFonts w:ascii="Calibri" w:hAnsi="Calibri" w:cs="Calibri"/>
          <w:b w:val="0"/>
          <w:bCs w:val="0"/>
          <w:sz w:val="24"/>
          <w:szCs w:val="24"/>
        </w:rPr>
        <w:t>granular deposit franchise</w:t>
      </w:r>
      <w:r w:rsidRPr="00626D23">
        <w:rPr>
          <w:rFonts w:ascii="Calibri" w:hAnsi="Calibri" w:cs="Calibri"/>
          <w:sz w:val="24"/>
          <w:szCs w:val="24"/>
        </w:rPr>
        <w:t xml:space="preserve">, and </w:t>
      </w:r>
      <w:r w:rsidRPr="00626D23">
        <w:rPr>
          <w:rStyle w:val="Strong"/>
          <w:rFonts w:ascii="Calibri" w:hAnsi="Calibri" w:cs="Calibri"/>
          <w:b w:val="0"/>
          <w:bCs w:val="0"/>
          <w:sz w:val="24"/>
          <w:szCs w:val="24"/>
        </w:rPr>
        <w:t>digital-first operating model</w:t>
      </w:r>
      <w:r w:rsidRPr="00626D23">
        <w:rPr>
          <w:rFonts w:ascii="Calibri" w:hAnsi="Calibri" w:cs="Calibri"/>
          <w:sz w:val="24"/>
          <w:szCs w:val="24"/>
        </w:rPr>
        <w:t xml:space="preserve"> collectively mitigate the downside from macro and operational uncertainties. While external shocks or regulatory interventions may cause temporary volatility, the long-term structural story remains intact.</w:t>
      </w:r>
    </w:p>
    <w:p w14:paraId="1DDEF81A" w14:textId="6BF1928A" w:rsidR="00C76308" w:rsidRDefault="00C76308" w:rsidP="004818A5">
      <w:pPr>
        <w:spacing w:before="16" w:after="16"/>
        <w:jc w:val="both"/>
        <w:rPr>
          <w:rStyle w:val="Strong"/>
          <w:rFonts w:ascii="Calibri" w:hAnsi="Calibri" w:cs="Calibri"/>
          <w:b w:val="0"/>
          <w:bCs w:val="0"/>
          <w:sz w:val="24"/>
          <w:szCs w:val="24"/>
        </w:rPr>
      </w:pPr>
      <w:r w:rsidRPr="00626D23">
        <w:rPr>
          <w:rStyle w:val="Strong"/>
          <w:rFonts w:ascii="Calibri" w:hAnsi="Calibri" w:cs="Calibri"/>
          <w:b w:val="0"/>
          <w:bCs w:val="0"/>
          <w:sz w:val="24"/>
          <w:szCs w:val="24"/>
        </w:rPr>
        <w:t>Ultimately, notwithstanding the major regulatory, market, and operational risk factors, Kotak Mahindra Bank's solid financial statements, excellent profits, and controlled management allow the analysts to keep the stock under HOLD / ACCUMULATE with the growth visibility and good financial management as well.</w:t>
      </w:r>
    </w:p>
    <w:p w14:paraId="4A88B5D8" w14:textId="77777777" w:rsidR="00F21D54" w:rsidRDefault="00DB79D6" w:rsidP="00ED140C">
      <w:pPr>
        <w:spacing w:before="16" w:after="16"/>
        <w:jc w:val="both"/>
        <w:rPr>
          <w:rFonts w:ascii="Calibri" w:eastAsia="Times New Roman" w:hAnsi="Calibri" w:cs="Calibri"/>
          <w:kern w:val="0"/>
          <w:sz w:val="24"/>
          <w:szCs w:val="24"/>
          <w14:ligatures w14:val="none"/>
        </w:rPr>
      </w:pPr>
      <w:r w:rsidRPr="00DB79D6">
        <w:rPr>
          <w:rFonts w:ascii="Calibri" w:eastAsia="Times New Roman" w:hAnsi="Calibri" w:cs="Calibri"/>
          <w:kern w:val="0"/>
          <w:sz w:val="24"/>
          <w:szCs w:val="24"/>
          <w14:ligatures w14:val="none"/>
        </w:rPr>
        <w:t xml:space="preserve">Even though its fundamentals are very strong, Kotak Mahindra Bank is still facing </w:t>
      </w:r>
      <w:r w:rsidRPr="00DB79D6">
        <w:rPr>
          <w:rFonts w:ascii="Calibri" w:eastAsia="Times New Roman" w:hAnsi="Calibri" w:cs="Calibri"/>
          <w:kern w:val="0"/>
          <w:sz w:val="24"/>
          <w:szCs w:val="24"/>
          <w14:ligatures w14:val="none"/>
        </w:rPr>
        <w:t>several</w:t>
      </w:r>
      <w:r w:rsidRPr="00DB79D6">
        <w:rPr>
          <w:rFonts w:ascii="Calibri" w:eastAsia="Times New Roman" w:hAnsi="Calibri" w:cs="Calibri"/>
          <w:kern w:val="0"/>
          <w:sz w:val="24"/>
          <w:szCs w:val="24"/>
          <w14:ligatures w14:val="none"/>
        </w:rPr>
        <w:t xml:space="preserve"> challenges which might limit its performance in future. The growth of the bank </w:t>
      </w:r>
      <w:r w:rsidRPr="00DB79D6">
        <w:rPr>
          <w:rFonts w:ascii="Calibri" w:eastAsia="Times New Roman" w:hAnsi="Calibri" w:cs="Calibri"/>
          <w:kern w:val="0"/>
          <w:sz w:val="24"/>
          <w:szCs w:val="24"/>
          <w14:ligatures w14:val="none"/>
        </w:rPr>
        <w:t>remains</w:t>
      </w:r>
      <w:r w:rsidRPr="00DB79D6">
        <w:rPr>
          <w:rFonts w:ascii="Calibri" w:eastAsia="Times New Roman" w:hAnsi="Calibri" w:cs="Calibri"/>
          <w:kern w:val="0"/>
          <w:sz w:val="24"/>
          <w:szCs w:val="24"/>
          <w14:ligatures w14:val="none"/>
        </w:rPr>
        <w:t xml:space="preserve"> moderate when compared to the bigger rivals like HDFC Bank and ICICI Bank, both of which have better rural penetration and more aggressive loan expansion. Kotak’s cautious lending policy assures stability but at the same time it could limit the gaining of market shares. On top of that, the bank </w:t>
      </w:r>
      <w:r w:rsidR="00287C52" w:rsidRPr="00DB79D6">
        <w:rPr>
          <w:rFonts w:ascii="Calibri" w:eastAsia="Times New Roman" w:hAnsi="Calibri" w:cs="Calibri"/>
          <w:kern w:val="0"/>
          <w:sz w:val="24"/>
          <w:szCs w:val="24"/>
          <w14:ligatures w14:val="none"/>
        </w:rPr>
        <w:t>must</w:t>
      </w:r>
      <w:r w:rsidRPr="00DB79D6">
        <w:rPr>
          <w:rFonts w:ascii="Calibri" w:eastAsia="Times New Roman" w:hAnsi="Calibri" w:cs="Calibri"/>
          <w:kern w:val="0"/>
          <w:sz w:val="24"/>
          <w:szCs w:val="24"/>
          <w14:ligatures w14:val="none"/>
        </w:rPr>
        <w:t xml:space="preserve"> de</w:t>
      </w:r>
      <w:r>
        <w:rPr>
          <w:rFonts w:ascii="Calibri" w:eastAsia="Times New Roman" w:hAnsi="Calibri" w:cs="Calibri"/>
          <w:kern w:val="0"/>
          <w:sz w:val="24"/>
          <w:szCs w:val="24"/>
          <w14:ligatures w14:val="none"/>
        </w:rPr>
        <w:t>al</w:t>
      </w:r>
      <w:r w:rsidRPr="00DB79D6">
        <w:rPr>
          <w:rFonts w:ascii="Calibri" w:eastAsia="Times New Roman" w:hAnsi="Calibri" w:cs="Calibri"/>
          <w:kern w:val="0"/>
          <w:sz w:val="24"/>
          <w:szCs w:val="24"/>
          <w14:ligatures w14:val="none"/>
        </w:rPr>
        <w:t xml:space="preserve"> with competing and regulating pressures that are getting stronger, with both private and public sector banks broadening their digital offerings and complying with the changing RBI rules which might have a negative impact on their margins. The premium valuation of Kotak, which is one of the highest price-to-book ratios among peers, clearly indicates the quality of the bank but on the other hand, it also means that the upside is limited unless the profitability or market share improves significantly. Lastly, the bank is exposed to the risk of macroeconomic and credit cycles, such as the potential slowdown in SME or unsecured retail segments and the rising volatility of interest rates, which can negatively affect the quality of the bank’s assets and loan growth even though Kotak has a strong risk management system in place.</w:t>
      </w:r>
    </w:p>
    <w:p w14:paraId="5041C7B8" w14:textId="79B50F09" w:rsidR="00ED140C" w:rsidRPr="00626D23" w:rsidRDefault="00F21D54" w:rsidP="00ED140C">
      <w:pPr>
        <w:spacing w:before="16" w:after="16"/>
        <w:jc w:val="both"/>
        <w:rPr>
          <w:rFonts w:ascii="Calibri" w:eastAsia="Times New Roman" w:hAnsi="Calibri" w:cs="Calibri"/>
          <w:kern w:val="0"/>
          <w:sz w:val="24"/>
          <w:szCs w:val="24"/>
          <w14:ligatures w14:val="none"/>
        </w:rPr>
      </w:pPr>
      <w:r w:rsidRPr="0079125D">
        <w:rPr>
          <w:rFonts w:ascii="Calibri" w:hAnsi="Calibri" w:cs="Calibri"/>
          <w:noProof/>
          <w:sz w:val="24"/>
          <w:szCs w:val="24"/>
        </w:rPr>
        <w:lastRenderedPageBreak/>
        <w:drawing>
          <wp:anchor distT="0" distB="0" distL="114300" distR="114300" simplePos="0" relativeHeight="251674624" behindDoc="1" locked="0" layoutInCell="1" allowOverlap="1" wp14:anchorId="320EB7DE" wp14:editId="47F1C712">
            <wp:simplePos x="0" y="0"/>
            <wp:positionH relativeFrom="margin">
              <wp:align>right</wp:align>
            </wp:positionH>
            <wp:positionV relativeFrom="paragraph">
              <wp:posOffset>200025</wp:posOffset>
            </wp:positionV>
            <wp:extent cx="6845935" cy="3104515"/>
            <wp:effectExtent l="0" t="0" r="0" b="635"/>
            <wp:wrapTight wrapText="bothSides">
              <wp:wrapPolygon edited="0">
                <wp:start x="0" y="0"/>
                <wp:lineTo x="0" y="21472"/>
                <wp:lineTo x="21518" y="21472"/>
                <wp:lineTo x="21518" y="0"/>
                <wp:lineTo x="0" y="0"/>
              </wp:wrapPolygon>
            </wp:wrapTight>
            <wp:docPr id="922143619" name="Picture 11" descr="A graph of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3619" name="Picture 11" descr="A graph of stock marke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45935" cy="3104515"/>
                    </a:xfrm>
                    <a:prstGeom prst="rect">
                      <a:avLst/>
                    </a:prstGeom>
                    <a:noFill/>
                  </pic:spPr>
                </pic:pic>
              </a:graphicData>
            </a:graphic>
            <wp14:sizeRelH relativeFrom="margin">
              <wp14:pctWidth>0</wp14:pctWidth>
            </wp14:sizeRelH>
            <wp14:sizeRelV relativeFrom="margin">
              <wp14:pctHeight>0</wp14:pctHeight>
            </wp14:sizeRelV>
          </wp:anchor>
        </w:drawing>
      </w:r>
      <w:r w:rsidR="00ED140C" w:rsidRPr="00626D23">
        <w:rPr>
          <w:rFonts w:ascii="Calibri" w:eastAsia="Times New Roman" w:hAnsi="Calibri" w:cs="Calibri"/>
          <w:kern w:val="0"/>
          <w:sz w:val="24"/>
          <w:szCs w:val="24"/>
          <w14:ligatures w14:val="none"/>
        </w:rPr>
        <w:br/>
      </w:r>
    </w:p>
    <w:p w14:paraId="0DE0C275" w14:textId="77777777" w:rsidR="00C76308" w:rsidRPr="00626D23" w:rsidRDefault="00C76308" w:rsidP="004818A5">
      <w:pPr>
        <w:spacing w:before="16" w:after="16"/>
        <w:jc w:val="both"/>
        <w:rPr>
          <w:rStyle w:val="Strong"/>
          <w:rFonts w:ascii="Calibri" w:hAnsi="Calibri" w:cs="Calibri"/>
          <w:b w:val="0"/>
          <w:bCs w:val="0"/>
          <w:sz w:val="24"/>
          <w:szCs w:val="24"/>
        </w:rPr>
      </w:pPr>
    </w:p>
    <w:p w14:paraId="0290C126" w14:textId="77777777" w:rsidR="00C76308" w:rsidRPr="00F21D54" w:rsidRDefault="00C76308" w:rsidP="004818A5">
      <w:pPr>
        <w:spacing w:before="16" w:after="16"/>
        <w:jc w:val="both"/>
        <w:rPr>
          <w:rStyle w:val="Strong"/>
          <w:rFonts w:ascii="Calibri" w:hAnsi="Calibri" w:cs="Calibri"/>
          <w:sz w:val="24"/>
          <w:szCs w:val="24"/>
        </w:rPr>
      </w:pPr>
      <w:r w:rsidRPr="00F21D54">
        <w:rPr>
          <w:rStyle w:val="Strong"/>
          <w:rFonts w:ascii="Calibri" w:hAnsi="Calibri" w:cs="Calibri"/>
          <w:sz w:val="24"/>
          <w:szCs w:val="24"/>
        </w:rPr>
        <w:t>Disclaimer:</w:t>
      </w:r>
    </w:p>
    <w:p w14:paraId="4103EEF9" w14:textId="2B5F0323" w:rsidR="0003127E" w:rsidRPr="0079125D" w:rsidRDefault="00C76308" w:rsidP="004818A5">
      <w:pPr>
        <w:spacing w:before="16" w:after="16"/>
        <w:jc w:val="both"/>
        <w:rPr>
          <w:rFonts w:ascii="Times New Roman" w:eastAsia="Times New Roman" w:hAnsi="Times New Roman" w:cs="Times New Roman"/>
          <w:kern w:val="0"/>
          <w14:ligatures w14:val="none"/>
        </w:rPr>
      </w:pPr>
      <w:r w:rsidRPr="00626D23">
        <w:rPr>
          <w:rStyle w:val="Strong"/>
          <w:rFonts w:ascii="Calibri" w:hAnsi="Calibri" w:cs="Calibri"/>
          <w:b w:val="0"/>
          <w:bCs w:val="0"/>
          <w:sz w:val="24"/>
          <w:szCs w:val="24"/>
        </w:rPr>
        <w:t xml:space="preserve">This document has been produced for academic purposes only within the scope of the Master of Finance program at Dublin City University. The information provided and used for the report has come from sources that are considered </w:t>
      </w:r>
      <w:r w:rsidR="005040BC" w:rsidRPr="00626D23">
        <w:rPr>
          <w:rStyle w:val="Strong"/>
          <w:rFonts w:ascii="Calibri" w:hAnsi="Calibri" w:cs="Calibri"/>
          <w:b w:val="0"/>
          <w:bCs w:val="0"/>
          <w:sz w:val="24"/>
          <w:szCs w:val="24"/>
        </w:rPr>
        <w:t>trustworthy,</w:t>
      </w:r>
      <w:r w:rsidRPr="00626D23">
        <w:rPr>
          <w:rStyle w:val="Strong"/>
          <w:rFonts w:ascii="Calibri" w:hAnsi="Calibri" w:cs="Calibri"/>
          <w:b w:val="0"/>
          <w:bCs w:val="0"/>
          <w:sz w:val="24"/>
          <w:szCs w:val="24"/>
        </w:rPr>
        <w:t xml:space="preserve"> but the author does not guarantee or take any responsibility for its correctness or completeness. The report is not an investment advice or an invitation to buy or sell any security.</w:t>
      </w:r>
      <w:r w:rsidR="0003127E" w:rsidRPr="0079125D">
        <w:br w:type="page"/>
      </w:r>
    </w:p>
    <w:p w14:paraId="26251740" w14:textId="46BB1623" w:rsidR="004E5DAC" w:rsidRPr="00F21D54" w:rsidRDefault="0003127E" w:rsidP="0003127E">
      <w:pPr>
        <w:pStyle w:val="NormalWeb"/>
        <w:ind w:left="720"/>
        <w:rPr>
          <w:rFonts w:ascii="Calibri" w:hAnsi="Calibri" w:cs="Calibri"/>
          <w:b/>
          <w:bCs/>
          <w:sz w:val="32"/>
          <w:szCs w:val="32"/>
        </w:rPr>
      </w:pPr>
      <w:r w:rsidRPr="00F21D54">
        <w:rPr>
          <w:rFonts w:ascii="Calibri" w:hAnsi="Calibri" w:cs="Calibri"/>
          <w:b/>
          <w:bCs/>
          <w:sz w:val="32"/>
          <w:szCs w:val="32"/>
        </w:rPr>
        <w:lastRenderedPageBreak/>
        <w:t>References</w:t>
      </w:r>
    </w:p>
    <w:p w14:paraId="587ECAAC" w14:textId="6FFF637F" w:rsidR="0003127E" w:rsidRPr="0079125D" w:rsidRDefault="008A3A56" w:rsidP="0003127E">
      <w:pPr>
        <w:pStyle w:val="NormalWeb"/>
        <w:ind w:left="720"/>
      </w:pPr>
      <w:r>
        <w:t>News gathered from:</w:t>
      </w:r>
    </w:p>
    <w:p w14:paraId="19709BDA" w14:textId="77777777" w:rsidR="00ED5919" w:rsidRPr="0079125D" w:rsidRDefault="00000000" w:rsidP="00ED5919">
      <w:pPr>
        <w:pStyle w:val="NormalWeb"/>
        <w:numPr>
          <w:ilvl w:val="0"/>
          <w:numId w:val="7"/>
        </w:numPr>
      </w:pPr>
      <w:hyperlink r:id="rId19" w:history="1">
        <w:r w:rsidR="0003127E" w:rsidRPr="0079125D">
          <w:rPr>
            <w:rStyle w:val="Hyperlink"/>
          </w:rPr>
          <w:t>https://in.investing.com/news/analyst-ratings/kotak-mahindra-bank-stock-rating-upgraded-by-bofa-on-turnaround-potential-93CH-5065116</w:t>
        </w:r>
      </w:hyperlink>
    </w:p>
    <w:p w14:paraId="0718CA98" w14:textId="757B6222" w:rsidR="00A46E72" w:rsidRPr="0079125D" w:rsidRDefault="00000000" w:rsidP="00ED5919">
      <w:pPr>
        <w:pStyle w:val="NormalWeb"/>
        <w:numPr>
          <w:ilvl w:val="0"/>
          <w:numId w:val="7"/>
        </w:numPr>
      </w:pPr>
      <w:hyperlink r:id="rId20" w:history="1">
        <w:r w:rsidR="00ED5919" w:rsidRPr="0079125D">
          <w:rPr>
            <w:rStyle w:val="Hyperlink"/>
          </w:rPr>
          <w:t>https://www.reuters.com/world/india/indias-kotak-mahindra-bank-consider-stock-split-2025-11-14/</w:t>
        </w:r>
      </w:hyperlink>
    </w:p>
    <w:p w14:paraId="3384F086" w14:textId="06F42A1D" w:rsidR="00E4199D" w:rsidRPr="0079125D" w:rsidRDefault="00000000" w:rsidP="00671199">
      <w:pPr>
        <w:pStyle w:val="NormalWeb"/>
        <w:numPr>
          <w:ilvl w:val="0"/>
          <w:numId w:val="7"/>
        </w:numPr>
      </w:pPr>
      <w:hyperlink r:id="rId21" w:history="1">
        <w:r w:rsidR="00E4199D" w:rsidRPr="0079125D">
          <w:rPr>
            <w:rStyle w:val="Hyperlink"/>
          </w:rPr>
          <w:t>https://www.reddit.com/r/CreditCardsIndia/comments/1h6gujh/when_will_kotak_mahindra_bank_restart_issuing_new/</w:t>
        </w:r>
      </w:hyperlink>
    </w:p>
    <w:p w14:paraId="242FB995" w14:textId="480C629E" w:rsidR="00F14F30" w:rsidRPr="0079125D" w:rsidRDefault="003B01B6" w:rsidP="00671199">
      <w:pPr>
        <w:pStyle w:val="NormalWeb"/>
        <w:numPr>
          <w:ilvl w:val="0"/>
          <w:numId w:val="7"/>
        </w:numPr>
      </w:pPr>
      <w:hyperlink r:id="rId22" w:history="1">
        <w:r w:rsidRPr="0079125D">
          <w:rPr>
            <w:rStyle w:val="Hyperlink"/>
          </w:rPr>
          <w:t>https://www.reuters.com/world/india/indias-kotak-mahindra-bank-misses-quarterly-profit-estimates-higher-provisions-2025-10-25/</w:t>
        </w:r>
      </w:hyperlink>
    </w:p>
    <w:p w14:paraId="71F1F8A8" w14:textId="5918048E" w:rsidR="0028515F" w:rsidRPr="0079125D" w:rsidRDefault="00621CDE" w:rsidP="00671199">
      <w:pPr>
        <w:pStyle w:val="NormalWeb"/>
        <w:numPr>
          <w:ilvl w:val="0"/>
          <w:numId w:val="7"/>
        </w:numPr>
      </w:pPr>
      <w:hyperlink r:id="rId23" w:history="1">
        <w:r w:rsidRPr="0079125D">
          <w:rPr>
            <w:rStyle w:val="Hyperlink"/>
          </w:rPr>
          <w:t>https://www.livemint.com/market/stock-market-news/kotak-mahindra-bank-stock-split-lender-fixes-board-meet-date-to-consider-first-such-move-in-15-years-11763119606894.html</w:t>
        </w:r>
      </w:hyperlink>
    </w:p>
    <w:p w14:paraId="61263B6D" w14:textId="49360AFE" w:rsidR="00621CDE" w:rsidRPr="0079125D" w:rsidRDefault="00DE67E5" w:rsidP="00671199">
      <w:pPr>
        <w:pStyle w:val="NormalWeb"/>
        <w:numPr>
          <w:ilvl w:val="0"/>
          <w:numId w:val="7"/>
        </w:numPr>
      </w:pPr>
      <w:hyperlink r:id="rId24" w:history="1">
        <w:r w:rsidRPr="0079125D">
          <w:rPr>
            <w:rStyle w:val="Hyperlink"/>
          </w:rPr>
          <w:t>https://www.peoplematters.in/news/compensation-benefits/kotak-ceo-draws-indian-rupee1295-cr-tops-bank-salary-charts-in-fy25-42136</w:t>
        </w:r>
      </w:hyperlink>
    </w:p>
    <w:p w14:paraId="446A5DD1" w14:textId="5AB1C8B6" w:rsidR="00D87CB1" w:rsidRDefault="00586F64" w:rsidP="008A3A56">
      <w:pPr>
        <w:pStyle w:val="NormalWeb"/>
        <w:ind w:left="720"/>
      </w:pPr>
      <w:r>
        <w:t>Historical data gathered from:</w:t>
      </w:r>
    </w:p>
    <w:p w14:paraId="1F9665E6" w14:textId="0E138004" w:rsidR="00586F64" w:rsidRDefault="00CF604E" w:rsidP="00CF604E">
      <w:pPr>
        <w:pStyle w:val="NormalWeb"/>
        <w:numPr>
          <w:ilvl w:val="0"/>
          <w:numId w:val="29"/>
        </w:numPr>
      </w:pPr>
      <w:hyperlink r:id="rId25" w:history="1">
        <w:r w:rsidRPr="00A425C4">
          <w:rPr>
            <w:rStyle w:val="Hyperlink"/>
          </w:rPr>
          <w:t>https://www.kotak.bank.in/en/home.html</w:t>
        </w:r>
      </w:hyperlink>
    </w:p>
    <w:p w14:paraId="500090CF" w14:textId="77777777" w:rsidR="00695E33" w:rsidRDefault="000466E7" w:rsidP="00695E33">
      <w:pPr>
        <w:pStyle w:val="NormalWeb"/>
        <w:ind w:left="720"/>
      </w:pPr>
      <w:r>
        <w:t>Different growth gathered from:</w:t>
      </w:r>
    </w:p>
    <w:p w14:paraId="1F416982" w14:textId="36AD187D" w:rsidR="00695E33" w:rsidRDefault="00695E33" w:rsidP="00695E33">
      <w:pPr>
        <w:pStyle w:val="NormalWeb"/>
        <w:numPr>
          <w:ilvl w:val="0"/>
          <w:numId w:val="34"/>
        </w:numPr>
        <w:rPr>
          <w:rFonts w:ascii="Calibri" w:hAnsi="Calibri" w:cs="Calibri"/>
          <w:color w:val="0000FF"/>
          <w:u w:val="single"/>
        </w:rPr>
      </w:pPr>
      <w:hyperlink r:id="rId26" w:history="1">
        <w:r w:rsidRPr="00695E33">
          <w:rPr>
            <w:rStyle w:val="Hyperlink"/>
            <w:rFonts w:ascii="Calibri" w:hAnsi="Calibri" w:cs="Calibri"/>
          </w:rPr>
          <w:t>https://www.screener.in/company/KOTAKBANK/consolidated/</w:t>
        </w:r>
      </w:hyperlink>
    </w:p>
    <w:p w14:paraId="2A6E8690" w14:textId="5005C18E" w:rsidR="00695E33" w:rsidRDefault="00355FD6" w:rsidP="00355FD6">
      <w:pPr>
        <w:pStyle w:val="NormalWeb"/>
        <w:numPr>
          <w:ilvl w:val="0"/>
          <w:numId w:val="34"/>
        </w:numPr>
        <w:rPr>
          <w:u w:val="single"/>
        </w:rPr>
      </w:pPr>
      <w:hyperlink r:id="rId27" w:history="1">
        <w:r w:rsidRPr="00355FD6">
          <w:rPr>
            <w:rStyle w:val="Hyperlink"/>
          </w:rPr>
          <w:t>https://finbox.com/BSE%3A500247/explorer/total_rev_cagr_5y/</w:t>
        </w:r>
      </w:hyperlink>
    </w:p>
    <w:p w14:paraId="02238703" w14:textId="77777777" w:rsidR="00FB6F26" w:rsidRPr="00FB6F26" w:rsidRDefault="00FB6F26" w:rsidP="00FB6F26">
      <w:pPr>
        <w:pStyle w:val="NormalWeb"/>
        <w:numPr>
          <w:ilvl w:val="0"/>
          <w:numId w:val="34"/>
        </w:numPr>
        <w:rPr>
          <w:u w:val="single"/>
        </w:rPr>
      </w:pPr>
      <w:hyperlink r:id="rId28" w:history="1">
        <w:r w:rsidRPr="00FB6F26">
          <w:rPr>
            <w:rStyle w:val="Hyperlink"/>
          </w:rPr>
          <w:t>https://finbox.com/NSEI%3AKOTAKBANK/explorer/oper_inc_cagr_5y/</w:t>
        </w:r>
      </w:hyperlink>
    </w:p>
    <w:p w14:paraId="5124CBE9" w14:textId="77777777" w:rsidR="00FB6F26" w:rsidRPr="00FB6F26" w:rsidRDefault="00FB6F26" w:rsidP="00FB6F26">
      <w:pPr>
        <w:pStyle w:val="NormalWeb"/>
        <w:numPr>
          <w:ilvl w:val="0"/>
          <w:numId w:val="34"/>
        </w:numPr>
        <w:rPr>
          <w:u w:val="single"/>
        </w:rPr>
      </w:pPr>
      <w:hyperlink r:id="rId29" w:history="1">
        <w:r w:rsidRPr="00FB6F26">
          <w:rPr>
            <w:rStyle w:val="Hyperlink"/>
          </w:rPr>
          <w:t>https://www.alphaspread.com/security/nse/kotakbank/analyst-estimates</w:t>
        </w:r>
      </w:hyperlink>
    </w:p>
    <w:p w14:paraId="61623955" w14:textId="77777777" w:rsidR="00C6722D" w:rsidRPr="00C6722D" w:rsidRDefault="00C6722D" w:rsidP="00C6722D">
      <w:pPr>
        <w:pStyle w:val="NormalWeb"/>
        <w:numPr>
          <w:ilvl w:val="0"/>
          <w:numId w:val="34"/>
        </w:numPr>
        <w:rPr>
          <w:u w:val="single"/>
        </w:rPr>
      </w:pPr>
      <w:hyperlink r:id="rId30" w:history="1">
        <w:r w:rsidRPr="00C6722D">
          <w:rPr>
            <w:rStyle w:val="Hyperlink"/>
          </w:rPr>
          <w:t>https://bfsi.economictimes.indiatimes.com/articles/kotak-mahindra-banks-powerful-growth-strategy-aiming-for-a-17-cagr-in-advances-and-nii-by-fy28/122848662</w:t>
        </w:r>
      </w:hyperlink>
    </w:p>
    <w:p w14:paraId="6D5A034E" w14:textId="77777777" w:rsidR="00C6722D" w:rsidRPr="00C6722D" w:rsidRDefault="00C6722D" w:rsidP="00C6722D">
      <w:pPr>
        <w:pStyle w:val="NormalWeb"/>
        <w:numPr>
          <w:ilvl w:val="0"/>
          <w:numId w:val="34"/>
        </w:numPr>
        <w:rPr>
          <w:u w:val="single"/>
        </w:rPr>
      </w:pPr>
      <w:hyperlink r:id="rId31" w:history="1">
        <w:r w:rsidRPr="00C6722D">
          <w:rPr>
            <w:rStyle w:val="Hyperlink"/>
          </w:rPr>
          <w:t>https://www.alphaspread.com/security/nse/kotakbank/investor-relations</w:t>
        </w:r>
      </w:hyperlink>
    </w:p>
    <w:p w14:paraId="76ADE0C9" w14:textId="77777777" w:rsidR="00FC1047" w:rsidRPr="00FC1047" w:rsidRDefault="00FC1047" w:rsidP="00FC1047">
      <w:pPr>
        <w:pStyle w:val="NormalWeb"/>
        <w:numPr>
          <w:ilvl w:val="0"/>
          <w:numId w:val="34"/>
        </w:numPr>
        <w:rPr>
          <w:u w:val="single"/>
        </w:rPr>
      </w:pPr>
      <w:hyperlink r:id="rId32" w:history="1">
        <w:r w:rsidRPr="00FC1047">
          <w:rPr>
            <w:rStyle w:val="Hyperlink"/>
          </w:rPr>
          <w:t>https://tradingeconomics.com/india/gdp-growth-annual</w:t>
        </w:r>
      </w:hyperlink>
    </w:p>
    <w:p w14:paraId="1AD5087D" w14:textId="15D71B25" w:rsidR="00355FD6" w:rsidRDefault="00FC1047" w:rsidP="00FC1047">
      <w:pPr>
        <w:pStyle w:val="NormalWeb"/>
        <w:ind w:left="720"/>
      </w:pPr>
      <w:r w:rsidRPr="009C191B">
        <w:t>Peer</w:t>
      </w:r>
      <w:r w:rsidR="009C191B" w:rsidRPr="009C191B">
        <w:t xml:space="preserve"> company data gathered from:</w:t>
      </w:r>
    </w:p>
    <w:p w14:paraId="532EE5A9" w14:textId="77777777" w:rsidR="009E1C31" w:rsidRPr="009E1C31" w:rsidRDefault="009E1C31" w:rsidP="009E1C31">
      <w:pPr>
        <w:pStyle w:val="NormalWeb"/>
        <w:numPr>
          <w:ilvl w:val="0"/>
          <w:numId w:val="35"/>
        </w:numPr>
        <w:rPr>
          <w:u w:val="single"/>
        </w:rPr>
      </w:pPr>
      <w:hyperlink r:id="rId33" w:history="1">
        <w:r w:rsidRPr="009E1C31">
          <w:rPr>
            <w:rStyle w:val="Hyperlink"/>
          </w:rPr>
          <w:t>https://www.screener.in/company/HDFCBANK/</w:t>
        </w:r>
      </w:hyperlink>
    </w:p>
    <w:p w14:paraId="67BE8CA7" w14:textId="613C7542" w:rsidR="009E1C31" w:rsidRDefault="009E1C31" w:rsidP="009E1C31">
      <w:pPr>
        <w:pStyle w:val="NormalWeb"/>
        <w:numPr>
          <w:ilvl w:val="0"/>
          <w:numId w:val="35"/>
        </w:numPr>
      </w:pPr>
      <w:hyperlink r:id="rId34" w:history="1">
        <w:r w:rsidRPr="00A425C4">
          <w:rPr>
            <w:rStyle w:val="Hyperlink"/>
          </w:rPr>
          <w:t>https://www.screener.in/company/ICICIBANK/</w:t>
        </w:r>
      </w:hyperlink>
    </w:p>
    <w:p w14:paraId="580CAC4F" w14:textId="1D08EDBE" w:rsidR="009E1C31" w:rsidRDefault="009E1C31" w:rsidP="009E1C31">
      <w:pPr>
        <w:pStyle w:val="NormalWeb"/>
        <w:numPr>
          <w:ilvl w:val="0"/>
          <w:numId w:val="35"/>
        </w:numPr>
      </w:pPr>
      <w:hyperlink r:id="rId35" w:history="1">
        <w:r w:rsidRPr="00A425C4">
          <w:rPr>
            <w:rStyle w:val="Hyperlink"/>
          </w:rPr>
          <w:t>https://www.screener.in/company/AXISBANK/</w:t>
        </w:r>
      </w:hyperlink>
    </w:p>
    <w:p w14:paraId="03BCF88A" w14:textId="06AB7063" w:rsidR="009E1C31" w:rsidRDefault="009E1C31" w:rsidP="009E1C31">
      <w:pPr>
        <w:pStyle w:val="NormalWeb"/>
        <w:numPr>
          <w:ilvl w:val="0"/>
          <w:numId w:val="35"/>
        </w:numPr>
      </w:pPr>
      <w:hyperlink r:id="rId36" w:history="1">
        <w:r w:rsidRPr="00A425C4">
          <w:rPr>
            <w:rStyle w:val="Hyperlink"/>
          </w:rPr>
          <w:t>https://www.screener.in/company/INDUSINDBK/</w:t>
        </w:r>
      </w:hyperlink>
    </w:p>
    <w:p w14:paraId="790F18FA" w14:textId="36137D59" w:rsidR="009C191B" w:rsidRDefault="009E1C31" w:rsidP="009E1C31">
      <w:pPr>
        <w:pStyle w:val="NormalWeb"/>
        <w:numPr>
          <w:ilvl w:val="0"/>
          <w:numId w:val="35"/>
        </w:numPr>
      </w:pPr>
      <w:hyperlink r:id="rId37" w:history="1">
        <w:r w:rsidRPr="00A425C4">
          <w:rPr>
            <w:rStyle w:val="Hyperlink"/>
          </w:rPr>
          <w:t>https://www.screener.in/company/SBIN/</w:t>
        </w:r>
      </w:hyperlink>
    </w:p>
    <w:p w14:paraId="30C67C37" w14:textId="77777777" w:rsidR="009E1C31" w:rsidRPr="009C191B" w:rsidRDefault="009E1C31" w:rsidP="009E1C31">
      <w:pPr>
        <w:pStyle w:val="NormalWeb"/>
        <w:ind w:left="1080"/>
      </w:pPr>
    </w:p>
    <w:p w14:paraId="4189CE84" w14:textId="68BE32A3" w:rsidR="009C191B" w:rsidRPr="00355FD6" w:rsidRDefault="009C191B" w:rsidP="00FC1047">
      <w:pPr>
        <w:pStyle w:val="NormalWeb"/>
        <w:ind w:left="720"/>
        <w:rPr>
          <w:u w:val="single"/>
        </w:rPr>
      </w:pPr>
    </w:p>
    <w:p w14:paraId="46F2D651" w14:textId="14BD1A9B" w:rsidR="002E3D35" w:rsidRDefault="002E3D35" w:rsidP="00503B50">
      <w:pPr>
        <w:spacing w:before="10" w:after="10"/>
        <w:ind w:right="-144"/>
        <w:jc w:val="both"/>
        <w:rPr>
          <w:rFonts w:ascii="Calibri" w:hAnsi="Calibri" w:cs="Calibri"/>
          <w:sz w:val="24"/>
          <w:szCs w:val="24"/>
        </w:rPr>
      </w:pPr>
    </w:p>
    <w:p w14:paraId="35B26D59" w14:textId="77777777" w:rsidR="002E3D35" w:rsidRDefault="002E3D35">
      <w:pPr>
        <w:rPr>
          <w:rFonts w:ascii="Calibri" w:hAnsi="Calibri" w:cs="Calibri"/>
          <w:sz w:val="24"/>
          <w:szCs w:val="24"/>
        </w:rPr>
      </w:pPr>
      <w:r>
        <w:rPr>
          <w:rFonts w:ascii="Calibri" w:hAnsi="Calibri" w:cs="Calibri"/>
          <w:sz w:val="24"/>
          <w:szCs w:val="24"/>
        </w:rPr>
        <w:br w:type="page"/>
      </w:r>
    </w:p>
    <w:p w14:paraId="177C4057" w14:textId="184D2012" w:rsidR="00B5215C" w:rsidRDefault="00F21D54" w:rsidP="00503B50">
      <w:pPr>
        <w:spacing w:before="10" w:after="10"/>
        <w:ind w:right="-144"/>
        <w:jc w:val="both"/>
        <w:rPr>
          <w:rFonts w:ascii="Calibri" w:hAnsi="Calibri" w:cs="Calibri"/>
          <w:b/>
          <w:bCs/>
          <w:sz w:val="32"/>
          <w:szCs w:val="32"/>
        </w:rPr>
      </w:pPr>
      <w:r>
        <w:rPr>
          <w:rFonts w:ascii="Calibri" w:hAnsi="Calibri" w:cs="Calibri"/>
          <w:b/>
          <w:bCs/>
          <w:sz w:val="32"/>
          <w:szCs w:val="32"/>
        </w:rPr>
        <w:lastRenderedPageBreak/>
        <w:t>Appendices</w:t>
      </w:r>
    </w:p>
    <w:p w14:paraId="20AF39D5" w14:textId="6BC29AEA" w:rsidR="00F21D54" w:rsidRDefault="00F21D54" w:rsidP="00503B50">
      <w:pPr>
        <w:spacing w:before="10" w:after="10"/>
        <w:ind w:right="-144"/>
        <w:jc w:val="both"/>
        <w:rPr>
          <w:rFonts w:ascii="Calibri" w:hAnsi="Calibri" w:cs="Calibri"/>
          <w:b/>
          <w:bCs/>
          <w:sz w:val="32"/>
          <w:szCs w:val="32"/>
        </w:rPr>
      </w:pPr>
    </w:p>
    <w:p w14:paraId="3E81F225" w14:textId="77777777" w:rsidR="00C77044" w:rsidRDefault="00C77044" w:rsidP="00503B50">
      <w:pPr>
        <w:spacing w:before="10" w:after="10"/>
        <w:ind w:right="-144"/>
        <w:jc w:val="both"/>
        <w:rPr>
          <w:rFonts w:ascii="Calibri" w:hAnsi="Calibri" w:cs="Calibri"/>
          <w:b/>
          <w:bCs/>
          <w:sz w:val="32"/>
          <w:szCs w:val="32"/>
        </w:rPr>
      </w:pPr>
    </w:p>
    <w:p w14:paraId="75FA0B75" w14:textId="2BD8CFCC" w:rsidR="00C77044" w:rsidRDefault="00953B12" w:rsidP="00503B50">
      <w:pPr>
        <w:spacing w:before="10" w:after="10"/>
        <w:ind w:right="-144"/>
        <w:jc w:val="both"/>
        <w:rPr>
          <w:rFonts w:ascii="Calibri" w:hAnsi="Calibri" w:cs="Calibri"/>
          <w:b/>
          <w:bCs/>
          <w:sz w:val="32"/>
          <w:szCs w:val="32"/>
        </w:rPr>
      </w:pPr>
      <w:r w:rsidRPr="00953B12">
        <w:drawing>
          <wp:inline distT="0" distB="0" distL="0" distR="0" wp14:anchorId="3F36E5F3" wp14:editId="537C6974">
            <wp:extent cx="6858000" cy="5927090"/>
            <wp:effectExtent l="0" t="0" r="0" b="0"/>
            <wp:docPr id="536715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5927090"/>
                    </a:xfrm>
                    <a:prstGeom prst="rect">
                      <a:avLst/>
                    </a:prstGeom>
                    <a:noFill/>
                    <a:ln>
                      <a:noFill/>
                    </a:ln>
                  </pic:spPr>
                </pic:pic>
              </a:graphicData>
            </a:graphic>
          </wp:inline>
        </w:drawing>
      </w:r>
    </w:p>
    <w:p w14:paraId="53680E22" w14:textId="77777777" w:rsidR="00FC3A77" w:rsidRDefault="00FC3A77" w:rsidP="00503B50">
      <w:pPr>
        <w:spacing w:before="10" w:after="10"/>
        <w:ind w:right="-144"/>
        <w:jc w:val="both"/>
        <w:rPr>
          <w:rFonts w:ascii="Calibri" w:hAnsi="Calibri" w:cs="Calibri"/>
          <w:b/>
          <w:bCs/>
          <w:sz w:val="32"/>
          <w:szCs w:val="32"/>
        </w:rPr>
      </w:pPr>
    </w:p>
    <w:p w14:paraId="4415E1D0" w14:textId="6F3ABAB0" w:rsidR="00BF022A" w:rsidRDefault="00EC0645" w:rsidP="00503B50">
      <w:pPr>
        <w:spacing w:before="10" w:after="10"/>
        <w:ind w:right="-144"/>
        <w:jc w:val="both"/>
        <w:rPr>
          <w:rFonts w:ascii="Calibri" w:hAnsi="Calibri" w:cs="Calibri"/>
          <w:b/>
          <w:bCs/>
          <w:sz w:val="32"/>
          <w:szCs w:val="32"/>
        </w:rPr>
      </w:pPr>
      <w:r w:rsidRPr="00EC0645">
        <w:drawing>
          <wp:inline distT="0" distB="0" distL="0" distR="0" wp14:anchorId="4337AADB" wp14:editId="4B92E8DA">
            <wp:extent cx="6858000" cy="1301115"/>
            <wp:effectExtent l="0" t="0" r="0" b="0"/>
            <wp:docPr id="10219905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58000" cy="1301115"/>
                    </a:xfrm>
                    <a:prstGeom prst="rect">
                      <a:avLst/>
                    </a:prstGeom>
                    <a:noFill/>
                    <a:ln>
                      <a:noFill/>
                    </a:ln>
                  </pic:spPr>
                </pic:pic>
              </a:graphicData>
            </a:graphic>
          </wp:inline>
        </w:drawing>
      </w:r>
    </w:p>
    <w:p w14:paraId="038EDFBC" w14:textId="77777777" w:rsidR="00FC3A77" w:rsidRDefault="00FC3A77" w:rsidP="00503B50">
      <w:pPr>
        <w:spacing w:before="10" w:after="10"/>
        <w:ind w:right="-144"/>
        <w:jc w:val="both"/>
        <w:rPr>
          <w:rFonts w:ascii="Calibri" w:hAnsi="Calibri" w:cs="Calibri"/>
          <w:b/>
          <w:bCs/>
          <w:sz w:val="32"/>
          <w:szCs w:val="32"/>
        </w:rPr>
      </w:pPr>
    </w:p>
    <w:p w14:paraId="408D6562" w14:textId="1FD9EF47" w:rsidR="00FC3A77" w:rsidRDefault="00C92122" w:rsidP="00503B50">
      <w:pPr>
        <w:spacing w:before="10" w:after="10"/>
        <w:ind w:right="-144"/>
        <w:jc w:val="both"/>
        <w:rPr>
          <w:rFonts w:ascii="Calibri" w:hAnsi="Calibri" w:cs="Calibri"/>
          <w:b/>
          <w:bCs/>
          <w:sz w:val="32"/>
          <w:szCs w:val="32"/>
        </w:rPr>
      </w:pPr>
      <w:r w:rsidRPr="00C92122">
        <w:lastRenderedPageBreak/>
        <w:drawing>
          <wp:inline distT="0" distB="0" distL="0" distR="0" wp14:anchorId="0DAECB23" wp14:editId="0901F179">
            <wp:extent cx="6858000" cy="2482215"/>
            <wp:effectExtent l="0" t="0" r="0" b="0"/>
            <wp:docPr id="486438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2482215"/>
                    </a:xfrm>
                    <a:prstGeom prst="rect">
                      <a:avLst/>
                    </a:prstGeom>
                    <a:noFill/>
                    <a:ln>
                      <a:noFill/>
                    </a:ln>
                  </pic:spPr>
                </pic:pic>
              </a:graphicData>
            </a:graphic>
          </wp:inline>
        </w:drawing>
      </w:r>
    </w:p>
    <w:p w14:paraId="46856E0D" w14:textId="77777777" w:rsidR="003970B3" w:rsidRDefault="003970B3" w:rsidP="00503B50">
      <w:pPr>
        <w:spacing w:before="10" w:after="10"/>
        <w:ind w:right="-144"/>
        <w:jc w:val="both"/>
        <w:rPr>
          <w:rFonts w:ascii="Calibri" w:hAnsi="Calibri" w:cs="Calibri"/>
          <w:b/>
          <w:bCs/>
          <w:sz w:val="32"/>
          <w:szCs w:val="32"/>
        </w:rPr>
      </w:pPr>
    </w:p>
    <w:p w14:paraId="124E5C4F" w14:textId="1AE32CAB" w:rsidR="003970B3" w:rsidRPr="00F21D54" w:rsidRDefault="006A14BD" w:rsidP="00503B50">
      <w:pPr>
        <w:spacing w:before="10" w:after="10"/>
        <w:ind w:right="-144"/>
        <w:jc w:val="both"/>
        <w:rPr>
          <w:rFonts w:ascii="Calibri" w:hAnsi="Calibri" w:cs="Calibri"/>
          <w:b/>
          <w:bCs/>
          <w:sz w:val="32"/>
          <w:szCs w:val="32"/>
        </w:rPr>
      </w:pPr>
      <w:r w:rsidRPr="006A14BD">
        <w:drawing>
          <wp:inline distT="0" distB="0" distL="0" distR="0" wp14:anchorId="74801493" wp14:editId="06806673">
            <wp:extent cx="6858000" cy="1143635"/>
            <wp:effectExtent l="0" t="0" r="0" b="0"/>
            <wp:docPr id="1012131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58000" cy="1143635"/>
                    </a:xfrm>
                    <a:prstGeom prst="rect">
                      <a:avLst/>
                    </a:prstGeom>
                    <a:noFill/>
                    <a:ln>
                      <a:noFill/>
                    </a:ln>
                  </pic:spPr>
                </pic:pic>
              </a:graphicData>
            </a:graphic>
          </wp:inline>
        </w:drawing>
      </w:r>
    </w:p>
    <w:sectPr w:rsidR="003970B3" w:rsidRPr="00F21D54" w:rsidSect="00A21B72">
      <w:pgSz w:w="12240" w:h="15840"/>
      <w:pgMar w:top="54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2" type="#_x0000_t75" style="width:11.25pt;height:11.25pt" o:bullet="t">
        <v:imagedata r:id="rId1" o:title="msoD7A9"/>
      </v:shape>
    </w:pict>
  </w:numPicBullet>
  <w:abstractNum w:abstractNumId="0" w15:restartNumberingAfterBreak="0">
    <w:nsid w:val="002839C3"/>
    <w:multiLevelType w:val="hybridMultilevel"/>
    <w:tmpl w:val="569AE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54639"/>
    <w:multiLevelType w:val="hybridMultilevel"/>
    <w:tmpl w:val="35FEC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A401A"/>
    <w:multiLevelType w:val="multilevel"/>
    <w:tmpl w:val="E9C8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F0459"/>
    <w:multiLevelType w:val="multilevel"/>
    <w:tmpl w:val="FC52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92493"/>
    <w:multiLevelType w:val="hybridMultilevel"/>
    <w:tmpl w:val="6336A228"/>
    <w:lvl w:ilvl="0" w:tplc="DACEB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8A5779"/>
    <w:multiLevelType w:val="multilevel"/>
    <w:tmpl w:val="2A3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0667E"/>
    <w:multiLevelType w:val="multilevel"/>
    <w:tmpl w:val="9A1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30D55"/>
    <w:multiLevelType w:val="multilevel"/>
    <w:tmpl w:val="41E0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24FC"/>
    <w:multiLevelType w:val="hybridMultilevel"/>
    <w:tmpl w:val="158A9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A4FA9"/>
    <w:multiLevelType w:val="multilevel"/>
    <w:tmpl w:val="A83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A2A3F"/>
    <w:multiLevelType w:val="hybridMultilevel"/>
    <w:tmpl w:val="C1C0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3E2D00"/>
    <w:multiLevelType w:val="hybridMultilevel"/>
    <w:tmpl w:val="0CF8DB08"/>
    <w:lvl w:ilvl="0" w:tplc="8EEC7EE8">
      <w:start w:val="1"/>
      <w:numFmt w:val="decimal"/>
      <w:lvlText w:val="%1."/>
      <w:lvlJc w:val="left"/>
      <w:pPr>
        <w:ind w:left="1080" w:hanging="360"/>
      </w:pPr>
      <w:rPr>
        <w:rFonts w:ascii="Times New Roman" w:hAnsi="Times New Roman" w:cs="Times New Roman" w:hint="default"/>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9E0531"/>
    <w:multiLevelType w:val="multilevel"/>
    <w:tmpl w:val="96E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35E78"/>
    <w:multiLevelType w:val="hybridMultilevel"/>
    <w:tmpl w:val="C5C83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C441E3"/>
    <w:multiLevelType w:val="multilevel"/>
    <w:tmpl w:val="AB4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854E0"/>
    <w:multiLevelType w:val="multilevel"/>
    <w:tmpl w:val="BE80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A4DE9"/>
    <w:multiLevelType w:val="hybridMultilevel"/>
    <w:tmpl w:val="B2FCF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8517AC"/>
    <w:multiLevelType w:val="hybridMultilevel"/>
    <w:tmpl w:val="A19A2D92"/>
    <w:lvl w:ilvl="0" w:tplc="66401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0A12B1"/>
    <w:multiLevelType w:val="multilevel"/>
    <w:tmpl w:val="66B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D2357"/>
    <w:multiLevelType w:val="multilevel"/>
    <w:tmpl w:val="04C6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81916"/>
    <w:multiLevelType w:val="hybridMultilevel"/>
    <w:tmpl w:val="572E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613000"/>
    <w:multiLevelType w:val="multilevel"/>
    <w:tmpl w:val="740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86790"/>
    <w:multiLevelType w:val="hybridMultilevel"/>
    <w:tmpl w:val="F4D2A8C4"/>
    <w:lvl w:ilvl="0" w:tplc="357C30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EED0F2D"/>
    <w:multiLevelType w:val="multilevel"/>
    <w:tmpl w:val="ADE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F61DD"/>
    <w:multiLevelType w:val="multilevel"/>
    <w:tmpl w:val="62D0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25C07"/>
    <w:multiLevelType w:val="multilevel"/>
    <w:tmpl w:val="64FC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95FDE"/>
    <w:multiLevelType w:val="multilevel"/>
    <w:tmpl w:val="41B4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A288E"/>
    <w:multiLevelType w:val="multilevel"/>
    <w:tmpl w:val="0D3E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40CDA"/>
    <w:multiLevelType w:val="hybridMultilevel"/>
    <w:tmpl w:val="BB7C37D2"/>
    <w:lvl w:ilvl="0" w:tplc="C79C4E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EA3DB6"/>
    <w:multiLevelType w:val="hybridMultilevel"/>
    <w:tmpl w:val="66F06E8E"/>
    <w:lvl w:ilvl="0" w:tplc="9BDE14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627A2F"/>
    <w:multiLevelType w:val="multilevel"/>
    <w:tmpl w:val="493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E5619"/>
    <w:multiLevelType w:val="multilevel"/>
    <w:tmpl w:val="82E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41E1B"/>
    <w:multiLevelType w:val="multilevel"/>
    <w:tmpl w:val="7686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06DB0"/>
    <w:multiLevelType w:val="hybridMultilevel"/>
    <w:tmpl w:val="8C063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733A2"/>
    <w:multiLevelType w:val="hybridMultilevel"/>
    <w:tmpl w:val="28D8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5812C5"/>
    <w:multiLevelType w:val="hybridMultilevel"/>
    <w:tmpl w:val="2A54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CB6ECE"/>
    <w:multiLevelType w:val="hybridMultilevel"/>
    <w:tmpl w:val="4B4C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3E251F"/>
    <w:multiLevelType w:val="hybridMultilevel"/>
    <w:tmpl w:val="21AE5F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6320E3"/>
    <w:multiLevelType w:val="multilevel"/>
    <w:tmpl w:val="9E3A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AC2F9F"/>
    <w:multiLevelType w:val="hybridMultilevel"/>
    <w:tmpl w:val="EE6EA490"/>
    <w:lvl w:ilvl="0" w:tplc="FEC0CD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34321"/>
    <w:multiLevelType w:val="multilevel"/>
    <w:tmpl w:val="27B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D5B5A"/>
    <w:multiLevelType w:val="multilevel"/>
    <w:tmpl w:val="D08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A6EE6"/>
    <w:multiLevelType w:val="multilevel"/>
    <w:tmpl w:val="7500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02E41"/>
    <w:multiLevelType w:val="multilevel"/>
    <w:tmpl w:val="60F6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D0ADF"/>
    <w:multiLevelType w:val="hybridMultilevel"/>
    <w:tmpl w:val="609C9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F66E9B"/>
    <w:multiLevelType w:val="hybridMultilevel"/>
    <w:tmpl w:val="96E41BCE"/>
    <w:lvl w:ilvl="0" w:tplc="103E6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85538476">
    <w:abstractNumId w:val="42"/>
  </w:num>
  <w:num w:numId="2" w16cid:durableId="716246059">
    <w:abstractNumId w:val="5"/>
  </w:num>
  <w:num w:numId="3" w16cid:durableId="1164737060">
    <w:abstractNumId w:val="30"/>
  </w:num>
  <w:num w:numId="4" w16cid:durableId="1943877066">
    <w:abstractNumId w:val="26"/>
  </w:num>
  <w:num w:numId="5" w16cid:durableId="564533866">
    <w:abstractNumId w:val="39"/>
  </w:num>
  <w:num w:numId="6" w16cid:durableId="1092819691">
    <w:abstractNumId w:val="29"/>
  </w:num>
  <w:num w:numId="7" w16cid:durableId="2020740599">
    <w:abstractNumId w:val="28"/>
  </w:num>
  <w:num w:numId="8" w16cid:durableId="1637755809">
    <w:abstractNumId w:val="21"/>
  </w:num>
  <w:num w:numId="9" w16cid:durableId="1725834905">
    <w:abstractNumId w:val="14"/>
  </w:num>
  <w:num w:numId="10" w16cid:durableId="1314138297">
    <w:abstractNumId w:val="25"/>
  </w:num>
  <w:num w:numId="11" w16cid:durableId="2115517085">
    <w:abstractNumId w:val="40"/>
  </w:num>
  <w:num w:numId="12" w16cid:durableId="716852845">
    <w:abstractNumId w:val="31"/>
  </w:num>
  <w:num w:numId="13" w16cid:durableId="856164252">
    <w:abstractNumId w:val="32"/>
  </w:num>
  <w:num w:numId="14" w16cid:durableId="168643646">
    <w:abstractNumId w:val="7"/>
  </w:num>
  <w:num w:numId="15" w16cid:durableId="1686981245">
    <w:abstractNumId w:val="3"/>
  </w:num>
  <w:num w:numId="16" w16cid:durableId="1202404462">
    <w:abstractNumId w:val="24"/>
  </w:num>
  <w:num w:numId="17" w16cid:durableId="312682854">
    <w:abstractNumId w:val="6"/>
  </w:num>
  <w:num w:numId="18" w16cid:durableId="844906402">
    <w:abstractNumId w:val="41"/>
  </w:num>
  <w:num w:numId="19" w16cid:durableId="1379166037">
    <w:abstractNumId w:val="27"/>
  </w:num>
  <w:num w:numId="20" w16cid:durableId="1134787196">
    <w:abstractNumId w:val="38"/>
  </w:num>
  <w:num w:numId="21" w16cid:durableId="579406577">
    <w:abstractNumId w:val="19"/>
  </w:num>
  <w:num w:numId="22" w16cid:durableId="1915163293">
    <w:abstractNumId w:val="43"/>
  </w:num>
  <w:num w:numId="23" w16cid:durableId="498689718">
    <w:abstractNumId w:val="18"/>
  </w:num>
  <w:num w:numId="24" w16cid:durableId="87895254">
    <w:abstractNumId w:val="9"/>
  </w:num>
  <w:num w:numId="25" w16cid:durableId="230387507">
    <w:abstractNumId w:val="23"/>
  </w:num>
  <w:num w:numId="26" w16cid:durableId="1520966740">
    <w:abstractNumId w:val="15"/>
  </w:num>
  <w:num w:numId="27" w16cid:durableId="93020831">
    <w:abstractNumId w:val="2"/>
  </w:num>
  <w:num w:numId="28" w16cid:durableId="1508137586">
    <w:abstractNumId w:val="12"/>
  </w:num>
  <w:num w:numId="29" w16cid:durableId="539781367">
    <w:abstractNumId w:val="45"/>
  </w:num>
  <w:num w:numId="30" w16cid:durableId="53892909">
    <w:abstractNumId w:val="17"/>
  </w:num>
  <w:num w:numId="31" w16cid:durableId="679813721">
    <w:abstractNumId w:val="16"/>
  </w:num>
  <w:num w:numId="32" w16cid:durableId="1316451553">
    <w:abstractNumId w:val="22"/>
  </w:num>
  <w:num w:numId="33" w16cid:durableId="209459969">
    <w:abstractNumId w:val="1"/>
  </w:num>
  <w:num w:numId="34" w16cid:durableId="1131552047">
    <w:abstractNumId w:val="11"/>
  </w:num>
  <w:num w:numId="35" w16cid:durableId="856701227">
    <w:abstractNumId w:val="4"/>
  </w:num>
  <w:num w:numId="36" w16cid:durableId="1026322501">
    <w:abstractNumId w:val="20"/>
  </w:num>
  <w:num w:numId="37" w16cid:durableId="837965780">
    <w:abstractNumId w:val="8"/>
  </w:num>
  <w:num w:numId="38" w16cid:durableId="236211232">
    <w:abstractNumId w:val="10"/>
  </w:num>
  <w:num w:numId="39" w16cid:durableId="1276329907">
    <w:abstractNumId w:val="37"/>
  </w:num>
  <w:num w:numId="40" w16cid:durableId="1529946489">
    <w:abstractNumId w:val="34"/>
  </w:num>
  <w:num w:numId="41" w16cid:durableId="2137748177">
    <w:abstractNumId w:val="44"/>
  </w:num>
  <w:num w:numId="42" w16cid:durableId="73670628">
    <w:abstractNumId w:val="13"/>
  </w:num>
  <w:num w:numId="43" w16cid:durableId="214045565">
    <w:abstractNumId w:val="33"/>
  </w:num>
  <w:num w:numId="44" w16cid:durableId="489368391">
    <w:abstractNumId w:val="0"/>
  </w:num>
  <w:num w:numId="45" w16cid:durableId="486408240">
    <w:abstractNumId w:val="36"/>
  </w:num>
  <w:num w:numId="46" w16cid:durableId="21047597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74"/>
    <w:rsid w:val="0001350C"/>
    <w:rsid w:val="00022388"/>
    <w:rsid w:val="0003127E"/>
    <w:rsid w:val="00037652"/>
    <w:rsid w:val="000466E7"/>
    <w:rsid w:val="00075EBB"/>
    <w:rsid w:val="00076203"/>
    <w:rsid w:val="0009208A"/>
    <w:rsid w:val="000B20F0"/>
    <w:rsid w:val="000B4393"/>
    <w:rsid w:val="000C6126"/>
    <w:rsid w:val="00104FD6"/>
    <w:rsid w:val="00107E20"/>
    <w:rsid w:val="001147DF"/>
    <w:rsid w:val="0012304E"/>
    <w:rsid w:val="00132880"/>
    <w:rsid w:val="00162182"/>
    <w:rsid w:val="00176BEE"/>
    <w:rsid w:val="001A368C"/>
    <w:rsid w:val="001C174E"/>
    <w:rsid w:val="001C2D44"/>
    <w:rsid w:val="001D0C2E"/>
    <w:rsid w:val="001D2D32"/>
    <w:rsid w:val="00202F11"/>
    <w:rsid w:val="00206B5B"/>
    <w:rsid w:val="00207649"/>
    <w:rsid w:val="00244F37"/>
    <w:rsid w:val="00254E88"/>
    <w:rsid w:val="00274A93"/>
    <w:rsid w:val="0028515F"/>
    <w:rsid w:val="00287C52"/>
    <w:rsid w:val="00293428"/>
    <w:rsid w:val="002A4B38"/>
    <w:rsid w:val="002C61EF"/>
    <w:rsid w:val="002E1B36"/>
    <w:rsid w:val="002E3D35"/>
    <w:rsid w:val="002E63C5"/>
    <w:rsid w:val="002E6B74"/>
    <w:rsid w:val="00310324"/>
    <w:rsid w:val="00311DF2"/>
    <w:rsid w:val="00312DA6"/>
    <w:rsid w:val="0032629B"/>
    <w:rsid w:val="00341695"/>
    <w:rsid w:val="003554C3"/>
    <w:rsid w:val="00355FD6"/>
    <w:rsid w:val="00357550"/>
    <w:rsid w:val="0036536C"/>
    <w:rsid w:val="00384BDD"/>
    <w:rsid w:val="003970B3"/>
    <w:rsid w:val="003B01B6"/>
    <w:rsid w:val="003B2CF2"/>
    <w:rsid w:val="003C7EF7"/>
    <w:rsid w:val="003E1706"/>
    <w:rsid w:val="003E2677"/>
    <w:rsid w:val="003E2C85"/>
    <w:rsid w:val="003F2715"/>
    <w:rsid w:val="003F58ED"/>
    <w:rsid w:val="0042575B"/>
    <w:rsid w:val="00426671"/>
    <w:rsid w:val="004339E4"/>
    <w:rsid w:val="004416E4"/>
    <w:rsid w:val="00442721"/>
    <w:rsid w:val="004522A7"/>
    <w:rsid w:val="00457B74"/>
    <w:rsid w:val="00474251"/>
    <w:rsid w:val="004818A5"/>
    <w:rsid w:val="00483735"/>
    <w:rsid w:val="004B2538"/>
    <w:rsid w:val="004B4727"/>
    <w:rsid w:val="004B5605"/>
    <w:rsid w:val="004D4B5F"/>
    <w:rsid w:val="004D5979"/>
    <w:rsid w:val="004E5DAC"/>
    <w:rsid w:val="00503B50"/>
    <w:rsid w:val="005040BC"/>
    <w:rsid w:val="005119BC"/>
    <w:rsid w:val="00517245"/>
    <w:rsid w:val="00533A2A"/>
    <w:rsid w:val="005374BD"/>
    <w:rsid w:val="00552EF7"/>
    <w:rsid w:val="0055379F"/>
    <w:rsid w:val="005648B1"/>
    <w:rsid w:val="00564B38"/>
    <w:rsid w:val="00577032"/>
    <w:rsid w:val="00586F64"/>
    <w:rsid w:val="005A30FC"/>
    <w:rsid w:val="005B265D"/>
    <w:rsid w:val="005B6139"/>
    <w:rsid w:val="005C073F"/>
    <w:rsid w:val="005C51C1"/>
    <w:rsid w:val="005D00F1"/>
    <w:rsid w:val="005E5E5C"/>
    <w:rsid w:val="005F2F78"/>
    <w:rsid w:val="005F7472"/>
    <w:rsid w:val="0061426A"/>
    <w:rsid w:val="00617052"/>
    <w:rsid w:val="00621CDE"/>
    <w:rsid w:val="00626D23"/>
    <w:rsid w:val="00627AB9"/>
    <w:rsid w:val="006409AC"/>
    <w:rsid w:val="0065445F"/>
    <w:rsid w:val="0067128B"/>
    <w:rsid w:val="00686372"/>
    <w:rsid w:val="00695E33"/>
    <w:rsid w:val="006A14BD"/>
    <w:rsid w:val="006A760D"/>
    <w:rsid w:val="006B768E"/>
    <w:rsid w:val="006C7CEC"/>
    <w:rsid w:val="006D3DBB"/>
    <w:rsid w:val="006D40D8"/>
    <w:rsid w:val="006E276C"/>
    <w:rsid w:val="00716B2B"/>
    <w:rsid w:val="00726D86"/>
    <w:rsid w:val="00730273"/>
    <w:rsid w:val="0073189E"/>
    <w:rsid w:val="00741FCB"/>
    <w:rsid w:val="007536DF"/>
    <w:rsid w:val="00766BD1"/>
    <w:rsid w:val="0079125D"/>
    <w:rsid w:val="007C4534"/>
    <w:rsid w:val="007D2DEF"/>
    <w:rsid w:val="007D7839"/>
    <w:rsid w:val="007E18A7"/>
    <w:rsid w:val="007E2BF0"/>
    <w:rsid w:val="007E2EA1"/>
    <w:rsid w:val="008041B1"/>
    <w:rsid w:val="00804DEF"/>
    <w:rsid w:val="00805AA8"/>
    <w:rsid w:val="0081052E"/>
    <w:rsid w:val="00813A2D"/>
    <w:rsid w:val="008261FC"/>
    <w:rsid w:val="00832F39"/>
    <w:rsid w:val="00834582"/>
    <w:rsid w:val="00875E58"/>
    <w:rsid w:val="00894830"/>
    <w:rsid w:val="008A3A56"/>
    <w:rsid w:val="008C36A9"/>
    <w:rsid w:val="008D1A43"/>
    <w:rsid w:val="008D2E9F"/>
    <w:rsid w:val="008E090D"/>
    <w:rsid w:val="008E63F2"/>
    <w:rsid w:val="0095207D"/>
    <w:rsid w:val="00953B12"/>
    <w:rsid w:val="00977C75"/>
    <w:rsid w:val="0098178D"/>
    <w:rsid w:val="009852A1"/>
    <w:rsid w:val="00985B14"/>
    <w:rsid w:val="009A24BA"/>
    <w:rsid w:val="009C191B"/>
    <w:rsid w:val="009C78B9"/>
    <w:rsid w:val="009E19EF"/>
    <w:rsid w:val="009E1C31"/>
    <w:rsid w:val="009F683B"/>
    <w:rsid w:val="00A02F37"/>
    <w:rsid w:val="00A21B72"/>
    <w:rsid w:val="00A226A4"/>
    <w:rsid w:val="00A3241D"/>
    <w:rsid w:val="00A331F3"/>
    <w:rsid w:val="00A46E72"/>
    <w:rsid w:val="00A5772D"/>
    <w:rsid w:val="00A76023"/>
    <w:rsid w:val="00A8036D"/>
    <w:rsid w:val="00A92C48"/>
    <w:rsid w:val="00A936C3"/>
    <w:rsid w:val="00AA3A3F"/>
    <w:rsid w:val="00AE7E8F"/>
    <w:rsid w:val="00AF0809"/>
    <w:rsid w:val="00B00A8E"/>
    <w:rsid w:val="00B01BA0"/>
    <w:rsid w:val="00B15BF8"/>
    <w:rsid w:val="00B428C3"/>
    <w:rsid w:val="00B42A17"/>
    <w:rsid w:val="00B5215C"/>
    <w:rsid w:val="00B54525"/>
    <w:rsid w:val="00B62CEE"/>
    <w:rsid w:val="00B84372"/>
    <w:rsid w:val="00B9332A"/>
    <w:rsid w:val="00BA490E"/>
    <w:rsid w:val="00BB6541"/>
    <w:rsid w:val="00BC14CA"/>
    <w:rsid w:val="00BC155A"/>
    <w:rsid w:val="00BE3B62"/>
    <w:rsid w:val="00BF022A"/>
    <w:rsid w:val="00BF0DFA"/>
    <w:rsid w:val="00C2628E"/>
    <w:rsid w:val="00C30150"/>
    <w:rsid w:val="00C36CE0"/>
    <w:rsid w:val="00C42A90"/>
    <w:rsid w:val="00C55138"/>
    <w:rsid w:val="00C6722D"/>
    <w:rsid w:val="00C76308"/>
    <w:rsid w:val="00C77044"/>
    <w:rsid w:val="00C92122"/>
    <w:rsid w:val="00CA4C76"/>
    <w:rsid w:val="00CA6A48"/>
    <w:rsid w:val="00CB1501"/>
    <w:rsid w:val="00CB445B"/>
    <w:rsid w:val="00CC0B70"/>
    <w:rsid w:val="00CD4079"/>
    <w:rsid w:val="00CE29AD"/>
    <w:rsid w:val="00CE5090"/>
    <w:rsid w:val="00CF4CAB"/>
    <w:rsid w:val="00CF604E"/>
    <w:rsid w:val="00D02842"/>
    <w:rsid w:val="00D055B0"/>
    <w:rsid w:val="00D112C9"/>
    <w:rsid w:val="00D15897"/>
    <w:rsid w:val="00D16D09"/>
    <w:rsid w:val="00D17D16"/>
    <w:rsid w:val="00D22C1F"/>
    <w:rsid w:val="00D271E1"/>
    <w:rsid w:val="00D40B28"/>
    <w:rsid w:val="00D54751"/>
    <w:rsid w:val="00D716E3"/>
    <w:rsid w:val="00D72D78"/>
    <w:rsid w:val="00D7616F"/>
    <w:rsid w:val="00D82969"/>
    <w:rsid w:val="00D87CB1"/>
    <w:rsid w:val="00D90CEC"/>
    <w:rsid w:val="00DA3092"/>
    <w:rsid w:val="00DB79D6"/>
    <w:rsid w:val="00DC6C65"/>
    <w:rsid w:val="00DC6F4B"/>
    <w:rsid w:val="00DE67E5"/>
    <w:rsid w:val="00E4199D"/>
    <w:rsid w:val="00E4308A"/>
    <w:rsid w:val="00E52994"/>
    <w:rsid w:val="00E54749"/>
    <w:rsid w:val="00E567C3"/>
    <w:rsid w:val="00E613D9"/>
    <w:rsid w:val="00E96E5F"/>
    <w:rsid w:val="00EA46D0"/>
    <w:rsid w:val="00EB46F8"/>
    <w:rsid w:val="00EC0645"/>
    <w:rsid w:val="00ED140C"/>
    <w:rsid w:val="00ED5919"/>
    <w:rsid w:val="00EE3073"/>
    <w:rsid w:val="00EE7BB0"/>
    <w:rsid w:val="00F033FA"/>
    <w:rsid w:val="00F035C3"/>
    <w:rsid w:val="00F05B10"/>
    <w:rsid w:val="00F10450"/>
    <w:rsid w:val="00F14650"/>
    <w:rsid w:val="00F14F30"/>
    <w:rsid w:val="00F15F6F"/>
    <w:rsid w:val="00F21D54"/>
    <w:rsid w:val="00F34F27"/>
    <w:rsid w:val="00F40682"/>
    <w:rsid w:val="00F44188"/>
    <w:rsid w:val="00F53D8B"/>
    <w:rsid w:val="00F56884"/>
    <w:rsid w:val="00F60F67"/>
    <w:rsid w:val="00F73C35"/>
    <w:rsid w:val="00F972B7"/>
    <w:rsid w:val="00FA27D5"/>
    <w:rsid w:val="00FB2750"/>
    <w:rsid w:val="00FB4E9A"/>
    <w:rsid w:val="00FB6F26"/>
    <w:rsid w:val="00FC1047"/>
    <w:rsid w:val="00FC3A77"/>
    <w:rsid w:val="00FD733A"/>
    <w:rsid w:val="00FF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337C"/>
  <w15:chartTrackingRefBased/>
  <w15:docId w15:val="{97D8EEE6-CBED-401C-829B-59D01405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B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B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B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B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B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B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B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B74"/>
    <w:rPr>
      <w:rFonts w:eastAsiaTheme="majorEastAsia" w:cstheme="majorBidi"/>
      <w:color w:val="272727" w:themeColor="text1" w:themeTint="D8"/>
    </w:rPr>
  </w:style>
  <w:style w:type="paragraph" w:styleId="Title">
    <w:name w:val="Title"/>
    <w:basedOn w:val="Normal"/>
    <w:next w:val="Normal"/>
    <w:link w:val="TitleChar"/>
    <w:uiPriority w:val="10"/>
    <w:qFormat/>
    <w:rsid w:val="00457B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B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B74"/>
    <w:pPr>
      <w:spacing w:before="160"/>
      <w:jc w:val="center"/>
    </w:pPr>
    <w:rPr>
      <w:i/>
      <w:iCs/>
      <w:color w:val="404040" w:themeColor="text1" w:themeTint="BF"/>
    </w:rPr>
  </w:style>
  <w:style w:type="character" w:customStyle="1" w:styleId="QuoteChar">
    <w:name w:val="Quote Char"/>
    <w:basedOn w:val="DefaultParagraphFont"/>
    <w:link w:val="Quote"/>
    <w:uiPriority w:val="29"/>
    <w:rsid w:val="00457B74"/>
    <w:rPr>
      <w:i/>
      <w:iCs/>
      <w:color w:val="404040" w:themeColor="text1" w:themeTint="BF"/>
    </w:rPr>
  </w:style>
  <w:style w:type="paragraph" w:styleId="ListParagraph">
    <w:name w:val="List Paragraph"/>
    <w:basedOn w:val="Normal"/>
    <w:uiPriority w:val="34"/>
    <w:qFormat/>
    <w:rsid w:val="00457B74"/>
    <w:pPr>
      <w:ind w:left="720"/>
      <w:contextualSpacing/>
    </w:pPr>
  </w:style>
  <w:style w:type="character" w:styleId="IntenseEmphasis">
    <w:name w:val="Intense Emphasis"/>
    <w:basedOn w:val="DefaultParagraphFont"/>
    <w:uiPriority w:val="21"/>
    <w:qFormat/>
    <w:rsid w:val="00457B74"/>
    <w:rPr>
      <w:i/>
      <w:iCs/>
      <w:color w:val="0F4761" w:themeColor="accent1" w:themeShade="BF"/>
    </w:rPr>
  </w:style>
  <w:style w:type="paragraph" w:styleId="IntenseQuote">
    <w:name w:val="Intense Quote"/>
    <w:basedOn w:val="Normal"/>
    <w:next w:val="Normal"/>
    <w:link w:val="IntenseQuoteChar"/>
    <w:uiPriority w:val="30"/>
    <w:qFormat/>
    <w:rsid w:val="00457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B74"/>
    <w:rPr>
      <w:i/>
      <w:iCs/>
      <w:color w:val="0F4761" w:themeColor="accent1" w:themeShade="BF"/>
    </w:rPr>
  </w:style>
  <w:style w:type="character" w:styleId="IntenseReference">
    <w:name w:val="Intense Reference"/>
    <w:basedOn w:val="DefaultParagraphFont"/>
    <w:uiPriority w:val="32"/>
    <w:qFormat/>
    <w:rsid w:val="00457B74"/>
    <w:rPr>
      <w:b/>
      <w:bCs/>
      <w:smallCaps/>
      <w:color w:val="0F4761" w:themeColor="accent1" w:themeShade="BF"/>
      <w:spacing w:val="5"/>
    </w:rPr>
  </w:style>
  <w:style w:type="paragraph" w:styleId="NormalWeb">
    <w:name w:val="Normal (Web)"/>
    <w:basedOn w:val="Normal"/>
    <w:uiPriority w:val="99"/>
    <w:unhideWhenUsed/>
    <w:rsid w:val="00E613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613D9"/>
    <w:rPr>
      <w:b/>
      <w:bCs/>
    </w:rPr>
  </w:style>
  <w:style w:type="character" w:styleId="Hyperlink">
    <w:name w:val="Hyperlink"/>
    <w:basedOn w:val="DefaultParagraphFont"/>
    <w:uiPriority w:val="99"/>
    <w:unhideWhenUsed/>
    <w:rsid w:val="0003127E"/>
    <w:rPr>
      <w:color w:val="467886" w:themeColor="hyperlink"/>
      <w:u w:val="single"/>
    </w:rPr>
  </w:style>
  <w:style w:type="character" w:styleId="UnresolvedMention">
    <w:name w:val="Unresolved Mention"/>
    <w:basedOn w:val="DefaultParagraphFont"/>
    <w:uiPriority w:val="99"/>
    <w:semiHidden/>
    <w:unhideWhenUsed/>
    <w:rsid w:val="0003127E"/>
    <w:rPr>
      <w:color w:val="605E5C"/>
      <w:shd w:val="clear" w:color="auto" w:fill="E1DFDD"/>
    </w:rPr>
  </w:style>
  <w:style w:type="character" w:styleId="FollowedHyperlink">
    <w:name w:val="FollowedHyperlink"/>
    <w:basedOn w:val="DefaultParagraphFont"/>
    <w:uiPriority w:val="99"/>
    <w:semiHidden/>
    <w:unhideWhenUsed/>
    <w:rsid w:val="00D87CB1"/>
    <w:rPr>
      <w:color w:val="96607D" w:themeColor="followedHyperlink"/>
      <w:u w:val="single"/>
    </w:rPr>
  </w:style>
  <w:style w:type="character" w:styleId="Emphasis">
    <w:name w:val="Emphasis"/>
    <w:basedOn w:val="DefaultParagraphFont"/>
    <w:uiPriority w:val="20"/>
    <w:qFormat/>
    <w:rsid w:val="00357550"/>
    <w:rPr>
      <w:i/>
      <w:iCs/>
    </w:rPr>
  </w:style>
  <w:style w:type="character" w:customStyle="1" w:styleId="katex-mathml">
    <w:name w:val="katex-mathml"/>
    <w:basedOn w:val="DefaultParagraphFont"/>
    <w:rsid w:val="00EE3073"/>
  </w:style>
  <w:style w:type="character" w:customStyle="1" w:styleId="mord">
    <w:name w:val="mord"/>
    <w:basedOn w:val="DefaultParagraphFont"/>
    <w:rsid w:val="00EE3073"/>
  </w:style>
  <w:style w:type="character" w:customStyle="1" w:styleId="vlist-s">
    <w:name w:val="vlist-s"/>
    <w:basedOn w:val="DefaultParagraphFont"/>
    <w:rsid w:val="00EE3073"/>
  </w:style>
  <w:style w:type="character" w:customStyle="1" w:styleId="mrel">
    <w:name w:val="mrel"/>
    <w:basedOn w:val="DefaultParagraphFont"/>
    <w:rsid w:val="00EE3073"/>
  </w:style>
  <w:style w:type="character" w:customStyle="1" w:styleId="mbin">
    <w:name w:val="mbin"/>
    <w:basedOn w:val="DefaultParagraphFont"/>
    <w:rsid w:val="00EE3073"/>
  </w:style>
  <w:style w:type="character" w:customStyle="1" w:styleId="mopen">
    <w:name w:val="mopen"/>
    <w:basedOn w:val="DefaultParagraphFont"/>
    <w:rsid w:val="00EE3073"/>
  </w:style>
  <w:style w:type="character" w:customStyle="1" w:styleId="mclose">
    <w:name w:val="mclose"/>
    <w:basedOn w:val="DefaultParagraphFont"/>
    <w:rsid w:val="00EE3073"/>
  </w:style>
  <w:style w:type="character" w:customStyle="1" w:styleId="mspace">
    <w:name w:val="mspace"/>
    <w:basedOn w:val="DefaultParagraphFont"/>
    <w:rsid w:val="004522A7"/>
  </w:style>
  <w:style w:type="character" w:customStyle="1" w:styleId="mpunct">
    <w:name w:val="mpunct"/>
    <w:basedOn w:val="DefaultParagraphFont"/>
    <w:rsid w:val="004522A7"/>
  </w:style>
  <w:style w:type="table" w:styleId="TableGrid">
    <w:name w:val="Table Grid"/>
    <w:basedOn w:val="TableNormal"/>
    <w:uiPriority w:val="39"/>
    <w:rsid w:val="00355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22124">
      <w:bodyDiv w:val="1"/>
      <w:marLeft w:val="0"/>
      <w:marRight w:val="0"/>
      <w:marTop w:val="0"/>
      <w:marBottom w:val="0"/>
      <w:divBdr>
        <w:top w:val="none" w:sz="0" w:space="0" w:color="auto"/>
        <w:left w:val="none" w:sz="0" w:space="0" w:color="auto"/>
        <w:bottom w:val="none" w:sz="0" w:space="0" w:color="auto"/>
        <w:right w:val="none" w:sz="0" w:space="0" w:color="auto"/>
      </w:divBdr>
    </w:div>
    <w:div w:id="53048232">
      <w:bodyDiv w:val="1"/>
      <w:marLeft w:val="0"/>
      <w:marRight w:val="0"/>
      <w:marTop w:val="0"/>
      <w:marBottom w:val="0"/>
      <w:divBdr>
        <w:top w:val="none" w:sz="0" w:space="0" w:color="auto"/>
        <w:left w:val="none" w:sz="0" w:space="0" w:color="auto"/>
        <w:bottom w:val="none" w:sz="0" w:space="0" w:color="auto"/>
        <w:right w:val="none" w:sz="0" w:space="0" w:color="auto"/>
      </w:divBdr>
    </w:div>
    <w:div w:id="81415134">
      <w:bodyDiv w:val="1"/>
      <w:marLeft w:val="0"/>
      <w:marRight w:val="0"/>
      <w:marTop w:val="0"/>
      <w:marBottom w:val="0"/>
      <w:divBdr>
        <w:top w:val="none" w:sz="0" w:space="0" w:color="auto"/>
        <w:left w:val="none" w:sz="0" w:space="0" w:color="auto"/>
        <w:bottom w:val="none" w:sz="0" w:space="0" w:color="auto"/>
        <w:right w:val="none" w:sz="0" w:space="0" w:color="auto"/>
      </w:divBdr>
    </w:div>
    <w:div w:id="91513594">
      <w:bodyDiv w:val="1"/>
      <w:marLeft w:val="0"/>
      <w:marRight w:val="0"/>
      <w:marTop w:val="0"/>
      <w:marBottom w:val="0"/>
      <w:divBdr>
        <w:top w:val="none" w:sz="0" w:space="0" w:color="auto"/>
        <w:left w:val="none" w:sz="0" w:space="0" w:color="auto"/>
        <w:bottom w:val="none" w:sz="0" w:space="0" w:color="auto"/>
        <w:right w:val="none" w:sz="0" w:space="0" w:color="auto"/>
      </w:divBdr>
    </w:div>
    <w:div w:id="109974571">
      <w:bodyDiv w:val="1"/>
      <w:marLeft w:val="0"/>
      <w:marRight w:val="0"/>
      <w:marTop w:val="0"/>
      <w:marBottom w:val="0"/>
      <w:divBdr>
        <w:top w:val="none" w:sz="0" w:space="0" w:color="auto"/>
        <w:left w:val="none" w:sz="0" w:space="0" w:color="auto"/>
        <w:bottom w:val="none" w:sz="0" w:space="0" w:color="auto"/>
        <w:right w:val="none" w:sz="0" w:space="0" w:color="auto"/>
      </w:divBdr>
    </w:div>
    <w:div w:id="204341450">
      <w:bodyDiv w:val="1"/>
      <w:marLeft w:val="0"/>
      <w:marRight w:val="0"/>
      <w:marTop w:val="0"/>
      <w:marBottom w:val="0"/>
      <w:divBdr>
        <w:top w:val="none" w:sz="0" w:space="0" w:color="auto"/>
        <w:left w:val="none" w:sz="0" w:space="0" w:color="auto"/>
        <w:bottom w:val="none" w:sz="0" w:space="0" w:color="auto"/>
        <w:right w:val="none" w:sz="0" w:space="0" w:color="auto"/>
      </w:divBdr>
    </w:div>
    <w:div w:id="274168689">
      <w:bodyDiv w:val="1"/>
      <w:marLeft w:val="0"/>
      <w:marRight w:val="0"/>
      <w:marTop w:val="0"/>
      <w:marBottom w:val="0"/>
      <w:divBdr>
        <w:top w:val="none" w:sz="0" w:space="0" w:color="auto"/>
        <w:left w:val="none" w:sz="0" w:space="0" w:color="auto"/>
        <w:bottom w:val="none" w:sz="0" w:space="0" w:color="auto"/>
        <w:right w:val="none" w:sz="0" w:space="0" w:color="auto"/>
      </w:divBdr>
    </w:div>
    <w:div w:id="361512728">
      <w:bodyDiv w:val="1"/>
      <w:marLeft w:val="0"/>
      <w:marRight w:val="0"/>
      <w:marTop w:val="0"/>
      <w:marBottom w:val="0"/>
      <w:divBdr>
        <w:top w:val="none" w:sz="0" w:space="0" w:color="auto"/>
        <w:left w:val="none" w:sz="0" w:space="0" w:color="auto"/>
        <w:bottom w:val="none" w:sz="0" w:space="0" w:color="auto"/>
        <w:right w:val="none" w:sz="0" w:space="0" w:color="auto"/>
      </w:divBdr>
    </w:div>
    <w:div w:id="418644571">
      <w:bodyDiv w:val="1"/>
      <w:marLeft w:val="0"/>
      <w:marRight w:val="0"/>
      <w:marTop w:val="0"/>
      <w:marBottom w:val="0"/>
      <w:divBdr>
        <w:top w:val="none" w:sz="0" w:space="0" w:color="auto"/>
        <w:left w:val="none" w:sz="0" w:space="0" w:color="auto"/>
        <w:bottom w:val="none" w:sz="0" w:space="0" w:color="auto"/>
        <w:right w:val="none" w:sz="0" w:space="0" w:color="auto"/>
      </w:divBdr>
    </w:div>
    <w:div w:id="435828873">
      <w:bodyDiv w:val="1"/>
      <w:marLeft w:val="0"/>
      <w:marRight w:val="0"/>
      <w:marTop w:val="0"/>
      <w:marBottom w:val="0"/>
      <w:divBdr>
        <w:top w:val="none" w:sz="0" w:space="0" w:color="auto"/>
        <w:left w:val="none" w:sz="0" w:space="0" w:color="auto"/>
        <w:bottom w:val="none" w:sz="0" w:space="0" w:color="auto"/>
        <w:right w:val="none" w:sz="0" w:space="0" w:color="auto"/>
      </w:divBdr>
    </w:div>
    <w:div w:id="500005488">
      <w:bodyDiv w:val="1"/>
      <w:marLeft w:val="0"/>
      <w:marRight w:val="0"/>
      <w:marTop w:val="0"/>
      <w:marBottom w:val="0"/>
      <w:divBdr>
        <w:top w:val="none" w:sz="0" w:space="0" w:color="auto"/>
        <w:left w:val="none" w:sz="0" w:space="0" w:color="auto"/>
        <w:bottom w:val="none" w:sz="0" w:space="0" w:color="auto"/>
        <w:right w:val="none" w:sz="0" w:space="0" w:color="auto"/>
      </w:divBdr>
    </w:div>
    <w:div w:id="505176009">
      <w:bodyDiv w:val="1"/>
      <w:marLeft w:val="0"/>
      <w:marRight w:val="0"/>
      <w:marTop w:val="0"/>
      <w:marBottom w:val="0"/>
      <w:divBdr>
        <w:top w:val="none" w:sz="0" w:space="0" w:color="auto"/>
        <w:left w:val="none" w:sz="0" w:space="0" w:color="auto"/>
        <w:bottom w:val="none" w:sz="0" w:space="0" w:color="auto"/>
        <w:right w:val="none" w:sz="0" w:space="0" w:color="auto"/>
      </w:divBdr>
    </w:div>
    <w:div w:id="608659357">
      <w:bodyDiv w:val="1"/>
      <w:marLeft w:val="0"/>
      <w:marRight w:val="0"/>
      <w:marTop w:val="0"/>
      <w:marBottom w:val="0"/>
      <w:divBdr>
        <w:top w:val="none" w:sz="0" w:space="0" w:color="auto"/>
        <w:left w:val="none" w:sz="0" w:space="0" w:color="auto"/>
        <w:bottom w:val="none" w:sz="0" w:space="0" w:color="auto"/>
        <w:right w:val="none" w:sz="0" w:space="0" w:color="auto"/>
      </w:divBdr>
    </w:div>
    <w:div w:id="701830336">
      <w:bodyDiv w:val="1"/>
      <w:marLeft w:val="0"/>
      <w:marRight w:val="0"/>
      <w:marTop w:val="0"/>
      <w:marBottom w:val="0"/>
      <w:divBdr>
        <w:top w:val="none" w:sz="0" w:space="0" w:color="auto"/>
        <w:left w:val="none" w:sz="0" w:space="0" w:color="auto"/>
        <w:bottom w:val="none" w:sz="0" w:space="0" w:color="auto"/>
        <w:right w:val="none" w:sz="0" w:space="0" w:color="auto"/>
      </w:divBdr>
    </w:div>
    <w:div w:id="780341855">
      <w:bodyDiv w:val="1"/>
      <w:marLeft w:val="0"/>
      <w:marRight w:val="0"/>
      <w:marTop w:val="0"/>
      <w:marBottom w:val="0"/>
      <w:divBdr>
        <w:top w:val="none" w:sz="0" w:space="0" w:color="auto"/>
        <w:left w:val="none" w:sz="0" w:space="0" w:color="auto"/>
        <w:bottom w:val="none" w:sz="0" w:space="0" w:color="auto"/>
        <w:right w:val="none" w:sz="0" w:space="0" w:color="auto"/>
      </w:divBdr>
    </w:div>
    <w:div w:id="846482900">
      <w:bodyDiv w:val="1"/>
      <w:marLeft w:val="0"/>
      <w:marRight w:val="0"/>
      <w:marTop w:val="0"/>
      <w:marBottom w:val="0"/>
      <w:divBdr>
        <w:top w:val="none" w:sz="0" w:space="0" w:color="auto"/>
        <w:left w:val="none" w:sz="0" w:space="0" w:color="auto"/>
        <w:bottom w:val="none" w:sz="0" w:space="0" w:color="auto"/>
        <w:right w:val="none" w:sz="0" w:space="0" w:color="auto"/>
      </w:divBdr>
    </w:div>
    <w:div w:id="848301399">
      <w:bodyDiv w:val="1"/>
      <w:marLeft w:val="0"/>
      <w:marRight w:val="0"/>
      <w:marTop w:val="0"/>
      <w:marBottom w:val="0"/>
      <w:divBdr>
        <w:top w:val="none" w:sz="0" w:space="0" w:color="auto"/>
        <w:left w:val="none" w:sz="0" w:space="0" w:color="auto"/>
        <w:bottom w:val="none" w:sz="0" w:space="0" w:color="auto"/>
        <w:right w:val="none" w:sz="0" w:space="0" w:color="auto"/>
      </w:divBdr>
    </w:div>
    <w:div w:id="899483383">
      <w:bodyDiv w:val="1"/>
      <w:marLeft w:val="0"/>
      <w:marRight w:val="0"/>
      <w:marTop w:val="0"/>
      <w:marBottom w:val="0"/>
      <w:divBdr>
        <w:top w:val="none" w:sz="0" w:space="0" w:color="auto"/>
        <w:left w:val="none" w:sz="0" w:space="0" w:color="auto"/>
        <w:bottom w:val="none" w:sz="0" w:space="0" w:color="auto"/>
        <w:right w:val="none" w:sz="0" w:space="0" w:color="auto"/>
      </w:divBdr>
    </w:div>
    <w:div w:id="1021393742">
      <w:bodyDiv w:val="1"/>
      <w:marLeft w:val="0"/>
      <w:marRight w:val="0"/>
      <w:marTop w:val="0"/>
      <w:marBottom w:val="0"/>
      <w:divBdr>
        <w:top w:val="none" w:sz="0" w:space="0" w:color="auto"/>
        <w:left w:val="none" w:sz="0" w:space="0" w:color="auto"/>
        <w:bottom w:val="none" w:sz="0" w:space="0" w:color="auto"/>
        <w:right w:val="none" w:sz="0" w:space="0" w:color="auto"/>
      </w:divBdr>
    </w:div>
    <w:div w:id="1047223031">
      <w:bodyDiv w:val="1"/>
      <w:marLeft w:val="0"/>
      <w:marRight w:val="0"/>
      <w:marTop w:val="0"/>
      <w:marBottom w:val="0"/>
      <w:divBdr>
        <w:top w:val="none" w:sz="0" w:space="0" w:color="auto"/>
        <w:left w:val="none" w:sz="0" w:space="0" w:color="auto"/>
        <w:bottom w:val="none" w:sz="0" w:space="0" w:color="auto"/>
        <w:right w:val="none" w:sz="0" w:space="0" w:color="auto"/>
      </w:divBdr>
    </w:div>
    <w:div w:id="1058163060">
      <w:bodyDiv w:val="1"/>
      <w:marLeft w:val="0"/>
      <w:marRight w:val="0"/>
      <w:marTop w:val="0"/>
      <w:marBottom w:val="0"/>
      <w:divBdr>
        <w:top w:val="none" w:sz="0" w:space="0" w:color="auto"/>
        <w:left w:val="none" w:sz="0" w:space="0" w:color="auto"/>
        <w:bottom w:val="none" w:sz="0" w:space="0" w:color="auto"/>
        <w:right w:val="none" w:sz="0" w:space="0" w:color="auto"/>
      </w:divBdr>
    </w:div>
    <w:div w:id="1102605469">
      <w:bodyDiv w:val="1"/>
      <w:marLeft w:val="0"/>
      <w:marRight w:val="0"/>
      <w:marTop w:val="0"/>
      <w:marBottom w:val="0"/>
      <w:divBdr>
        <w:top w:val="none" w:sz="0" w:space="0" w:color="auto"/>
        <w:left w:val="none" w:sz="0" w:space="0" w:color="auto"/>
        <w:bottom w:val="none" w:sz="0" w:space="0" w:color="auto"/>
        <w:right w:val="none" w:sz="0" w:space="0" w:color="auto"/>
      </w:divBdr>
    </w:div>
    <w:div w:id="1152675181">
      <w:bodyDiv w:val="1"/>
      <w:marLeft w:val="0"/>
      <w:marRight w:val="0"/>
      <w:marTop w:val="0"/>
      <w:marBottom w:val="0"/>
      <w:divBdr>
        <w:top w:val="none" w:sz="0" w:space="0" w:color="auto"/>
        <w:left w:val="none" w:sz="0" w:space="0" w:color="auto"/>
        <w:bottom w:val="none" w:sz="0" w:space="0" w:color="auto"/>
        <w:right w:val="none" w:sz="0" w:space="0" w:color="auto"/>
      </w:divBdr>
    </w:div>
    <w:div w:id="1162165105">
      <w:bodyDiv w:val="1"/>
      <w:marLeft w:val="0"/>
      <w:marRight w:val="0"/>
      <w:marTop w:val="0"/>
      <w:marBottom w:val="0"/>
      <w:divBdr>
        <w:top w:val="none" w:sz="0" w:space="0" w:color="auto"/>
        <w:left w:val="none" w:sz="0" w:space="0" w:color="auto"/>
        <w:bottom w:val="none" w:sz="0" w:space="0" w:color="auto"/>
        <w:right w:val="none" w:sz="0" w:space="0" w:color="auto"/>
      </w:divBdr>
    </w:div>
    <w:div w:id="1167987662">
      <w:bodyDiv w:val="1"/>
      <w:marLeft w:val="0"/>
      <w:marRight w:val="0"/>
      <w:marTop w:val="0"/>
      <w:marBottom w:val="0"/>
      <w:divBdr>
        <w:top w:val="none" w:sz="0" w:space="0" w:color="auto"/>
        <w:left w:val="none" w:sz="0" w:space="0" w:color="auto"/>
        <w:bottom w:val="none" w:sz="0" w:space="0" w:color="auto"/>
        <w:right w:val="none" w:sz="0" w:space="0" w:color="auto"/>
      </w:divBdr>
    </w:div>
    <w:div w:id="1170482114">
      <w:bodyDiv w:val="1"/>
      <w:marLeft w:val="0"/>
      <w:marRight w:val="0"/>
      <w:marTop w:val="0"/>
      <w:marBottom w:val="0"/>
      <w:divBdr>
        <w:top w:val="none" w:sz="0" w:space="0" w:color="auto"/>
        <w:left w:val="none" w:sz="0" w:space="0" w:color="auto"/>
        <w:bottom w:val="none" w:sz="0" w:space="0" w:color="auto"/>
        <w:right w:val="none" w:sz="0" w:space="0" w:color="auto"/>
      </w:divBdr>
    </w:div>
    <w:div w:id="1172526281">
      <w:bodyDiv w:val="1"/>
      <w:marLeft w:val="0"/>
      <w:marRight w:val="0"/>
      <w:marTop w:val="0"/>
      <w:marBottom w:val="0"/>
      <w:divBdr>
        <w:top w:val="none" w:sz="0" w:space="0" w:color="auto"/>
        <w:left w:val="none" w:sz="0" w:space="0" w:color="auto"/>
        <w:bottom w:val="none" w:sz="0" w:space="0" w:color="auto"/>
        <w:right w:val="none" w:sz="0" w:space="0" w:color="auto"/>
      </w:divBdr>
    </w:div>
    <w:div w:id="1178813048">
      <w:bodyDiv w:val="1"/>
      <w:marLeft w:val="0"/>
      <w:marRight w:val="0"/>
      <w:marTop w:val="0"/>
      <w:marBottom w:val="0"/>
      <w:divBdr>
        <w:top w:val="none" w:sz="0" w:space="0" w:color="auto"/>
        <w:left w:val="none" w:sz="0" w:space="0" w:color="auto"/>
        <w:bottom w:val="none" w:sz="0" w:space="0" w:color="auto"/>
        <w:right w:val="none" w:sz="0" w:space="0" w:color="auto"/>
      </w:divBdr>
    </w:div>
    <w:div w:id="1216965679">
      <w:bodyDiv w:val="1"/>
      <w:marLeft w:val="0"/>
      <w:marRight w:val="0"/>
      <w:marTop w:val="0"/>
      <w:marBottom w:val="0"/>
      <w:divBdr>
        <w:top w:val="none" w:sz="0" w:space="0" w:color="auto"/>
        <w:left w:val="none" w:sz="0" w:space="0" w:color="auto"/>
        <w:bottom w:val="none" w:sz="0" w:space="0" w:color="auto"/>
        <w:right w:val="none" w:sz="0" w:space="0" w:color="auto"/>
      </w:divBdr>
    </w:div>
    <w:div w:id="1274479944">
      <w:bodyDiv w:val="1"/>
      <w:marLeft w:val="0"/>
      <w:marRight w:val="0"/>
      <w:marTop w:val="0"/>
      <w:marBottom w:val="0"/>
      <w:divBdr>
        <w:top w:val="none" w:sz="0" w:space="0" w:color="auto"/>
        <w:left w:val="none" w:sz="0" w:space="0" w:color="auto"/>
        <w:bottom w:val="none" w:sz="0" w:space="0" w:color="auto"/>
        <w:right w:val="none" w:sz="0" w:space="0" w:color="auto"/>
      </w:divBdr>
    </w:div>
    <w:div w:id="1294749225">
      <w:bodyDiv w:val="1"/>
      <w:marLeft w:val="0"/>
      <w:marRight w:val="0"/>
      <w:marTop w:val="0"/>
      <w:marBottom w:val="0"/>
      <w:divBdr>
        <w:top w:val="none" w:sz="0" w:space="0" w:color="auto"/>
        <w:left w:val="none" w:sz="0" w:space="0" w:color="auto"/>
        <w:bottom w:val="none" w:sz="0" w:space="0" w:color="auto"/>
        <w:right w:val="none" w:sz="0" w:space="0" w:color="auto"/>
      </w:divBdr>
    </w:div>
    <w:div w:id="1367608516">
      <w:bodyDiv w:val="1"/>
      <w:marLeft w:val="0"/>
      <w:marRight w:val="0"/>
      <w:marTop w:val="0"/>
      <w:marBottom w:val="0"/>
      <w:divBdr>
        <w:top w:val="none" w:sz="0" w:space="0" w:color="auto"/>
        <w:left w:val="none" w:sz="0" w:space="0" w:color="auto"/>
        <w:bottom w:val="none" w:sz="0" w:space="0" w:color="auto"/>
        <w:right w:val="none" w:sz="0" w:space="0" w:color="auto"/>
      </w:divBdr>
    </w:div>
    <w:div w:id="1487285868">
      <w:bodyDiv w:val="1"/>
      <w:marLeft w:val="0"/>
      <w:marRight w:val="0"/>
      <w:marTop w:val="0"/>
      <w:marBottom w:val="0"/>
      <w:divBdr>
        <w:top w:val="none" w:sz="0" w:space="0" w:color="auto"/>
        <w:left w:val="none" w:sz="0" w:space="0" w:color="auto"/>
        <w:bottom w:val="none" w:sz="0" w:space="0" w:color="auto"/>
        <w:right w:val="none" w:sz="0" w:space="0" w:color="auto"/>
      </w:divBdr>
    </w:div>
    <w:div w:id="1547793798">
      <w:bodyDiv w:val="1"/>
      <w:marLeft w:val="0"/>
      <w:marRight w:val="0"/>
      <w:marTop w:val="0"/>
      <w:marBottom w:val="0"/>
      <w:divBdr>
        <w:top w:val="none" w:sz="0" w:space="0" w:color="auto"/>
        <w:left w:val="none" w:sz="0" w:space="0" w:color="auto"/>
        <w:bottom w:val="none" w:sz="0" w:space="0" w:color="auto"/>
        <w:right w:val="none" w:sz="0" w:space="0" w:color="auto"/>
      </w:divBdr>
    </w:div>
    <w:div w:id="1615404981">
      <w:bodyDiv w:val="1"/>
      <w:marLeft w:val="0"/>
      <w:marRight w:val="0"/>
      <w:marTop w:val="0"/>
      <w:marBottom w:val="0"/>
      <w:divBdr>
        <w:top w:val="none" w:sz="0" w:space="0" w:color="auto"/>
        <w:left w:val="none" w:sz="0" w:space="0" w:color="auto"/>
        <w:bottom w:val="none" w:sz="0" w:space="0" w:color="auto"/>
        <w:right w:val="none" w:sz="0" w:space="0" w:color="auto"/>
      </w:divBdr>
    </w:div>
    <w:div w:id="1718621885">
      <w:bodyDiv w:val="1"/>
      <w:marLeft w:val="0"/>
      <w:marRight w:val="0"/>
      <w:marTop w:val="0"/>
      <w:marBottom w:val="0"/>
      <w:divBdr>
        <w:top w:val="none" w:sz="0" w:space="0" w:color="auto"/>
        <w:left w:val="none" w:sz="0" w:space="0" w:color="auto"/>
        <w:bottom w:val="none" w:sz="0" w:space="0" w:color="auto"/>
        <w:right w:val="none" w:sz="0" w:space="0" w:color="auto"/>
      </w:divBdr>
    </w:div>
    <w:div w:id="1749766153">
      <w:bodyDiv w:val="1"/>
      <w:marLeft w:val="0"/>
      <w:marRight w:val="0"/>
      <w:marTop w:val="0"/>
      <w:marBottom w:val="0"/>
      <w:divBdr>
        <w:top w:val="none" w:sz="0" w:space="0" w:color="auto"/>
        <w:left w:val="none" w:sz="0" w:space="0" w:color="auto"/>
        <w:bottom w:val="none" w:sz="0" w:space="0" w:color="auto"/>
        <w:right w:val="none" w:sz="0" w:space="0" w:color="auto"/>
      </w:divBdr>
    </w:div>
    <w:div w:id="1750733255">
      <w:bodyDiv w:val="1"/>
      <w:marLeft w:val="0"/>
      <w:marRight w:val="0"/>
      <w:marTop w:val="0"/>
      <w:marBottom w:val="0"/>
      <w:divBdr>
        <w:top w:val="none" w:sz="0" w:space="0" w:color="auto"/>
        <w:left w:val="none" w:sz="0" w:space="0" w:color="auto"/>
        <w:bottom w:val="none" w:sz="0" w:space="0" w:color="auto"/>
        <w:right w:val="none" w:sz="0" w:space="0" w:color="auto"/>
      </w:divBdr>
    </w:div>
    <w:div w:id="1758014887">
      <w:bodyDiv w:val="1"/>
      <w:marLeft w:val="0"/>
      <w:marRight w:val="0"/>
      <w:marTop w:val="0"/>
      <w:marBottom w:val="0"/>
      <w:divBdr>
        <w:top w:val="none" w:sz="0" w:space="0" w:color="auto"/>
        <w:left w:val="none" w:sz="0" w:space="0" w:color="auto"/>
        <w:bottom w:val="none" w:sz="0" w:space="0" w:color="auto"/>
        <w:right w:val="none" w:sz="0" w:space="0" w:color="auto"/>
      </w:divBdr>
    </w:div>
    <w:div w:id="1779133424">
      <w:bodyDiv w:val="1"/>
      <w:marLeft w:val="0"/>
      <w:marRight w:val="0"/>
      <w:marTop w:val="0"/>
      <w:marBottom w:val="0"/>
      <w:divBdr>
        <w:top w:val="none" w:sz="0" w:space="0" w:color="auto"/>
        <w:left w:val="none" w:sz="0" w:space="0" w:color="auto"/>
        <w:bottom w:val="none" w:sz="0" w:space="0" w:color="auto"/>
        <w:right w:val="none" w:sz="0" w:space="0" w:color="auto"/>
      </w:divBdr>
    </w:div>
    <w:div w:id="1818498903">
      <w:bodyDiv w:val="1"/>
      <w:marLeft w:val="0"/>
      <w:marRight w:val="0"/>
      <w:marTop w:val="0"/>
      <w:marBottom w:val="0"/>
      <w:divBdr>
        <w:top w:val="none" w:sz="0" w:space="0" w:color="auto"/>
        <w:left w:val="none" w:sz="0" w:space="0" w:color="auto"/>
        <w:bottom w:val="none" w:sz="0" w:space="0" w:color="auto"/>
        <w:right w:val="none" w:sz="0" w:space="0" w:color="auto"/>
      </w:divBdr>
    </w:div>
    <w:div w:id="1896356359">
      <w:bodyDiv w:val="1"/>
      <w:marLeft w:val="0"/>
      <w:marRight w:val="0"/>
      <w:marTop w:val="0"/>
      <w:marBottom w:val="0"/>
      <w:divBdr>
        <w:top w:val="none" w:sz="0" w:space="0" w:color="auto"/>
        <w:left w:val="none" w:sz="0" w:space="0" w:color="auto"/>
        <w:bottom w:val="none" w:sz="0" w:space="0" w:color="auto"/>
        <w:right w:val="none" w:sz="0" w:space="0" w:color="auto"/>
      </w:divBdr>
    </w:div>
    <w:div w:id="1919361234">
      <w:bodyDiv w:val="1"/>
      <w:marLeft w:val="0"/>
      <w:marRight w:val="0"/>
      <w:marTop w:val="0"/>
      <w:marBottom w:val="0"/>
      <w:divBdr>
        <w:top w:val="none" w:sz="0" w:space="0" w:color="auto"/>
        <w:left w:val="none" w:sz="0" w:space="0" w:color="auto"/>
        <w:bottom w:val="none" w:sz="0" w:space="0" w:color="auto"/>
        <w:right w:val="none" w:sz="0" w:space="0" w:color="auto"/>
      </w:divBdr>
    </w:div>
    <w:div w:id="1924879089">
      <w:bodyDiv w:val="1"/>
      <w:marLeft w:val="0"/>
      <w:marRight w:val="0"/>
      <w:marTop w:val="0"/>
      <w:marBottom w:val="0"/>
      <w:divBdr>
        <w:top w:val="none" w:sz="0" w:space="0" w:color="auto"/>
        <w:left w:val="none" w:sz="0" w:space="0" w:color="auto"/>
        <w:bottom w:val="none" w:sz="0" w:space="0" w:color="auto"/>
        <w:right w:val="none" w:sz="0" w:space="0" w:color="auto"/>
      </w:divBdr>
    </w:div>
    <w:div w:id="1932659117">
      <w:bodyDiv w:val="1"/>
      <w:marLeft w:val="0"/>
      <w:marRight w:val="0"/>
      <w:marTop w:val="0"/>
      <w:marBottom w:val="0"/>
      <w:divBdr>
        <w:top w:val="none" w:sz="0" w:space="0" w:color="auto"/>
        <w:left w:val="none" w:sz="0" w:space="0" w:color="auto"/>
        <w:bottom w:val="none" w:sz="0" w:space="0" w:color="auto"/>
        <w:right w:val="none" w:sz="0" w:space="0" w:color="auto"/>
      </w:divBdr>
    </w:div>
    <w:div w:id="1944997474">
      <w:bodyDiv w:val="1"/>
      <w:marLeft w:val="0"/>
      <w:marRight w:val="0"/>
      <w:marTop w:val="0"/>
      <w:marBottom w:val="0"/>
      <w:divBdr>
        <w:top w:val="none" w:sz="0" w:space="0" w:color="auto"/>
        <w:left w:val="none" w:sz="0" w:space="0" w:color="auto"/>
        <w:bottom w:val="none" w:sz="0" w:space="0" w:color="auto"/>
        <w:right w:val="none" w:sz="0" w:space="0" w:color="auto"/>
      </w:divBdr>
    </w:div>
    <w:div w:id="1952472070">
      <w:bodyDiv w:val="1"/>
      <w:marLeft w:val="0"/>
      <w:marRight w:val="0"/>
      <w:marTop w:val="0"/>
      <w:marBottom w:val="0"/>
      <w:divBdr>
        <w:top w:val="none" w:sz="0" w:space="0" w:color="auto"/>
        <w:left w:val="none" w:sz="0" w:space="0" w:color="auto"/>
        <w:bottom w:val="none" w:sz="0" w:space="0" w:color="auto"/>
        <w:right w:val="none" w:sz="0" w:space="0" w:color="auto"/>
      </w:divBdr>
    </w:div>
    <w:div w:id="199861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image" Target="media/image7.png"/><Relationship Id="rId26" Type="http://schemas.openxmlformats.org/officeDocument/2006/relationships/hyperlink" Target="https://www.screener.in/company/KOTAKBANK/consolidated/" TargetMode="External"/><Relationship Id="rId39" Type="http://schemas.openxmlformats.org/officeDocument/2006/relationships/image" Target="media/image9.emf"/><Relationship Id="rId21" Type="http://schemas.openxmlformats.org/officeDocument/2006/relationships/hyperlink" Target="https://www.reddit.com/r/CreditCardsIndia/comments/1h6gujh/when_will_kotak_mahindra_bank_restart_issuing_new/" TargetMode="External"/><Relationship Id="rId34" Type="http://schemas.openxmlformats.org/officeDocument/2006/relationships/hyperlink" Target="https://www.screener.in/company/ICICIBANK/" TargetMode="External"/><Relationship Id="rId42" Type="http://schemas.openxmlformats.org/officeDocument/2006/relationships/fontTable" Target="fontTable.xml"/><Relationship Id="rId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hyperlink" Target="https://www.reuters.com/world/india/indias-kotak-mahindra-bank-consider-stock-split-2025-11-14/" TargetMode="External"/><Relationship Id="rId29" Type="http://schemas.openxmlformats.org/officeDocument/2006/relationships/hyperlink" Target="https://www.alphaspread.com/security/nse/kotakbank/analyst-estimates" TargetMode="External"/><Relationship Id="rId41"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chart" Target="charts/chart3.xml"/><Relationship Id="rId24" Type="http://schemas.openxmlformats.org/officeDocument/2006/relationships/hyperlink" Target="https://www.peoplematters.in/news/compensation-benefits/kotak-ceo-draws-indian-rupee1295-cr-tops-bank-salary-charts-in-fy25-42136" TargetMode="External"/><Relationship Id="rId32" Type="http://schemas.openxmlformats.org/officeDocument/2006/relationships/hyperlink" Target="https://tradingeconomics.com/india/gdp-growth-annual" TargetMode="External"/><Relationship Id="rId37" Type="http://schemas.openxmlformats.org/officeDocument/2006/relationships/hyperlink" Target="https://www.screener.in/company/SBIN/" TargetMode="External"/><Relationship Id="rId40"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livemint.com/market/stock-market-news/kotak-mahindra-bank-stock-split-lender-fixes-board-meet-date-to-consider-first-such-move-in-15-years-11763119606894.html" TargetMode="External"/><Relationship Id="rId28" Type="http://schemas.openxmlformats.org/officeDocument/2006/relationships/hyperlink" Target="https://finbox.com/NSEI%3AKOTAKBANK/explorer/oper_inc_cagr_5y/" TargetMode="External"/><Relationship Id="rId36" Type="http://schemas.openxmlformats.org/officeDocument/2006/relationships/hyperlink" Target="https://www.screener.in/company/INDUSINDBK/" TargetMode="External"/><Relationship Id="rId10" Type="http://schemas.openxmlformats.org/officeDocument/2006/relationships/image" Target="media/image4.svg"/><Relationship Id="rId19" Type="http://schemas.openxmlformats.org/officeDocument/2006/relationships/hyperlink" Target="https://in.investing.com/news/analyst-ratings/kotak-mahindra-bank-stock-rating-upgraded-by-bofa-on-turnaround-potential-93CH-5065116" TargetMode="External"/><Relationship Id="rId31" Type="http://schemas.openxmlformats.org/officeDocument/2006/relationships/hyperlink" Target="https://www.alphaspread.com/security/nse/kotakbank/investor-relations" TargetMode="External"/><Relationship Id="rId4" Type="http://schemas.openxmlformats.org/officeDocument/2006/relationships/settings" Target="settings.xml"/><Relationship Id="rId9" Type="http://schemas.openxmlformats.org/officeDocument/2006/relationships/image" Target="media/image3.png"/><Relationship Id="rId14" Type="http://schemas.microsoft.com/office/2014/relationships/chartEx" Target="charts/chartEx1.xml"/><Relationship Id="rId22" Type="http://schemas.openxmlformats.org/officeDocument/2006/relationships/hyperlink" Target="https://www.reuters.com/world/india/indias-kotak-mahindra-bank-misses-quarterly-profit-estimates-higher-provisions-2025-10-25/" TargetMode="External"/><Relationship Id="rId27" Type="http://schemas.openxmlformats.org/officeDocument/2006/relationships/hyperlink" Target="https://finbox.com/BSE%3A500247/explorer/total_rev_cagr_5y/" TargetMode="External"/><Relationship Id="rId30" Type="http://schemas.openxmlformats.org/officeDocument/2006/relationships/hyperlink" Target="https://bfsi.economictimes.indiatimes.com/articles/kotak-mahindra-banks-powerful-growth-strategy-aiming-for-a-17-cagr-in-advances-and-nii-by-fy28/122848662" TargetMode="External"/><Relationship Id="rId35" Type="http://schemas.openxmlformats.org/officeDocument/2006/relationships/hyperlink" Target="https://www.screener.in/company/AXISBANK/" TargetMode="External"/><Relationship Id="rId43" Type="http://schemas.openxmlformats.org/officeDocument/2006/relationships/theme" Target="theme/theme1.xml"/><Relationship Id="rId8" Type="http://schemas.openxmlformats.org/officeDocument/2006/relationships/chart" Target="charts/chart2.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chart" Target="charts/chart6.xml"/><Relationship Id="rId25" Type="http://schemas.openxmlformats.org/officeDocument/2006/relationships/hyperlink" Target="https://www.kotak.bank.in/en/home.html" TargetMode="External"/><Relationship Id="rId33" Type="http://schemas.openxmlformats.org/officeDocument/2006/relationships/hyperlink" Target="https://www.screener.in/company/HDFCBANK/" TargetMode="External"/><Relationship Id="rId38"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ttps://d.docs.live.net/686D5E4CE43729B8/Documents/Final_kota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t>Actual And</a:t>
            </a:r>
            <a:r>
              <a:rPr lang="en-US" baseline="0"/>
              <a:t> Forecast Revenue</a:t>
            </a:r>
            <a:endParaRPr lang="en-US"/>
          </a:p>
        </c:rich>
      </c:tx>
      <c:overlay val="0"/>
      <c:spPr>
        <a:noFill/>
        <a:ln>
          <a:noFill/>
          <a:prstDash val="solid"/>
        </a:ln>
      </c:spPr>
    </c:title>
    <c:autoTitleDeleted val="0"/>
    <c:plotArea>
      <c:layout>
        <c:manualLayout>
          <c:layoutTarget val="inner"/>
          <c:xMode val="edge"/>
          <c:yMode val="edge"/>
          <c:x val="0.21689658865889061"/>
          <c:y val="3.2742293204407573E-2"/>
          <c:w val="0.78282152230971125"/>
          <c:h val="0.61498432487605714"/>
        </c:manualLayout>
      </c:layout>
      <c:lineChart>
        <c:grouping val="standard"/>
        <c:varyColors val="0"/>
        <c:ser>
          <c:idx val="0"/>
          <c:order val="0"/>
          <c:tx>
            <c:strRef>
              <c:f>Charts!$B$1</c:f>
              <c:strCache>
                <c:ptCount val="1"/>
                <c:pt idx="0">
                  <c:v>Actual Revenue</c:v>
                </c:pt>
              </c:strCache>
            </c:strRef>
          </c:tx>
          <c:spPr>
            <a:ln w="28575" cap="rnd">
              <a:solidFill>
                <a:schemeClr val="accent1"/>
              </a:solidFill>
              <a:prstDash val="solid"/>
              <a:round/>
            </a:ln>
          </c:spPr>
          <c:marker>
            <c:symbol val="none"/>
          </c:marker>
          <c:cat>
            <c:strRef>
              <c:f>Charts!$A$2:$A$11</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Charts!$B$2:$B$11</c:f>
              <c:numCache>
                <c:formatCode>#,##0</c:formatCode>
                <c:ptCount val="10"/>
                <c:pt idx="0">
                  <c:v>207988361</c:v>
                </c:pt>
                <c:pt idx="1">
                  <c:v>231778178</c:v>
                </c:pt>
                <c:pt idx="2">
                  <c:v>286349662</c:v>
                </c:pt>
                <c:pt idx="3">
                  <c:v>362662001</c:v>
                </c:pt>
                <c:pt idx="4">
                  <c:v>433027775</c:v>
                </c:pt>
              </c:numCache>
            </c:numRef>
          </c:val>
          <c:smooth val="0"/>
          <c:extLst>
            <c:ext xmlns:c16="http://schemas.microsoft.com/office/drawing/2014/chart" uri="{C3380CC4-5D6E-409C-BE32-E72D297353CC}">
              <c16:uniqueId val="{00000000-61E7-4FA3-957E-385906E8E7D7}"/>
            </c:ext>
          </c:extLst>
        </c:ser>
        <c:ser>
          <c:idx val="1"/>
          <c:order val="1"/>
          <c:tx>
            <c:strRef>
              <c:f>Charts!$C$1</c:f>
              <c:strCache>
                <c:ptCount val="1"/>
                <c:pt idx="0">
                  <c:v>Forecast Revenue</c:v>
                </c:pt>
              </c:strCache>
            </c:strRef>
          </c:tx>
          <c:spPr>
            <a:ln w="28575" cap="rnd">
              <a:solidFill>
                <a:schemeClr val="accent1"/>
              </a:solidFill>
              <a:prstDash val="sysDash"/>
              <a:round/>
            </a:ln>
          </c:spPr>
          <c:marker>
            <c:symbol val="none"/>
          </c:marker>
          <c:cat>
            <c:strRef>
              <c:f>Charts!$A$2:$A$11</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Charts!$C$2:$C$11</c:f>
              <c:numCache>
                <c:formatCode>General</c:formatCode>
                <c:ptCount val="10"/>
                <c:pt idx="5" formatCode="#,##0">
                  <c:v>510972774.5</c:v>
                </c:pt>
                <c:pt idx="6" formatCode="#,##0">
                  <c:v>602947873.90999997</c:v>
                </c:pt>
                <c:pt idx="7" formatCode="#,##0">
                  <c:v>711478491.21379995</c:v>
                </c:pt>
                <c:pt idx="8" formatCode="#,##0">
                  <c:v>839544619.63228393</c:v>
                </c:pt>
                <c:pt idx="9" formatCode="#,##0">
                  <c:v>990662651.16609502</c:v>
                </c:pt>
              </c:numCache>
            </c:numRef>
          </c:val>
          <c:smooth val="0"/>
          <c:extLst>
            <c:ext xmlns:c16="http://schemas.microsoft.com/office/drawing/2014/chart" uri="{C3380CC4-5D6E-409C-BE32-E72D297353CC}">
              <c16:uniqueId val="{00000001-61E7-4FA3-957E-385906E8E7D7}"/>
            </c:ext>
          </c:extLst>
        </c:ser>
        <c:dLbls>
          <c:showLegendKey val="0"/>
          <c:showVal val="0"/>
          <c:showCatName val="0"/>
          <c:showSerName val="0"/>
          <c:showPercent val="0"/>
          <c:showBubbleSize val="0"/>
        </c:dLbls>
        <c:smooth val="0"/>
        <c:axId val="447240736"/>
        <c:axId val="447239296"/>
      </c:lineChart>
      <c:catAx>
        <c:axId val="447240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447239296"/>
        <c:crosses val="autoZero"/>
        <c:auto val="1"/>
        <c:lblAlgn val="ctr"/>
        <c:lblOffset val="100"/>
        <c:noMultiLvlLbl val="0"/>
      </c:catAx>
      <c:valAx>
        <c:axId val="447239296"/>
        <c:scaling>
          <c:orientation val="minMax"/>
        </c:scaling>
        <c:delete val="0"/>
        <c:axPos val="l"/>
        <c:majorGridlines>
          <c:spPr>
            <a:ln w="9525" cap="flat" cmpd="sng" algn="ctr">
              <a:solidFill>
                <a:srgbClr val="FF0000"/>
              </a:solidFill>
              <a:prstDash val="solid"/>
              <a:round/>
            </a:ln>
          </c:spPr>
        </c:majorGridlines>
        <c:numFmt formatCode="#,##0"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447240736"/>
        <c:crosses val="autoZero"/>
        <c:crossBetween val="between"/>
      </c:valAx>
      <c:spPr>
        <a:solidFill>
          <a:schemeClr val="bg1"/>
        </a:solidFill>
        <a:ln>
          <a:noFill/>
        </a:ln>
      </c:spPr>
    </c:plotArea>
    <c:legend>
      <c:legendPos val="b"/>
      <c:layout>
        <c:manualLayout>
          <c:xMode val="edge"/>
          <c:yMode val="edge"/>
          <c:x val="9.6022024898333946E-2"/>
          <c:y val="0.86902308554116103"/>
          <c:w val="0.80431731552930086"/>
          <c:h val="9.6622491326860696E-2"/>
        </c:manualLayout>
      </c:layou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Reveue and Operating Profit- Actuals and Forecasts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0940966754155729"/>
          <c:y val="0.1902314814814815"/>
          <c:w val="0.78282152230971125"/>
          <c:h val="0.61498432487605714"/>
        </c:manualLayout>
      </c:layout>
      <c:barChart>
        <c:barDir val="col"/>
        <c:grouping val="clustered"/>
        <c:varyColors val="0"/>
        <c:ser>
          <c:idx val="1"/>
          <c:order val="0"/>
          <c:tx>
            <c:strRef>
              <c:f>Valuation!$A$8</c:f>
              <c:strCache>
                <c:ptCount val="1"/>
                <c:pt idx="0">
                  <c:v>Revenue (Total operating income)</c:v>
                </c:pt>
              </c:strCache>
            </c:strRef>
          </c:tx>
          <c:spPr>
            <a:solidFill>
              <a:schemeClr val="accent2"/>
            </a:solidFill>
            <a:ln>
              <a:noFill/>
            </a:ln>
            <a:effectLst/>
          </c:spPr>
          <c:invertIfNegative val="0"/>
          <c:cat>
            <c:strRef>
              <c:f>Valuation!$B$5:$K$6</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Valuation!$B$8:$K$8</c:f>
              <c:numCache>
                <c:formatCode>_(* #,##0.0000_);_(* \(#,##0.0000\);_(* "-"??_);_(@_)</c:formatCode>
                <c:ptCount val="10"/>
                <c:pt idx="0">
                  <c:v>207988361</c:v>
                </c:pt>
                <c:pt idx="1">
                  <c:v>231778178</c:v>
                </c:pt>
                <c:pt idx="2">
                  <c:v>286349662</c:v>
                </c:pt>
                <c:pt idx="3">
                  <c:v>362662001</c:v>
                </c:pt>
                <c:pt idx="4">
                  <c:v>433027775</c:v>
                </c:pt>
                <c:pt idx="5">
                  <c:v>510972774.5</c:v>
                </c:pt>
                <c:pt idx="6">
                  <c:v>602947873.90999997</c:v>
                </c:pt>
                <c:pt idx="7">
                  <c:v>711478491.21379995</c:v>
                </c:pt>
                <c:pt idx="8">
                  <c:v>839544619.63228393</c:v>
                </c:pt>
                <c:pt idx="9">
                  <c:v>990662651.16609502</c:v>
                </c:pt>
              </c:numCache>
            </c:numRef>
          </c:val>
          <c:extLst>
            <c:ext xmlns:c16="http://schemas.microsoft.com/office/drawing/2014/chart" uri="{C3380CC4-5D6E-409C-BE32-E72D297353CC}">
              <c16:uniqueId val="{00000000-8265-4372-A2C8-F53DFF311ABD}"/>
            </c:ext>
          </c:extLst>
        </c:ser>
        <c:dLbls>
          <c:showLegendKey val="0"/>
          <c:showVal val="0"/>
          <c:showCatName val="0"/>
          <c:showSerName val="0"/>
          <c:showPercent val="0"/>
          <c:showBubbleSize val="0"/>
        </c:dLbls>
        <c:gapWidth val="219"/>
        <c:overlap val="-27"/>
        <c:axId val="329537920"/>
        <c:axId val="329538400"/>
      </c:barChart>
      <c:lineChart>
        <c:grouping val="standard"/>
        <c:varyColors val="0"/>
        <c:ser>
          <c:idx val="2"/>
          <c:order val="1"/>
          <c:tx>
            <c:strRef>
              <c:f>Valuation!$A$13</c:f>
              <c:strCache>
                <c:ptCount val="1"/>
                <c:pt idx="0">
                  <c:v>Pre-Provision Operating Profit (PPOP)</c:v>
                </c:pt>
              </c:strCache>
            </c:strRef>
          </c:tx>
          <c:spPr>
            <a:ln w="28575" cap="rnd">
              <a:solidFill>
                <a:schemeClr val="accent3"/>
              </a:solidFill>
              <a:round/>
            </a:ln>
            <a:effectLst/>
          </c:spPr>
          <c:marker>
            <c:symbol val="none"/>
          </c:marker>
          <c:cat>
            <c:strRef>
              <c:f>Valuation!$B$5:$K$6</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Valuation!$B$13:$K$13</c:f>
              <c:numCache>
                <c:formatCode>_(* #,##0.0000_);_(* \(#,##0.0000\);_(* "-"??_);_(@_)</c:formatCode>
                <c:ptCount val="10"/>
                <c:pt idx="0">
                  <c:v>122146981</c:v>
                </c:pt>
                <c:pt idx="1">
                  <c:v>120564293</c:v>
                </c:pt>
                <c:pt idx="2">
                  <c:v>148479725</c:v>
                </c:pt>
                <c:pt idx="3">
                  <c:v>195873541</c:v>
                </c:pt>
                <c:pt idx="4">
                  <c:v>245263380</c:v>
                </c:pt>
                <c:pt idx="5">
                  <c:v>289410788.39999998</c:v>
                </c:pt>
                <c:pt idx="6">
                  <c:v>346570728.82049996</c:v>
                </c:pt>
                <c:pt idx="7">
                  <c:v>414931338.24821997</c:v>
                </c:pt>
                <c:pt idx="8">
                  <c:v>496672875.45613492</c:v>
                </c:pt>
                <c:pt idx="9">
                  <c:v>594397590.69965696</c:v>
                </c:pt>
              </c:numCache>
            </c:numRef>
          </c:val>
          <c:smooth val="0"/>
          <c:extLst>
            <c:ext xmlns:c16="http://schemas.microsoft.com/office/drawing/2014/chart" uri="{C3380CC4-5D6E-409C-BE32-E72D297353CC}">
              <c16:uniqueId val="{00000001-8265-4372-A2C8-F53DFF311ABD}"/>
            </c:ext>
          </c:extLst>
        </c:ser>
        <c:dLbls>
          <c:showLegendKey val="0"/>
          <c:showVal val="0"/>
          <c:showCatName val="0"/>
          <c:showSerName val="0"/>
          <c:showPercent val="0"/>
          <c:showBubbleSize val="0"/>
        </c:dLbls>
        <c:marker val="1"/>
        <c:smooth val="0"/>
        <c:axId val="329537920"/>
        <c:axId val="329538400"/>
      </c:lineChart>
      <c:catAx>
        <c:axId val="329537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538400"/>
        <c:crosses val="autoZero"/>
        <c:auto val="1"/>
        <c:lblAlgn val="ctr"/>
        <c:lblOffset val="100"/>
        <c:noMultiLvlLbl val="0"/>
      </c:catAx>
      <c:valAx>
        <c:axId val="329538400"/>
        <c:scaling>
          <c:orientation val="minMax"/>
        </c:scaling>
        <c:delete val="0"/>
        <c:axPos val="l"/>
        <c:majorGridlines>
          <c:spPr>
            <a:ln w="9525" cap="flat" cmpd="sng" algn="ctr">
              <a:solidFill>
                <a:schemeClr val="tx1">
                  <a:lumMod val="15000"/>
                  <a:lumOff val="85000"/>
                </a:schemeClr>
              </a:solidFill>
              <a:round/>
            </a:ln>
            <a:effectLst/>
          </c:spPr>
        </c:majorGridlines>
        <c:numFmt formatCode="_(* #,##0.0000_);_(* \(#,##0.0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537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t>Actual And</a:t>
            </a:r>
            <a:r>
              <a:rPr lang="en-US" baseline="0"/>
              <a:t> Forecast Revenue</a:t>
            </a:r>
            <a:endParaRPr lang="en-US"/>
          </a:p>
        </c:rich>
      </c:tx>
      <c:overlay val="0"/>
      <c:spPr>
        <a:noFill/>
        <a:ln>
          <a:noFill/>
          <a:prstDash val="solid"/>
        </a:ln>
      </c:spPr>
    </c:title>
    <c:autoTitleDeleted val="0"/>
    <c:plotArea>
      <c:layout>
        <c:manualLayout>
          <c:layoutTarget val="inner"/>
          <c:xMode val="edge"/>
          <c:yMode val="edge"/>
          <c:x val="0.1727340332458443"/>
          <c:y val="2.5428331875182269E-2"/>
          <c:w val="0.78282152230971125"/>
          <c:h val="0.61498432487605714"/>
        </c:manualLayout>
      </c:layout>
      <c:lineChart>
        <c:grouping val="standard"/>
        <c:varyColors val="0"/>
        <c:ser>
          <c:idx val="0"/>
          <c:order val="0"/>
          <c:tx>
            <c:strRef>
              <c:f>Charts!$B$1</c:f>
              <c:strCache>
                <c:ptCount val="1"/>
                <c:pt idx="0">
                  <c:v>Actual Revenue</c:v>
                </c:pt>
              </c:strCache>
            </c:strRef>
          </c:tx>
          <c:spPr>
            <a:ln w="28575" cap="rnd">
              <a:solidFill>
                <a:schemeClr val="accent1"/>
              </a:solidFill>
              <a:prstDash val="solid"/>
              <a:round/>
            </a:ln>
          </c:spPr>
          <c:marker>
            <c:symbol val="none"/>
          </c:marker>
          <c:cat>
            <c:strRef>
              <c:f>Charts!$A$2:$A$11</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Charts!$B$2:$B$11</c:f>
              <c:numCache>
                <c:formatCode>#,##0</c:formatCode>
                <c:ptCount val="10"/>
                <c:pt idx="0">
                  <c:v>207988361</c:v>
                </c:pt>
                <c:pt idx="1">
                  <c:v>231778178</c:v>
                </c:pt>
                <c:pt idx="2">
                  <c:v>286349662</c:v>
                </c:pt>
                <c:pt idx="3">
                  <c:v>362662001</c:v>
                </c:pt>
                <c:pt idx="4">
                  <c:v>433027775</c:v>
                </c:pt>
              </c:numCache>
            </c:numRef>
          </c:val>
          <c:smooth val="0"/>
          <c:extLst>
            <c:ext xmlns:c16="http://schemas.microsoft.com/office/drawing/2014/chart" uri="{C3380CC4-5D6E-409C-BE32-E72D297353CC}">
              <c16:uniqueId val="{00000000-462C-445A-A765-FC52D9D1C99A}"/>
            </c:ext>
          </c:extLst>
        </c:ser>
        <c:ser>
          <c:idx val="1"/>
          <c:order val="1"/>
          <c:tx>
            <c:strRef>
              <c:f>Charts!$C$1</c:f>
              <c:strCache>
                <c:ptCount val="1"/>
                <c:pt idx="0">
                  <c:v>Forecast Revenue</c:v>
                </c:pt>
              </c:strCache>
            </c:strRef>
          </c:tx>
          <c:spPr>
            <a:ln w="28575" cap="rnd">
              <a:solidFill>
                <a:schemeClr val="accent1"/>
              </a:solidFill>
              <a:prstDash val="sysDash"/>
              <a:round/>
            </a:ln>
          </c:spPr>
          <c:marker>
            <c:symbol val="none"/>
          </c:marker>
          <c:cat>
            <c:strRef>
              <c:f>Charts!$A$2:$A$11</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Charts!$C$2:$C$11</c:f>
              <c:numCache>
                <c:formatCode>General</c:formatCode>
                <c:ptCount val="10"/>
                <c:pt idx="5" formatCode="#,##0">
                  <c:v>510972774.5</c:v>
                </c:pt>
                <c:pt idx="6" formatCode="#,##0">
                  <c:v>602947873.90999997</c:v>
                </c:pt>
                <c:pt idx="7" formatCode="#,##0">
                  <c:v>711478491.21379995</c:v>
                </c:pt>
                <c:pt idx="8" formatCode="#,##0">
                  <c:v>839544619.63228393</c:v>
                </c:pt>
                <c:pt idx="9" formatCode="#,##0">
                  <c:v>990662651.16609502</c:v>
                </c:pt>
              </c:numCache>
            </c:numRef>
          </c:val>
          <c:smooth val="0"/>
          <c:extLst>
            <c:ext xmlns:c16="http://schemas.microsoft.com/office/drawing/2014/chart" uri="{C3380CC4-5D6E-409C-BE32-E72D297353CC}">
              <c16:uniqueId val="{00000001-462C-445A-A765-FC52D9D1C99A}"/>
            </c:ext>
          </c:extLst>
        </c:ser>
        <c:dLbls>
          <c:showLegendKey val="0"/>
          <c:showVal val="0"/>
          <c:showCatName val="0"/>
          <c:showSerName val="0"/>
          <c:showPercent val="0"/>
          <c:showBubbleSize val="0"/>
        </c:dLbls>
        <c:smooth val="0"/>
        <c:axId val="447240736"/>
        <c:axId val="447239296"/>
      </c:lineChart>
      <c:catAx>
        <c:axId val="447240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447239296"/>
        <c:crosses val="autoZero"/>
        <c:auto val="1"/>
        <c:lblAlgn val="ctr"/>
        <c:lblOffset val="100"/>
        <c:noMultiLvlLbl val="0"/>
      </c:catAx>
      <c:valAx>
        <c:axId val="447239296"/>
        <c:scaling>
          <c:orientation val="minMax"/>
        </c:scaling>
        <c:delete val="0"/>
        <c:axPos val="l"/>
        <c:majorGridlines>
          <c:spPr>
            <a:ln w="9525" cap="flat" cmpd="sng" algn="ctr">
              <a:solidFill>
                <a:srgbClr val="FF0000"/>
              </a:solidFill>
              <a:prstDash val="solid"/>
              <a:round/>
            </a:ln>
          </c:spPr>
        </c:majorGridlines>
        <c:numFmt formatCode="#,##0"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447240736"/>
        <c:crosses val="autoZero"/>
        <c:crossBetween val="between"/>
      </c:valAx>
      <c:spPr>
        <a:solidFill>
          <a:schemeClr val="bg1"/>
        </a:solidFill>
        <a:ln>
          <a:noFill/>
        </a:ln>
      </c:spPr>
    </c:plotArea>
    <c:legend>
      <c:legendPos val="b"/>
      <c:layout>
        <c:manualLayout>
          <c:xMode val="edge"/>
          <c:yMode val="edge"/>
          <c:x val="9.6022024898333946E-2"/>
          <c:y val="0.86902308554116103"/>
          <c:w val="0.80431731552930086"/>
          <c:h val="9.6622491326860696E-2"/>
        </c:manualLayout>
      </c:layout>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6304972647078606"/>
          <c:y val="0.23788142455934805"/>
          <c:w val="0.71875140259750858"/>
          <c:h val="0.62792416594543032"/>
        </c:manualLayout>
      </c:layout>
      <c:barChart>
        <c:barDir val="col"/>
        <c:grouping val="clustered"/>
        <c:varyColors val="0"/>
        <c:ser>
          <c:idx val="0"/>
          <c:order val="0"/>
          <c:tx>
            <c:strRef>
              <c:f>Charts!$B$20</c:f>
              <c:strCache>
                <c:ptCount val="1"/>
                <c:pt idx="0">
                  <c:v>Free Cash Flow to Equity (FCFE)</c:v>
                </c:pt>
              </c:strCache>
            </c:strRef>
          </c:tx>
          <c:spPr>
            <a:solidFill>
              <a:srgbClr val="FF0000"/>
            </a:solidFill>
            <a:ln>
              <a:noFill/>
            </a:ln>
            <a:effectLst/>
          </c:spPr>
          <c:invertIfNegative val="0"/>
          <c:cat>
            <c:strRef>
              <c:f>Charts!$A$21:$A$25</c:f>
              <c:strCache>
                <c:ptCount val="5"/>
                <c:pt idx="0">
                  <c:v>FY26</c:v>
                </c:pt>
                <c:pt idx="1">
                  <c:v>FY27</c:v>
                </c:pt>
                <c:pt idx="2">
                  <c:v>FY28</c:v>
                </c:pt>
                <c:pt idx="3">
                  <c:v>FY29</c:v>
                </c:pt>
                <c:pt idx="4">
                  <c:v>FY30</c:v>
                </c:pt>
              </c:strCache>
            </c:strRef>
          </c:cat>
          <c:val>
            <c:numRef>
              <c:f>Charts!$B$21:$B$25</c:f>
              <c:numCache>
                <c:formatCode>_(* #,##0.00_);_(* \(#,##0.00\);_(* "-"??_);_(@_)</c:formatCode>
                <c:ptCount val="5"/>
                <c:pt idx="0">
                  <c:v>228205724.81309998</c:v>
                </c:pt>
                <c:pt idx="1">
                  <c:v>272778294.250323</c:v>
                </c:pt>
                <c:pt idx="2">
                  <c:v>326003123.20100188</c:v>
                </c:pt>
                <c:pt idx="3">
                  <c:v>389550873.84021455</c:v>
                </c:pt>
                <c:pt idx="4">
                  <c:v>465413313.51783139</c:v>
                </c:pt>
              </c:numCache>
            </c:numRef>
          </c:val>
          <c:extLst>
            <c:ext xmlns:c16="http://schemas.microsoft.com/office/drawing/2014/chart" uri="{C3380CC4-5D6E-409C-BE32-E72D297353CC}">
              <c16:uniqueId val="{00000000-FC37-49CE-8265-B11A87783FF2}"/>
            </c:ext>
          </c:extLst>
        </c:ser>
        <c:dLbls>
          <c:showLegendKey val="0"/>
          <c:showVal val="0"/>
          <c:showCatName val="0"/>
          <c:showSerName val="0"/>
          <c:showPercent val="0"/>
          <c:showBubbleSize val="0"/>
        </c:dLbls>
        <c:gapWidth val="219"/>
        <c:overlap val="-27"/>
        <c:axId val="487701823"/>
        <c:axId val="487696063"/>
      </c:barChart>
      <c:catAx>
        <c:axId val="4877018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7696063"/>
        <c:crosses val="autoZero"/>
        <c:auto val="1"/>
        <c:lblAlgn val="ctr"/>
        <c:lblOffset val="100"/>
        <c:noMultiLvlLbl val="0"/>
      </c:catAx>
      <c:valAx>
        <c:axId val="487696063"/>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77018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ROE and ROA – Actuals and Forecasts</a:t>
            </a:r>
          </a:p>
        </c:rich>
      </c:tx>
      <c:overlay val="0"/>
    </c:title>
    <c:autoTitleDeleted val="0"/>
    <c:plotArea>
      <c:layout/>
      <c:lineChart>
        <c:grouping val="standard"/>
        <c:varyColors val="0"/>
        <c:ser>
          <c:idx val="0"/>
          <c:order val="0"/>
          <c:tx>
            <c:v>ROE</c:v>
          </c:tx>
          <c:spPr>
            <a:ln>
              <a:prstDash val="solid"/>
            </a:ln>
          </c:spPr>
          <c:marker>
            <c:symbol val="none"/>
          </c:marker>
          <c:cat>
            <c:strRef>
              <c:f>Valuation!$B$5:$K$5</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Valuation!$B$40:$K$40</c:f>
              <c:numCache>
                <c:formatCode>0.0000%</c:formatCode>
                <c:ptCount val="10"/>
                <c:pt idx="0">
                  <c:v>5.4801595090159187E-2</c:v>
                </c:pt>
                <c:pt idx="1">
                  <c:v>5.9901157136746375E-2</c:v>
                </c:pt>
                <c:pt idx="2">
                  <c:v>6.6977380800203476E-2</c:v>
                </c:pt>
                <c:pt idx="3">
                  <c:v>7.3585355777931086E-2</c:v>
                </c:pt>
                <c:pt idx="4">
                  <c:v>7.1866546073612564E-2</c:v>
                </c:pt>
                <c:pt idx="5">
                  <c:v>8.6519106793988457E-2</c:v>
                </c:pt>
                <c:pt idx="6">
                  <c:v>0.10431253809745315</c:v>
                </c:pt>
                <c:pt idx="7">
                  <c:v>0.12570838561003994</c:v>
                </c:pt>
                <c:pt idx="8">
                  <c:v>0.15142701199280045</c:v>
                </c:pt>
                <c:pt idx="9">
                  <c:v>0.18233139217958946</c:v>
                </c:pt>
              </c:numCache>
            </c:numRef>
          </c:val>
          <c:smooth val="0"/>
          <c:extLst>
            <c:ext xmlns:c16="http://schemas.microsoft.com/office/drawing/2014/chart" uri="{C3380CC4-5D6E-409C-BE32-E72D297353CC}">
              <c16:uniqueId val="{00000000-9961-4D3F-81C1-266588897BE5}"/>
            </c:ext>
          </c:extLst>
        </c:ser>
        <c:dLbls>
          <c:showLegendKey val="0"/>
          <c:showVal val="0"/>
          <c:showCatName val="0"/>
          <c:showSerName val="0"/>
          <c:showPercent val="0"/>
          <c:showBubbleSize val="0"/>
        </c:dLbls>
        <c:marker val="1"/>
        <c:smooth val="0"/>
        <c:axId val="10"/>
        <c:axId val="100"/>
      </c:lineChart>
      <c:lineChart>
        <c:grouping val="standard"/>
        <c:varyColors val="0"/>
        <c:ser>
          <c:idx val="1"/>
          <c:order val="1"/>
          <c:tx>
            <c:v>ROA</c:v>
          </c:tx>
          <c:spPr>
            <a:ln>
              <a:prstDash val="solid"/>
            </a:ln>
          </c:spPr>
          <c:marker>
            <c:symbol val="none"/>
          </c:marker>
          <c:cat>
            <c:strRef>
              <c:f>Valuation!$B$5:$K$5</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Valuation!$B$41:$K$41</c:f>
              <c:numCache>
                <c:formatCode>0.0000%</c:formatCode>
                <c:ptCount val="10"/>
                <c:pt idx="0">
                  <c:v>4.4022132818063636E-2</c:v>
                </c:pt>
                <c:pt idx="1">
                  <c:v>5.7562295888787543E-2</c:v>
                </c:pt>
                <c:pt idx="2">
                  <c:v>6.1675239963202219E-2</c:v>
                </c:pt>
                <c:pt idx="3">
                  <c:v>6.1448625695306298E-2</c:v>
                </c:pt>
                <c:pt idx="4">
                  <c:v>6.2206965474685676E-2</c:v>
                </c:pt>
                <c:pt idx="5">
                  <c:v>6.5121805119673179E-2</c:v>
                </c:pt>
                <c:pt idx="6">
                  <c:v>6.8273642759786063E-2</c:v>
                </c:pt>
                <c:pt idx="7">
                  <c:v>7.1545606806371592E-2</c:v>
                </c:pt>
                <c:pt idx="8">
                  <c:v>7.4941819806250587E-2</c:v>
                </c:pt>
                <c:pt idx="9">
                  <c:v>7.8466537646103798E-2</c:v>
                </c:pt>
              </c:numCache>
            </c:numRef>
          </c:val>
          <c:smooth val="0"/>
          <c:extLst>
            <c:ext xmlns:c16="http://schemas.microsoft.com/office/drawing/2014/chart" uri="{C3380CC4-5D6E-409C-BE32-E72D297353CC}">
              <c16:uniqueId val="{00000001-9961-4D3F-81C1-266588897BE5}"/>
            </c:ext>
          </c:extLst>
        </c:ser>
        <c:dLbls>
          <c:showLegendKey val="0"/>
          <c:showVal val="0"/>
          <c:showCatName val="0"/>
          <c:showSerName val="0"/>
          <c:showPercent val="0"/>
          <c:showBubbleSize val="0"/>
        </c:dLbls>
        <c:marker val="1"/>
        <c:smooth val="0"/>
        <c:axId val="10"/>
        <c:axId val="200"/>
      </c:lineChart>
      <c:catAx>
        <c:axId val="10"/>
        <c:scaling>
          <c:orientation val="minMax"/>
        </c:scaling>
        <c:delete val="0"/>
        <c:axPos val="b"/>
        <c:title>
          <c:tx>
            <c:rich>
              <a:bodyPr/>
              <a:lstStyle/>
              <a:p>
                <a:pPr>
                  <a:defRPr/>
                </a:pPr>
                <a:r>
                  <a:rPr lang="en-US"/>
                  <a:t>Year</a:t>
                </a:r>
              </a:p>
            </c:rich>
          </c:tx>
          <c:overlay val="0"/>
        </c:title>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title>
          <c:tx>
            <c:rich>
              <a:bodyPr/>
              <a:lstStyle/>
              <a:p>
                <a:pPr>
                  <a:defRPr/>
                </a:pPr>
                <a:r>
                  <a:rPr lang="en-US"/>
                  <a:t>ROE (%)</a:t>
                </a:r>
              </a:p>
            </c:rich>
          </c:tx>
          <c:overlay val="0"/>
        </c:title>
        <c:numFmt formatCode="0.0000%" sourceLinked="1"/>
        <c:majorTickMark val="none"/>
        <c:minorTickMark val="none"/>
        <c:tickLblPos val="nextTo"/>
        <c:crossAx val="10"/>
        <c:crosses val="autoZero"/>
        <c:crossBetween val="between"/>
      </c:valAx>
      <c:valAx>
        <c:axId val="200"/>
        <c:scaling>
          <c:orientation val="minMax"/>
        </c:scaling>
        <c:delete val="0"/>
        <c:axPos val="r"/>
        <c:majorGridlines/>
        <c:title>
          <c:tx>
            <c:rich>
              <a:bodyPr/>
              <a:lstStyle/>
              <a:p>
                <a:pPr>
                  <a:defRPr/>
                </a:pPr>
                <a:r>
                  <a:rPr lang="en-US"/>
                  <a:t>ROA (%)</a:t>
                </a:r>
              </a:p>
            </c:rich>
          </c:tx>
          <c:overlay val="0"/>
        </c:title>
        <c:numFmt formatCode="0.0000%" sourceLinked="1"/>
        <c:majorTickMark val="none"/>
        <c:minorTickMark val="none"/>
        <c:tickLblPos val="nextTo"/>
        <c:crossAx val="10"/>
        <c:crosses val="max"/>
        <c:crossBetween val="between"/>
      </c:valAx>
      <c:spPr>
        <a:solidFill>
          <a:schemeClr val="bg1"/>
        </a:solidFill>
        <a:ln>
          <a:solidFill>
            <a:schemeClr val="bg1"/>
          </a:solidFill>
        </a:ln>
      </c:spPr>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strike="noStrike" kern="1200" spc="0" baseline="0">
                <a:solidFill>
                  <a:schemeClr val="tx1">
                    <a:lumMod val="65000"/>
                    <a:lumOff val="35000"/>
                  </a:schemeClr>
                </a:solidFill>
                <a:latin typeface="+mn-lt"/>
                <a:ea typeface="+mn-ea"/>
                <a:cs typeface="+mn-cs"/>
              </a:defRPr>
            </a:pPr>
            <a:r>
              <a:rPr lang="en-US"/>
              <a:t>Revenue and PAT – Actuals and Forecasts</a:t>
            </a:r>
          </a:p>
        </c:rich>
      </c:tx>
      <c:overlay val="0"/>
      <c:spPr>
        <a:noFill/>
        <a:ln>
          <a:noFill/>
          <a:prstDash val="solid"/>
        </a:ln>
      </c:spPr>
    </c:title>
    <c:autoTitleDeleted val="0"/>
    <c:plotArea>
      <c:layout/>
      <c:lineChart>
        <c:grouping val="standard"/>
        <c:varyColors val="0"/>
        <c:ser>
          <c:idx val="0"/>
          <c:order val="0"/>
          <c:tx>
            <c:v>Revenue</c:v>
          </c:tx>
          <c:spPr>
            <a:ln w="28575" cap="rnd">
              <a:solidFill>
                <a:schemeClr val="accent1"/>
              </a:solidFill>
              <a:prstDash val="solid"/>
              <a:round/>
            </a:ln>
          </c:spPr>
          <c:marker>
            <c:symbol val="circle"/>
            <c:size val="5"/>
            <c:spPr>
              <a:solidFill>
                <a:schemeClr val="accent1"/>
              </a:solidFill>
              <a:ln w="9525">
                <a:solidFill>
                  <a:schemeClr val="accent1"/>
                </a:solidFill>
                <a:prstDash val="solid"/>
              </a:ln>
            </c:spPr>
          </c:marker>
          <c:cat>
            <c:strRef>
              <c:f>Valuation!$B$5:$K$5</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Valuation!$B$8:$K$8</c:f>
              <c:numCache>
                <c:formatCode>_(* #,##0.0000_);_(* \(#,##0.0000\);_(* "-"??_);_(@_)</c:formatCode>
                <c:ptCount val="10"/>
                <c:pt idx="0">
                  <c:v>207988361</c:v>
                </c:pt>
                <c:pt idx="1">
                  <c:v>231778178</c:v>
                </c:pt>
                <c:pt idx="2">
                  <c:v>286349662</c:v>
                </c:pt>
                <c:pt idx="3">
                  <c:v>362662001</c:v>
                </c:pt>
                <c:pt idx="4">
                  <c:v>433027775</c:v>
                </c:pt>
                <c:pt idx="5">
                  <c:v>510972774.5</c:v>
                </c:pt>
                <c:pt idx="6">
                  <c:v>602947873.90999997</c:v>
                </c:pt>
                <c:pt idx="7">
                  <c:v>711478491.21379995</c:v>
                </c:pt>
                <c:pt idx="8">
                  <c:v>839544619.63228393</c:v>
                </c:pt>
                <c:pt idx="9">
                  <c:v>990662651.16609502</c:v>
                </c:pt>
              </c:numCache>
            </c:numRef>
          </c:val>
          <c:smooth val="0"/>
          <c:extLst>
            <c:ext xmlns:c16="http://schemas.microsoft.com/office/drawing/2014/chart" uri="{C3380CC4-5D6E-409C-BE32-E72D297353CC}">
              <c16:uniqueId val="{00000000-9FCD-46A0-BF32-8147366E91FA}"/>
            </c:ext>
          </c:extLst>
        </c:ser>
        <c:ser>
          <c:idx val="1"/>
          <c:order val="1"/>
          <c:tx>
            <c:v>PAT</c:v>
          </c:tx>
          <c:spPr>
            <a:ln w="28575" cap="rnd">
              <a:solidFill>
                <a:schemeClr val="accent2"/>
              </a:solidFill>
              <a:prstDash val="solid"/>
              <a:round/>
            </a:ln>
          </c:spPr>
          <c:marker>
            <c:symbol val="circle"/>
            <c:size val="5"/>
            <c:spPr>
              <a:solidFill>
                <a:schemeClr val="accent2"/>
              </a:solidFill>
              <a:ln w="9525">
                <a:solidFill>
                  <a:schemeClr val="accent2"/>
                </a:solidFill>
                <a:prstDash val="solid"/>
              </a:ln>
            </c:spPr>
          </c:marker>
          <c:cat>
            <c:strRef>
              <c:f>Valuation!$B$5:$K$5</c:f>
              <c:strCache>
                <c:ptCount val="10"/>
                <c:pt idx="0">
                  <c:v>FY21</c:v>
                </c:pt>
                <c:pt idx="1">
                  <c:v>FY22</c:v>
                </c:pt>
                <c:pt idx="2">
                  <c:v>FY23</c:v>
                </c:pt>
                <c:pt idx="3">
                  <c:v>FY24</c:v>
                </c:pt>
                <c:pt idx="4">
                  <c:v>FY25</c:v>
                </c:pt>
                <c:pt idx="5">
                  <c:v>FY26</c:v>
                </c:pt>
                <c:pt idx="6">
                  <c:v>FY27</c:v>
                </c:pt>
                <c:pt idx="7">
                  <c:v>FY28</c:v>
                </c:pt>
                <c:pt idx="8">
                  <c:v>FY29</c:v>
                </c:pt>
                <c:pt idx="9">
                  <c:v>FY30</c:v>
                </c:pt>
              </c:strCache>
            </c:strRef>
          </c:cat>
          <c:val>
            <c:numRef>
              <c:f>Valuation!$B$20:$K$20</c:f>
              <c:numCache>
                <c:formatCode>_(* #,##0.0000_);_(* \(#,##0.0000\);_(* "-"??_);_(@_)</c:formatCode>
                <c:ptCount val="10"/>
                <c:pt idx="0">
                  <c:v>46266904</c:v>
                </c:pt>
                <c:pt idx="1">
                  <c:v>57896282</c:v>
                </c:pt>
                <c:pt idx="2">
                  <c:v>74876041</c:v>
                </c:pt>
                <c:pt idx="3">
                  <c:v>95493474</c:v>
                </c:pt>
                <c:pt idx="4">
                  <c:v>113159103</c:v>
                </c:pt>
                <c:pt idx="5">
                  <c:v>136230625.40309998</c:v>
                </c:pt>
                <c:pt idx="6">
                  <c:v>164247676.94652298</c:v>
                </c:pt>
                <c:pt idx="7">
                  <c:v>197936994.78251785</c:v>
                </c:pt>
                <c:pt idx="8">
                  <c:v>238432842.30640346</c:v>
                </c:pt>
                <c:pt idx="9">
                  <c:v>287094036.30793428</c:v>
                </c:pt>
              </c:numCache>
            </c:numRef>
          </c:val>
          <c:smooth val="0"/>
          <c:extLst>
            <c:ext xmlns:c16="http://schemas.microsoft.com/office/drawing/2014/chart" uri="{C3380CC4-5D6E-409C-BE32-E72D297353CC}">
              <c16:uniqueId val="{00000001-9FCD-46A0-BF32-8147366E91FA}"/>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rot="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t>Year</a:t>
                </a:r>
              </a:p>
            </c:rich>
          </c:tx>
          <c:overlay val="0"/>
          <c:spPr>
            <a:noFill/>
            <a:ln>
              <a:noFill/>
              <a:prstDash val="solid"/>
            </a:ln>
          </c:spPr>
        </c:title>
        <c:numFmt formatCode="General" sourceLinked="1"/>
        <c:majorTickMark val="none"/>
        <c:minorTickMark val="none"/>
        <c:tickLblPos val="nextTo"/>
        <c:spPr>
          <a:noFill/>
          <a:ln w="9525" cap="flat" cmpd="sng" algn="ctr">
            <a:solidFill>
              <a:schemeClr val="tx1">
                <a:lumMod val="15000"/>
                <a:lumOff val="85000"/>
              </a:schemeClr>
            </a:solidFill>
            <a:prstDash val="solid"/>
            <a:roun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100"/>
        <c:crosses val="autoZero"/>
        <c:auto val="0"/>
        <c:lblAlgn val="ctr"/>
        <c:lblOffset val="100"/>
        <c:noMultiLvlLbl val="0"/>
      </c:catAx>
      <c:valAx>
        <c:axId val="100"/>
        <c:scaling>
          <c:orientation val="minMax"/>
        </c:scaling>
        <c:delete val="0"/>
        <c:axPos val="l"/>
        <c:majorGridlines>
          <c:spPr>
            <a:ln w="9525" cap="flat" cmpd="sng" algn="ctr">
              <a:solidFill>
                <a:schemeClr val="tx1">
                  <a:lumMod val="15000"/>
                  <a:lumOff val="85000"/>
                </a:schemeClr>
              </a:solidFill>
              <a:prstDash val="solid"/>
              <a:round/>
            </a:ln>
          </c:spPr>
        </c:majorGridlines>
        <c:title>
          <c:tx>
            <c:rich>
              <a:bodyPr rot="-5400000" spcFirstLastPara="1" vertOverflow="ellipsis" vert="horz" wrap="square" anchor="ctr" anchorCtr="1"/>
              <a:lstStyle/>
              <a:p>
                <a:pPr>
                  <a:defRPr sz="1000" b="0" i="0" strike="noStrike" kern="1200" baseline="0">
                    <a:solidFill>
                      <a:schemeClr val="tx1">
                        <a:lumMod val="65000"/>
                        <a:lumOff val="35000"/>
                      </a:schemeClr>
                    </a:solidFill>
                    <a:latin typeface="+mn-lt"/>
                    <a:ea typeface="+mn-ea"/>
                    <a:cs typeface="+mn-cs"/>
                  </a:defRPr>
                </a:pPr>
                <a:r>
                  <a:rPr lang="en-US"/>
                  <a:t>₹ (thousands)</a:t>
                </a:r>
              </a:p>
            </c:rich>
          </c:tx>
          <c:overlay val="0"/>
          <c:spPr>
            <a:noFill/>
            <a:ln>
              <a:noFill/>
              <a:prstDash val="solid"/>
            </a:ln>
          </c:spPr>
        </c:title>
        <c:numFmt formatCode="_(* #,##0.0000_);_(* \(#,##0.0000\);_(* &quot;-&quot;??_);_(@_)" sourceLinked="1"/>
        <c:majorTickMark val="none"/>
        <c:minorTickMark val="none"/>
        <c:tickLblPos val="nextTo"/>
        <c:spPr>
          <a:noFill/>
          <a:ln>
            <a:noFill/>
            <a:prstDash val="solid"/>
          </a:ln>
        </c:spPr>
        <c:txPr>
          <a:bodyPr rot="-6000000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crossAx val="10"/>
        <c:crosses val="autoZero"/>
        <c:crossBetween val="between"/>
      </c:valAx>
    </c:plotArea>
    <c:legend>
      <c:legendPos val="b"/>
      <c:overlay val="0"/>
      <c:spPr>
        <a:noFill/>
        <a:ln>
          <a:noFill/>
          <a:prstDash val="solid"/>
        </a:ln>
      </c:spPr>
      <c:txPr>
        <a:bodyPr rot="0" spcFirstLastPara="1" vertOverflow="ellipsis" vert="horz" wrap="square" anchor="ctr" anchorCtr="1"/>
        <a:lstStyle/>
        <a:p>
          <a:pPr>
            <a:defRPr sz="900" b="0" i="0"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externalData r:id="rId2">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'Price to Book Analysis'!$A$6:$A$10</cx:f>
        <cx:lvl ptCount="5">
          <cx:pt idx="0">HDFC Bank</cx:pt>
          <cx:pt idx="1">ICICI Bank</cx:pt>
          <cx:pt idx="2">Axis Bank</cx:pt>
          <cx:pt idx="3">IndusInd Bank</cx:pt>
          <cx:pt idx="4">State Bank of India</cx:pt>
        </cx:lvl>
      </cx:strDim>
      <cx:numDim type="val">
        <cx:f>'Price to Book Analysis'!$B$6:$B$10</cx:f>
        <cx:lvl ptCount="5" formatCode="0.00">
          <cx:pt idx="0">2.98</cx:pt>
          <cx:pt idx="1">3.1899999999999999</cx:pt>
          <cx:pt idx="2">2.1299999999999999</cx:pt>
          <cx:pt idx="3">1.02</cx:pt>
          <cx:pt idx="4">1.8600000000000001</cx:pt>
        </cx:lvl>
      </cx:numDim>
    </cx:data>
  </cx:chartData>
  <cx:chart>
    <cx:title pos="t" align="ctr" overlay="0">
      <cx:tx>
        <cx:txData>
          <cx:v>Peer P/B Comparison</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a:rPr>
            <a:t>Peer P/B Comparison</a:t>
          </a:r>
        </a:p>
      </cx:txPr>
    </cx:title>
    <cx:plotArea>
      <cx:plotAreaRegion>
        <cx:series layoutId="funnel" uniqueId="{458EEF95-7AFC-49BC-A1DE-0F3A6EAA6540}">
          <cx:spPr>
            <a:solidFill>
              <a:srgbClr val="FF0000"/>
            </a:solidFill>
          </cx:spPr>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2B95A-2D5C-4C05-A7F5-1425FFD7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6040</Words>
  <Characters>34429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gupta</dc:creator>
  <cp:keywords/>
  <dc:description/>
  <cp:lastModifiedBy>vikas gupta</cp:lastModifiedBy>
  <cp:revision>4</cp:revision>
  <cp:lastPrinted>2025-12-05T03:29:00Z</cp:lastPrinted>
  <dcterms:created xsi:type="dcterms:W3CDTF">2025-12-05T03:29:00Z</dcterms:created>
  <dcterms:modified xsi:type="dcterms:W3CDTF">2025-12-05T03:41:00Z</dcterms:modified>
</cp:coreProperties>
</file>