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E293B"/>
          <w:sz w:val="52"/>
        </w:rPr>
        <w:t>SentinelSBOM Platform</w:t>
      </w:r>
    </w:p>
    <w:p>
      <w:pPr>
        <w:spacing w:before="0" w:after="960"/>
        <w:jc w:val="center"/>
      </w:pPr>
      <w:r>
        <w:rPr>
          <w:rFonts w:ascii="Arial" w:hAnsi="Arial"/>
          <w:color w:val="6366F1"/>
          <w:sz w:val="28"/>
        </w:rPr>
        <w:t>Comprehensive System Architecture, Analysis Algorithms, and Interface Design Documentation</w:t>
      </w:r>
    </w:p>
    <w:p>
      <w:pPr>
        <w:spacing w:before="4000"/>
        <w:jc w:val="center"/>
      </w:pPr>
      <w:r>
        <w:rPr>
          <w:color w:val="64748B"/>
          <w:sz w:val="19"/>
        </w:rPr>
        <w:t>Document Version: 1.0.0</w:t>
        <w:br/>
        <w:t>Status: Production Approved</w:t>
        <w:br/>
        <w:t>Target Audience: Engineering, Security Operations, Compliance, and Executive Teams</w:t>
        <w:br/>
        <w:t>Date: July 2026</w:t>
        <w:br/>
        <w:t>Classification: Internal / Confidential</w:t>
      </w:r>
    </w:p>
    <w:p>
      <w:r>
        <w:br w:type="page"/>
      </w:r>
    </w:p>
    <w:p>
      <w:pPr>
        <w:keepNext/>
        <w:spacing w:before="480" w:after="160"/>
      </w:pPr>
      <w:r>
        <w:rPr>
          <w:rFonts w:ascii="Arial" w:hAnsi="Arial"/>
          <w:b/>
          <w:color w:val="1E293B"/>
          <w:sz w:val="36"/>
        </w:rPr>
        <w:t>1. Architectural Design &amp; Separation of Concerns</w:t>
      </w:r>
    </w:p>
    <w:p>
      <w:pPr>
        <w:spacing w:before="0" w:after="120" w:line="276" w:lineRule="auto"/>
      </w:pPr>
      <w:r>
        <w:rPr>
          <w:sz w:val="21"/>
        </w:rPr>
        <w:t>SentinelSBOM is built upon enterprise MVC and clean architecture design patterns. The system enforces a strict separation of concerns between its user interface, REST API controller routing, domain service layer, and data repository layers. This design provides horizontal scaling, maintainability, and testability across large-scale SBOM audits containing hundreds of thousands of dependency nodes.</w:t>
      </w:r>
    </w:p>
    <w:p>
      <w:pPr>
        <w:keepNext/>
        <w:spacing w:before="320" w:after="120"/>
      </w:pPr>
      <w:r>
        <w:rPr>
          <w:rFonts w:ascii="Arial" w:hAnsi="Arial"/>
          <w:b/>
          <w:color w:val="4F46E5"/>
          <w:sz w:val="26"/>
        </w:rPr>
        <w:t>1.1 Layer-by-Layer Responsibilities</w:t>
      </w:r>
    </w:p>
    <w:p>
      <w:pPr>
        <w:spacing w:before="0" w:after="120" w:line="276" w:lineRule="auto"/>
      </w:pPr>
      <w:r>
        <w:rPr>
          <w:b/>
          <w:sz w:val="21"/>
        </w:rPr>
        <w:t>1. Presentation / Frontend Layer (React UI)</w:t>
      </w:r>
      <w:r>
        <w:rPr>
          <w:sz w:val="21"/>
        </w:rPr>
        <w:t xml:space="preserve"> — Interacts with users. Built in React, Vite, and Tailwind CSS. It uses components with Lucide iconography to display real-time security postures, license check logs, Attack Paths, and AI Copilot responses. All data loading is asynchronous to avoid browser blocking.</w:t>
      </w:r>
    </w:p>
    <w:p>
      <w:pPr>
        <w:spacing w:before="0" w:after="120" w:line="276" w:lineRule="auto"/>
      </w:pPr>
      <w:r>
        <w:rPr>
          <w:b/>
          <w:sz w:val="21"/>
        </w:rPr>
        <w:t>2. Routing &amp; Controller Layer (Flask API)</w:t>
      </w:r>
      <w:r>
        <w:rPr>
          <w:sz w:val="21"/>
        </w:rPr>
        <w:t xml:space="preserve"> — A Flask routing controller structure. It processes incoming HTTP requests, extracts parameters, validates session tokens/roles, delegates business logic execution to the service layer, and formats JSON API payloads via a centralized ResponseHelper class.</w:t>
      </w:r>
    </w:p>
    <w:p>
      <w:pPr>
        <w:spacing w:before="0" w:after="120" w:line="276" w:lineRule="auto"/>
      </w:pPr>
      <w:r>
        <w:rPr>
          <w:b/>
          <w:sz w:val="21"/>
        </w:rPr>
        <w:t>3. Business Service Layer (Service Orchestrator)</w:t>
      </w:r>
      <w:r>
        <w:rPr>
          <w:sz w:val="21"/>
        </w:rPr>
        <w:t xml:space="preserve"> — The heart of the platform. All risk calculations, license compliance matrices, graph algorithms, and threat paths are calculated here. This layer is completely decoupled from controllers and HTTP contexts, enabling services to be utilized in cron scripts, tests, or CLI commands.</w:t>
      </w:r>
    </w:p>
    <w:p>
      <w:pPr>
        <w:spacing w:before="0" w:after="120" w:line="276" w:lineRule="auto"/>
      </w:pPr>
      <w:r>
        <w:rPr>
          <w:b/>
          <w:sz w:val="21"/>
        </w:rPr>
        <w:t>4. Data Access Layer (Repository Pattern)</w:t>
      </w:r>
      <w:r>
        <w:rPr>
          <w:sz w:val="21"/>
        </w:rPr>
        <w:t xml:space="preserve"> — Decouples raw database entities from business logic. It manages queries to SQLite tables through SQLAlchemy models, ensuring that changes to table structures do not break high-level service calculation steps.</w:t>
      </w:r>
    </w:p>
    <w:p>
      <w:pPr>
        <w:keepNext/>
        <w:spacing w:before="320" w:after="120"/>
      </w:pPr>
      <w:r>
        <w:rPr>
          <w:rFonts w:ascii="Arial" w:hAnsi="Arial"/>
          <w:b/>
          <w:color w:val="4F46E5"/>
          <w:sz w:val="26"/>
        </w:rPr>
        <w:t>1.2 Core Data Models &amp; Relationships</w:t>
      </w:r>
    </w:p>
    <w:p>
      <w:pPr>
        <w:spacing w:before="0" w:after="120" w:line="276" w:lineRule="auto"/>
      </w:pPr>
      <w:r>
        <w:rPr>
          <w:sz w:val="21"/>
        </w:rPr>
        <w:t>The underlying database schema models the relationships between applications, libraries, vulnerabilities, and license rules to build a multi-dimensional supply chain graph:</w:t>
      </w:r>
    </w:p>
    <w:tbl>
      <w:tblPr>
        <w:tblW w:type="auto" w:w="0"/>
        <w:tblLayout w:type="autofit"/>
        <w:tblLook w:firstColumn="1" w:firstRow="1" w:lastColumn="0" w:lastRow="0" w:noHBand="0" w:noVBand="1" w:val="04A0"/>
      </w:tblPr>
      <w:tblGrid>
        <w:gridCol w:w="3120"/>
        <w:gridCol w:w="3120"/>
        <w:gridCol w:w="3120"/>
      </w:tblGrid>
      <w:tr>
        <w:tc>
          <w:tcPr>
            <w:tcW w:type="dxa" w:w="3120"/>
            <w:shd w:fill="1E1E24"/>
            <w:tcMar>
              <w:top w:w="140" w:type="dxa"/>
              <w:bottom w:w="140" w:type="dxa"/>
              <w:left w:w="180" w:type="dxa"/>
              <w:right w:w="180" w:type="dxa"/>
            </w:tcMar>
          </w:tcPr>
          <w:p>
            <w:pPr>
              <w:jc w:val="left"/>
            </w:pPr>
            <w:r>
              <w:rPr>
                <w:b/>
                <w:color w:val="FFFFFF"/>
                <w:sz w:val="21"/>
              </w:rPr>
              <w:t>Entity / Table</w:t>
            </w:r>
          </w:p>
        </w:tc>
        <w:tc>
          <w:tcPr>
            <w:tcW w:type="dxa" w:w="3120"/>
            <w:shd w:fill="1E1E24"/>
            <w:tcMar>
              <w:top w:w="140" w:type="dxa"/>
              <w:bottom w:w="140" w:type="dxa"/>
              <w:left w:w="180" w:type="dxa"/>
              <w:right w:w="180" w:type="dxa"/>
            </w:tcMar>
          </w:tcPr>
          <w:p>
            <w:pPr>
              <w:jc w:val="left"/>
            </w:pPr>
            <w:r>
              <w:rPr>
                <w:b/>
                <w:color w:val="FFFFFF"/>
                <w:sz w:val="21"/>
              </w:rPr>
              <w:t>Attributes</w:t>
            </w:r>
          </w:p>
        </w:tc>
        <w:tc>
          <w:tcPr>
            <w:tcW w:type="dxa" w:w="3120"/>
            <w:shd w:fill="1E1E24"/>
            <w:tcMar>
              <w:top w:w="140" w:type="dxa"/>
              <w:bottom w:w="140" w:type="dxa"/>
              <w:left w:w="180" w:type="dxa"/>
              <w:right w:w="180" w:type="dxa"/>
            </w:tcMar>
          </w:tcPr>
          <w:p>
            <w:pPr>
              <w:jc w:val="left"/>
            </w:pPr>
            <w:r>
              <w:rPr>
                <w:b/>
                <w:color w:val="FFFFFF"/>
                <w:sz w:val="21"/>
              </w:rPr>
              <w:t>Relationship Type</w:t>
            </w:r>
          </w:p>
        </w:tc>
      </w:tr>
      <w:tr>
        <w:tc>
          <w:tcPr>
            <w:tcW w:type="dxa" w:w="3120"/>
            <w:tcMar>
              <w:top w:w="100" w:type="dxa"/>
              <w:bottom w:w="100" w:type="dxa"/>
              <w:left w:w="180" w:type="dxa"/>
              <w:right w:w="180" w:type="dxa"/>
            </w:tcMar>
          </w:tcPr>
          <w:p>
            <w:pPr>
              <w:spacing w:line="276" w:lineRule="auto"/>
            </w:pPr>
            <w:r>
              <w:rPr>
                <w:sz w:val="19"/>
              </w:rPr>
              <w:t>Application</w:t>
            </w:r>
          </w:p>
        </w:tc>
        <w:tc>
          <w:tcPr>
            <w:tcW w:type="dxa" w:w="3120"/>
            <w:tcMar>
              <w:top w:w="100" w:type="dxa"/>
              <w:bottom w:w="100" w:type="dxa"/>
              <w:left w:w="180" w:type="dxa"/>
              <w:right w:w="180" w:type="dxa"/>
            </w:tcMar>
          </w:tcPr>
          <w:p>
            <w:pPr>
              <w:spacing w:line="276" w:lineRule="auto"/>
            </w:pPr>
            <w:r>
              <w:rPr>
                <w:sz w:val="19"/>
              </w:rPr>
              <w:t>id, name, version, criticality (Low/Critical)</w:t>
            </w:r>
          </w:p>
        </w:tc>
        <w:tc>
          <w:tcPr>
            <w:tcW w:type="dxa" w:w="3120"/>
            <w:tcMar>
              <w:top w:w="100" w:type="dxa"/>
              <w:bottom w:w="100" w:type="dxa"/>
              <w:left w:w="180" w:type="dxa"/>
              <w:right w:w="180" w:type="dxa"/>
            </w:tcMar>
          </w:tcPr>
          <w:p>
            <w:pPr>
              <w:spacing w:line="276" w:lineRule="auto"/>
            </w:pPr>
            <w:r>
              <w:rPr>
                <w:sz w:val="19"/>
              </w:rPr>
              <w:t>One-to-Many with Dependency Graph</w:t>
            </w:r>
          </w:p>
        </w:tc>
      </w:tr>
      <w:tr>
        <w:tc>
          <w:tcPr>
            <w:tcW w:type="dxa" w:w="3120"/>
            <w:shd w:fill="F7F9FC"/>
            <w:tcMar>
              <w:top w:w="100" w:type="dxa"/>
              <w:bottom w:w="100" w:type="dxa"/>
              <w:left w:w="180" w:type="dxa"/>
              <w:right w:w="180" w:type="dxa"/>
            </w:tcMar>
          </w:tcPr>
          <w:p>
            <w:pPr>
              <w:spacing w:line="276" w:lineRule="auto"/>
            </w:pPr>
            <w:r>
              <w:rPr>
                <w:sz w:val="19"/>
              </w:rPr>
              <w:t>Library</w:t>
            </w:r>
          </w:p>
        </w:tc>
        <w:tc>
          <w:tcPr>
            <w:tcW w:type="dxa" w:w="3120"/>
            <w:shd w:fill="F7F9FC"/>
            <w:tcMar>
              <w:top w:w="100" w:type="dxa"/>
              <w:bottom w:w="100" w:type="dxa"/>
              <w:left w:w="180" w:type="dxa"/>
              <w:right w:w="180" w:type="dxa"/>
            </w:tcMar>
          </w:tcPr>
          <w:p>
            <w:pPr>
              <w:spacing w:line="276" w:lineRule="auto"/>
            </w:pPr>
            <w:r>
              <w:rPr>
                <w:sz w:val="19"/>
              </w:rPr>
              <w:t>id, name, version, ecosystem, license_name</w:t>
            </w:r>
          </w:p>
        </w:tc>
        <w:tc>
          <w:tcPr>
            <w:tcW w:type="dxa" w:w="3120"/>
            <w:shd w:fill="F7F9FC"/>
            <w:tcMar>
              <w:top w:w="100" w:type="dxa"/>
              <w:bottom w:w="100" w:type="dxa"/>
              <w:left w:w="180" w:type="dxa"/>
              <w:right w:w="180" w:type="dxa"/>
            </w:tcMar>
          </w:tcPr>
          <w:p>
            <w:pPr>
              <w:spacing w:line="276" w:lineRule="auto"/>
            </w:pPr>
            <w:r>
              <w:rPr>
                <w:sz w:val="19"/>
              </w:rPr>
              <w:t>Many-to-Many with Vulnerability</w:t>
            </w:r>
          </w:p>
        </w:tc>
      </w:tr>
      <w:tr>
        <w:tc>
          <w:tcPr>
            <w:tcW w:type="dxa" w:w="3120"/>
            <w:tcMar>
              <w:top w:w="100" w:type="dxa"/>
              <w:bottom w:w="100" w:type="dxa"/>
              <w:left w:w="180" w:type="dxa"/>
              <w:right w:w="180" w:type="dxa"/>
            </w:tcMar>
          </w:tcPr>
          <w:p>
            <w:pPr>
              <w:spacing w:line="276" w:lineRule="auto"/>
            </w:pPr>
            <w:r>
              <w:rPr>
                <w:sz w:val="19"/>
              </w:rPr>
              <w:t>Dependency Graph</w:t>
            </w:r>
          </w:p>
        </w:tc>
        <w:tc>
          <w:tcPr>
            <w:tcW w:type="dxa" w:w="3120"/>
            <w:tcMar>
              <w:top w:w="100" w:type="dxa"/>
              <w:bottom w:w="100" w:type="dxa"/>
              <w:left w:w="180" w:type="dxa"/>
              <w:right w:w="180" w:type="dxa"/>
            </w:tcMar>
          </w:tcPr>
          <w:p>
            <w:pPr>
              <w:spacing w:line="276" w:lineRule="auto"/>
            </w:pPr>
            <w:r>
              <w:rPr>
                <w:sz w:val="19"/>
              </w:rPr>
              <w:t>id, application_id, parent_id, child_id, depth, is_transitive</w:t>
            </w:r>
          </w:p>
        </w:tc>
        <w:tc>
          <w:tcPr>
            <w:tcW w:type="dxa" w:w="3120"/>
            <w:tcMar>
              <w:top w:w="100" w:type="dxa"/>
              <w:bottom w:w="100" w:type="dxa"/>
              <w:left w:w="180" w:type="dxa"/>
              <w:right w:w="180" w:type="dxa"/>
            </w:tcMar>
          </w:tcPr>
          <w:p>
            <w:pPr>
              <w:spacing w:line="276" w:lineRule="auto"/>
            </w:pPr>
            <w:r>
              <w:rPr>
                <w:sz w:val="19"/>
              </w:rPr>
              <w:t>Self-referencing tree edges per App</w:t>
            </w:r>
          </w:p>
        </w:tc>
      </w:tr>
      <w:tr>
        <w:tc>
          <w:tcPr>
            <w:tcW w:type="dxa" w:w="3120"/>
            <w:shd w:fill="F7F9FC"/>
            <w:tcMar>
              <w:top w:w="100" w:type="dxa"/>
              <w:bottom w:w="100" w:type="dxa"/>
              <w:left w:w="180" w:type="dxa"/>
              <w:right w:w="180" w:type="dxa"/>
            </w:tcMar>
          </w:tcPr>
          <w:p>
            <w:pPr>
              <w:spacing w:line="276" w:lineRule="auto"/>
            </w:pPr>
            <w:r>
              <w:rPr>
                <w:sz w:val="19"/>
              </w:rPr>
              <w:t>Vulnerability</w:t>
            </w:r>
          </w:p>
        </w:tc>
        <w:tc>
          <w:tcPr>
            <w:tcW w:type="dxa" w:w="3120"/>
            <w:shd w:fill="F7F9FC"/>
            <w:tcMar>
              <w:top w:w="100" w:type="dxa"/>
              <w:bottom w:w="100" w:type="dxa"/>
              <w:left w:w="180" w:type="dxa"/>
              <w:right w:w="180" w:type="dxa"/>
            </w:tcMar>
          </w:tcPr>
          <w:p>
            <w:pPr>
              <w:spacing w:line="276" w:lineRule="auto"/>
            </w:pPr>
            <w:r>
              <w:rPr>
                <w:sz w:val="19"/>
              </w:rPr>
              <w:t>id, cve_id, cvss_score, severity, patch_available, published_date</w:t>
            </w:r>
          </w:p>
        </w:tc>
        <w:tc>
          <w:tcPr>
            <w:tcW w:type="dxa" w:w="3120"/>
            <w:shd w:fill="F7F9FC"/>
            <w:tcMar>
              <w:top w:w="100" w:type="dxa"/>
              <w:bottom w:w="100" w:type="dxa"/>
              <w:left w:w="180" w:type="dxa"/>
              <w:right w:w="180" w:type="dxa"/>
            </w:tcMar>
          </w:tcPr>
          <w:p>
            <w:pPr>
              <w:spacing w:line="276" w:lineRule="auto"/>
            </w:pPr>
            <w:r>
              <w:rPr>
                <w:sz w:val="19"/>
              </w:rPr>
              <w:t>Many-to-Many with Library</w:t>
            </w:r>
          </w:p>
        </w:tc>
      </w:tr>
      <w:tr>
        <w:tc>
          <w:tcPr>
            <w:tcW w:type="dxa" w:w="3120"/>
            <w:tcMar>
              <w:top w:w="100" w:type="dxa"/>
              <w:bottom w:w="100" w:type="dxa"/>
              <w:left w:w="180" w:type="dxa"/>
              <w:right w:w="180" w:type="dxa"/>
            </w:tcMar>
          </w:tcPr>
          <w:p>
            <w:pPr>
              <w:spacing w:line="276" w:lineRule="auto"/>
            </w:pPr>
            <w:r>
              <w:rPr>
                <w:sz w:val="19"/>
              </w:rPr>
              <w:t>License Rule</w:t>
            </w:r>
          </w:p>
        </w:tc>
        <w:tc>
          <w:tcPr>
            <w:tcW w:type="dxa" w:w="3120"/>
            <w:tcMar>
              <w:top w:w="100" w:type="dxa"/>
              <w:bottom w:w="100" w:type="dxa"/>
              <w:left w:w="180" w:type="dxa"/>
              <w:right w:w="180" w:type="dxa"/>
            </w:tcMar>
          </w:tcPr>
          <w:p>
            <w:pPr>
              <w:spacing w:line="276" w:lineRule="auto"/>
            </w:pPr>
            <w:r>
              <w:rPr>
                <w:sz w:val="19"/>
              </w:rPr>
              <w:t>id, license_category, commercial_allowed, proprietary_linkable</w:t>
            </w:r>
          </w:p>
        </w:tc>
        <w:tc>
          <w:tcPr>
            <w:tcW w:type="dxa" w:w="3120"/>
            <w:tcMar>
              <w:top w:w="100" w:type="dxa"/>
              <w:bottom w:w="100" w:type="dxa"/>
              <w:left w:w="180" w:type="dxa"/>
              <w:right w:w="180" w:type="dxa"/>
            </w:tcMar>
          </w:tcPr>
          <w:p>
            <w:pPr>
              <w:spacing w:line="276" w:lineRule="auto"/>
            </w:pPr>
            <w:r>
              <w:rPr>
                <w:sz w:val="19"/>
              </w:rPr>
              <w:t>Enforces checks across License names</w:t>
            </w:r>
          </w:p>
        </w:tc>
      </w:tr>
    </w:tbl>
    <w:p>
      <w:pPr>
        <w:spacing w:after="240"/>
      </w:pPr>
    </w:p>
    <w:p>
      <w:pPr>
        <w:keepNext/>
        <w:spacing w:before="480" w:after="160"/>
      </w:pPr>
      <w:r>
        <w:rPr>
          <w:rFonts w:ascii="Arial" w:hAnsi="Arial"/>
          <w:b/>
          <w:color w:val="1E293B"/>
          <w:sz w:val="36"/>
        </w:rPr>
        <w:t>2. Analysis &amp; Scoring Algorithms</w:t>
      </w:r>
    </w:p>
    <w:p>
      <w:pPr>
        <w:spacing w:before="0" w:after="120" w:line="276" w:lineRule="auto"/>
      </w:pPr>
      <w:r>
        <w:rPr>
          <w:sz w:val="21"/>
        </w:rPr>
        <w:t>SentinelSBOM leverages advanced network graph theory, risk metrics, and legal matrices to compute security positions. The following subsections describe the detailed algorithms utilized in calculations.</w:t>
      </w:r>
    </w:p>
    <w:p>
      <w:pPr>
        <w:keepNext/>
        <w:spacing w:before="320" w:after="120"/>
      </w:pPr>
      <w:r>
        <w:rPr>
          <w:rFonts w:ascii="Arial" w:hAnsi="Arial"/>
          <w:b/>
          <w:color w:val="4F46E5"/>
          <w:sz w:val="26"/>
        </w:rPr>
        <w:t>2.1 Dependency Graph Analysis (NetworkX Engine)</w:t>
      </w:r>
    </w:p>
    <w:p>
      <w:pPr>
        <w:spacing w:before="0" w:after="120" w:line="276" w:lineRule="auto"/>
      </w:pPr>
      <w:r>
        <w:rPr>
          <w:sz w:val="21"/>
        </w:rPr>
        <w:t>When an SBOM is parsed, a directed acyclic graph (DAG) is constructed using python's NetworkX library. The graph G = (V, E) models software libraries as vertices (V) and dependency linkages as directed edges (E).</w:t>
      </w:r>
    </w:p>
    <w:tbl>
      <w:tblPr>
        <w:tblW w:type="auto" w:w="0"/>
        <w:tblLayout w:type="fixed"/>
        <w:tblLook w:firstColumn="1" w:firstRow="1" w:lastColumn="0" w:lastRow="0" w:noHBand="0" w:noVBand="1" w:val="04A0"/>
      </w:tblPr>
      <w:tblGrid>
        <w:gridCol w:w="9360"/>
      </w:tblGrid>
      <w:tr>
        <w:tc>
          <w:tcPr>
            <w:tcW w:type="dxa" w:w="9360"/>
            <w:shd w:fill="F3F4F6"/>
            <w:tcMar>
              <w:top w:w="150" w:type="dxa"/>
              <w:bottom w:w="150" w:type="dxa"/>
              <w:left w:w="200" w:type="dxa"/>
              <w:right w:w="150" w:type="dxa"/>
            </w:tcMar>
            <w:tcBorders>
              <w:left w:val="single" w:sz="24" w:space="0" w:color="6366F1"/>
              <w:top w:val="none"/>
              <w:right w:val="none"/>
              <w:bottom w:val="none"/>
            </w:tcBorders>
          </w:tcPr>
          <w:p>
            <w:pPr>
              <w:spacing w:before="0" w:after="0"/>
            </w:pPr>
            <w:r>
              <w:rPr>
                <w:i/>
                <w:color w:val="4B5563"/>
                <w:sz w:val="20"/>
              </w:rPr>
              <w:t>Algorithm Step 1: Root nodes represent the primary application.</w:t>
              <w:br/>
              <w:t>Algorithm Step 2: Direct dependencies are connected to the root (depth = 1, is_transitive = False).</w:t>
              <w:br/>
              <w:t>Algorithm Step 3: Transitive dependencies are linked to their respective parents (depth = 2+, is_transitive = True).</w:t>
              <w:br/>
              <w:t>Algorithm Step 4: Cycles are detected and dropped automatically to prevent infinite loop errors during traversal.</w:t>
            </w:r>
          </w:p>
        </w:tc>
      </w:tr>
    </w:tbl>
    <w:p>
      <w:pPr>
        <w:spacing w:after="120"/>
      </w:pPr>
    </w:p>
    <w:p>
      <w:pPr>
        <w:keepNext/>
        <w:spacing w:before="320" w:after="120"/>
      </w:pPr>
      <w:r>
        <w:rPr>
          <w:rFonts w:ascii="Arial" w:hAnsi="Arial"/>
          <w:b/>
          <w:color w:val="4F46E5"/>
          <w:sz w:val="26"/>
        </w:rPr>
        <w:t>2.2 Composite Security Risk Scoring Engine</w:t>
      </w:r>
    </w:p>
    <w:p>
      <w:pPr>
        <w:spacing w:before="0" w:after="120" w:line="276" w:lineRule="auto"/>
      </w:pPr>
      <w:r>
        <w:rPr>
          <w:sz w:val="21"/>
        </w:rPr>
        <w:t>The composite risk score is calculated for each application by compounding vulnerability, licensing, and business criticality metrics into a normalized scale (0 to 100):</w:t>
      </w:r>
    </w:p>
    <w:tbl>
      <w:tblPr>
        <w:tblW w:type="auto" w:w="0"/>
        <w:tblLayout w:type="fixed"/>
        <w:tblLook w:firstColumn="1" w:firstRow="1" w:lastColumn="0" w:lastRow="0" w:noHBand="0" w:noVBand="1" w:val="04A0"/>
      </w:tblPr>
      <w:tblGrid>
        <w:gridCol w:w="9360"/>
      </w:tblGrid>
      <w:tr>
        <w:tc>
          <w:tcPr>
            <w:tcW w:type="dxa" w:w="9360"/>
            <w:shd w:fill="F3F4F6"/>
            <w:tcMar>
              <w:top w:w="150" w:type="dxa"/>
              <w:bottom w:w="150" w:type="dxa"/>
              <w:left w:w="200" w:type="dxa"/>
              <w:right w:w="150" w:type="dxa"/>
            </w:tcMar>
            <w:tcBorders>
              <w:left w:val="single" w:sz="24" w:space="0" w:color="6366F1"/>
              <w:top w:val="none"/>
              <w:right w:val="none"/>
              <w:bottom w:val="none"/>
            </w:tcBorders>
          </w:tcPr>
          <w:p>
            <w:pPr>
              <w:spacing w:before="0" w:after="0"/>
            </w:pPr>
            <w:r>
              <w:rPr>
                <w:i/>
                <w:color w:val="4B5563"/>
                <w:sz w:val="20"/>
              </w:rPr>
              <w:t>Risk Score Formula:</w:t>
              <w:br/>
              <w:t xml:space="preserve">  Base Score = Max(CVSS_Score_of_Vulnerabilities) * 8.5 </w:t>
              <w:br/>
              <w:t xml:space="preserve">               + (Count_of_High_Critical_CVEs * 1.5) </w:t>
              <w:br/>
              <w:t xml:space="preserve">               + (License_Conflicts_Count * 3.0)</w:t>
              <w:br/>
              <w:br/>
              <w:t xml:space="preserve">  Weighted Score = Base Score * Criticality_Multiplier</w:t>
              <w:br/>
              <w:t xml:space="preserve">  Where Criticality_Multiplier is:</w:t>
              <w:br/>
              <w:t xml:space="preserve">    - Critical: 1.2x</w:t>
              <w:br/>
              <w:t xml:space="preserve">    - High: 1.1x</w:t>
              <w:br/>
              <w:t xml:space="preserve">    - Medium: 1.0x</w:t>
              <w:br/>
              <w:t xml:space="preserve">    - Low: 0.9x</w:t>
              <w:br/>
              <w:br/>
              <w:t xml:space="preserve">  Final Score = Max(0.0, Min(100.0, Weighted Score))</w:t>
            </w:r>
          </w:p>
        </w:tc>
      </w:tr>
    </w:tbl>
    <w:p>
      <w:pPr>
        <w:spacing w:after="120"/>
      </w:pPr>
    </w:p>
    <w:p>
      <w:pPr>
        <w:keepNext/>
        <w:spacing w:before="320" w:after="120"/>
      </w:pPr>
      <w:r>
        <w:rPr>
          <w:rFonts w:ascii="Arial" w:hAnsi="Arial"/>
          <w:b/>
          <w:color w:val="4F46E5"/>
          <w:sz w:val="26"/>
        </w:rPr>
        <w:t>2.3 License Compliance Audit Logic</w:t>
      </w:r>
    </w:p>
    <w:p>
      <w:pPr>
        <w:spacing w:before="0" w:after="120" w:line="276" w:lineRule="auto"/>
      </w:pPr>
      <w:r>
        <w:rPr>
          <w:sz w:val="21"/>
        </w:rPr>
        <w:t>Licenses are resolved from libraries and grouped into SPDX categories (Permissive, Weak-Copyleft, Copyleft, Unknown). SentinelSBOM evaluates compliance risk against business parameters:</w:t>
      </w:r>
    </w:p>
    <w:p>
      <w:pPr>
        <w:spacing w:before="0" w:after="120" w:line="276" w:lineRule="auto"/>
      </w:pPr>
      <w:r>
        <w:rPr>
          <w:sz w:val="21"/>
        </w:rPr>
        <w:t>1. Commercial Policy Violations: Triggers if the application criticality is High or Critical, and the dependency license belongs to the Copyleft category (e.g. GPL, AGPL) with a rule blocking commercial usage.</w:t>
      </w:r>
    </w:p>
    <w:p>
      <w:pPr>
        <w:spacing w:before="0" w:after="120" w:line="276" w:lineRule="auto"/>
      </w:pPr>
      <w:r>
        <w:rPr>
          <w:sz w:val="21"/>
        </w:rPr>
        <w:t>2. Viral Linking Risks: Triggers if a Strong Copyleft license is linked into a proprietary application, warning developers that viral terms require the entire source repository to be open-sourced.</w:t>
      </w:r>
    </w:p>
    <w:p>
      <w:pPr>
        <w:spacing w:before="0" w:after="120" w:line="276" w:lineRule="auto"/>
      </w:pPr>
      <w:r>
        <w:rPr>
          <w:sz w:val="21"/>
        </w:rPr>
        <w:t>3. Unknown License Warnings: Flags dependencies that contain unrecognized license expressions, recommending manual legal auditing of the package repository.</w:t>
      </w:r>
    </w:p>
    <w:p>
      <w:pPr>
        <w:keepNext/>
        <w:spacing w:before="320" w:after="120"/>
      </w:pPr>
      <w:r>
        <w:rPr>
          <w:rFonts w:ascii="Arial" w:hAnsi="Arial"/>
          <w:b/>
          <w:color w:val="4F46E5"/>
          <w:sz w:val="26"/>
        </w:rPr>
        <w:t>2.4 Maintenance Health Scoring</w:t>
      </w:r>
    </w:p>
    <w:p>
      <w:pPr>
        <w:spacing w:before="0" w:after="120" w:line="276" w:lineRule="auto"/>
      </w:pPr>
      <w:r>
        <w:rPr>
          <w:sz w:val="21"/>
        </w:rPr>
        <w:t>Maintenance Health is an indicator of future vulnerability. If an open-source library is stale or abandoned, security patches will not be released. The score begins at 100 and applies deductions:</w:t>
      </w:r>
    </w:p>
    <w:tbl>
      <w:tblPr>
        <w:tblW w:type="auto" w:w="0"/>
        <w:tblLayout w:type="autofit"/>
        <w:tblLook w:firstColumn="1" w:firstRow="1" w:lastColumn="0" w:lastRow="0" w:noHBand="0" w:noVBand="1" w:val="04A0"/>
      </w:tblPr>
      <w:tblGrid>
        <w:gridCol w:w="3120"/>
        <w:gridCol w:w="3120"/>
        <w:gridCol w:w="3120"/>
      </w:tblGrid>
      <w:tr>
        <w:tc>
          <w:tcPr>
            <w:tcW w:type="dxa" w:w="3120"/>
            <w:shd w:fill="1E1E24"/>
            <w:tcMar>
              <w:top w:w="140" w:type="dxa"/>
              <w:bottom w:w="140" w:type="dxa"/>
              <w:left w:w="180" w:type="dxa"/>
              <w:right w:w="180" w:type="dxa"/>
            </w:tcMar>
          </w:tcPr>
          <w:p>
            <w:pPr>
              <w:jc w:val="left"/>
            </w:pPr>
            <w:r>
              <w:rPr>
                <w:b/>
                <w:color w:val="FFFFFF"/>
                <w:sz w:val="21"/>
              </w:rPr>
              <w:t>Factor Checked</w:t>
            </w:r>
          </w:p>
        </w:tc>
        <w:tc>
          <w:tcPr>
            <w:tcW w:type="dxa" w:w="3120"/>
            <w:shd w:fill="1E1E24"/>
            <w:tcMar>
              <w:top w:w="140" w:type="dxa"/>
              <w:bottom w:w="140" w:type="dxa"/>
              <w:left w:w="180" w:type="dxa"/>
              <w:right w:w="180" w:type="dxa"/>
            </w:tcMar>
          </w:tcPr>
          <w:p>
            <w:pPr>
              <w:jc w:val="left"/>
            </w:pPr>
            <w:r>
              <w:rPr>
                <w:b/>
                <w:color w:val="FFFFFF"/>
                <w:sz w:val="21"/>
              </w:rPr>
              <w:t>Threshold Condition</w:t>
            </w:r>
          </w:p>
        </w:tc>
        <w:tc>
          <w:tcPr>
            <w:tcW w:type="dxa" w:w="3120"/>
            <w:shd w:fill="1E1E24"/>
            <w:tcMar>
              <w:top w:w="140" w:type="dxa"/>
              <w:bottom w:w="140" w:type="dxa"/>
              <w:left w:w="180" w:type="dxa"/>
              <w:right w:w="180" w:type="dxa"/>
            </w:tcMar>
          </w:tcPr>
          <w:p>
            <w:pPr>
              <w:jc w:val="left"/>
            </w:pPr>
            <w:r>
              <w:rPr>
                <w:b/>
                <w:color w:val="FFFFFF"/>
                <w:sz w:val="21"/>
              </w:rPr>
              <w:t>Score Deduction</w:t>
            </w:r>
          </w:p>
        </w:tc>
      </w:tr>
      <w:tr>
        <w:tc>
          <w:tcPr>
            <w:tcW w:type="dxa" w:w="3120"/>
            <w:tcMar>
              <w:top w:w="100" w:type="dxa"/>
              <w:bottom w:w="100" w:type="dxa"/>
              <w:left w:w="180" w:type="dxa"/>
              <w:right w:w="180" w:type="dxa"/>
            </w:tcMar>
          </w:tcPr>
          <w:p>
            <w:pPr>
              <w:spacing w:line="276" w:lineRule="auto"/>
            </w:pPr>
            <w:r>
              <w:rPr>
                <w:sz w:val="19"/>
              </w:rPr>
              <w:t>Deprecation Status</w:t>
            </w:r>
          </w:p>
        </w:tc>
        <w:tc>
          <w:tcPr>
            <w:tcW w:type="dxa" w:w="3120"/>
            <w:tcMar>
              <w:top w:w="100" w:type="dxa"/>
              <w:bottom w:w="100" w:type="dxa"/>
              <w:left w:w="180" w:type="dxa"/>
              <w:right w:w="180" w:type="dxa"/>
            </w:tcMar>
          </w:tcPr>
          <w:p>
            <w:pPr>
              <w:spacing w:line="276" w:lineRule="auto"/>
            </w:pPr>
            <w:r>
              <w:rPr>
                <w:sz w:val="19"/>
              </w:rPr>
              <w:t>is_deprecated == True</w:t>
            </w:r>
          </w:p>
        </w:tc>
        <w:tc>
          <w:tcPr>
            <w:tcW w:type="dxa" w:w="3120"/>
            <w:tcMar>
              <w:top w:w="100" w:type="dxa"/>
              <w:bottom w:w="100" w:type="dxa"/>
              <w:left w:w="180" w:type="dxa"/>
              <w:right w:w="180" w:type="dxa"/>
            </w:tcMar>
          </w:tcPr>
          <w:p>
            <w:pPr>
              <w:spacing w:line="276" w:lineRule="auto"/>
            </w:pPr>
            <w:r>
              <w:rPr>
                <w:sz w:val="19"/>
              </w:rPr>
              <w:t>-50 points</w:t>
            </w:r>
          </w:p>
        </w:tc>
      </w:tr>
      <w:tr>
        <w:tc>
          <w:tcPr>
            <w:tcW w:type="dxa" w:w="3120"/>
            <w:shd w:fill="F7F9FC"/>
            <w:tcMar>
              <w:top w:w="100" w:type="dxa"/>
              <w:bottom w:w="100" w:type="dxa"/>
              <w:left w:w="180" w:type="dxa"/>
              <w:right w:w="180" w:type="dxa"/>
            </w:tcMar>
          </w:tcPr>
          <w:p>
            <w:pPr>
              <w:spacing w:line="276" w:lineRule="auto"/>
            </w:pPr>
            <w:r>
              <w:rPr>
                <w:sz w:val="19"/>
              </w:rPr>
              <w:t>Repository Staleness (Age)</w:t>
            </w:r>
          </w:p>
        </w:tc>
        <w:tc>
          <w:tcPr>
            <w:tcW w:type="dxa" w:w="3120"/>
            <w:shd w:fill="F7F9FC"/>
            <w:tcMar>
              <w:top w:w="100" w:type="dxa"/>
              <w:bottom w:w="100" w:type="dxa"/>
              <w:left w:w="180" w:type="dxa"/>
              <w:right w:w="180" w:type="dxa"/>
            </w:tcMar>
          </w:tcPr>
          <w:p>
            <w:pPr>
              <w:spacing w:line="276" w:lineRule="auto"/>
            </w:pPr>
            <w:r>
              <w:rPr>
                <w:sz w:val="19"/>
              </w:rPr>
              <w:t>Last release &gt; 2 years ago</w:t>
              <w:br/>
              <w:t>Last release &gt; 1 year ago</w:t>
            </w:r>
          </w:p>
        </w:tc>
        <w:tc>
          <w:tcPr>
            <w:tcW w:type="dxa" w:w="3120"/>
            <w:shd w:fill="F7F9FC"/>
            <w:tcMar>
              <w:top w:w="100" w:type="dxa"/>
              <w:bottom w:w="100" w:type="dxa"/>
              <w:left w:w="180" w:type="dxa"/>
              <w:right w:w="180" w:type="dxa"/>
            </w:tcMar>
          </w:tcPr>
          <w:p>
            <w:pPr>
              <w:spacing w:line="276" w:lineRule="auto"/>
            </w:pPr>
            <w:r>
              <w:rPr>
                <w:sz w:val="19"/>
              </w:rPr>
              <w:t>-25 points</w:t>
              <w:br/>
              <w:t>-15 points</w:t>
            </w:r>
          </w:p>
        </w:tc>
      </w:tr>
      <w:tr>
        <w:tc>
          <w:tcPr>
            <w:tcW w:type="dxa" w:w="3120"/>
            <w:tcMar>
              <w:top w:w="100" w:type="dxa"/>
              <w:bottom w:w="100" w:type="dxa"/>
              <w:left w:w="180" w:type="dxa"/>
              <w:right w:w="180" w:type="dxa"/>
            </w:tcMar>
          </w:tcPr>
          <w:p>
            <w:pPr>
              <w:spacing w:line="276" w:lineRule="auto"/>
            </w:pPr>
            <w:r>
              <w:rPr>
                <w:sz w:val="19"/>
              </w:rPr>
              <w:t>Bus Factor (Sustainability)</w:t>
            </w:r>
          </w:p>
        </w:tc>
        <w:tc>
          <w:tcPr>
            <w:tcW w:type="dxa" w:w="3120"/>
            <w:tcMar>
              <w:top w:w="100" w:type="dxa"/>
              <w:bottom w:w="100" w:type="dxa"/>
              <w:left w:w="180" w:type="dxa"/>
              <w:right w:w="180" w:type="dxa"/>
            </w:tcMar>
          </w:tcPr>
          <w:p>
            <w:pPr>
              <w:spacing w:line="276" w:lineRule="auto"/>
            </w:pPr>
            <w:r>
              <w:rPr>
                <w:sz w:val="19"/>
              </w:rPr>
              <w:t>Bus factor == 1 (single developer)</w:t>
              <w:br/>
              <w:t>Bus factor == 2 (low activity)</w:t>
            </w:r>
          </w:p>
        </w:tc>
        <w:tc>
          <w:tcPr>
            <w:tcW w:type="dxa" w:w="3120"/>
            <w:tcMar>
              <w:top w:w="100" w:type="dxa"/>
              <w:bottom w:w="100" w:type="dxa"/>
              <w:left w:w="180" w:type="dxa"/>
              <w:right w:w="180" w:type="dxa"/>
            </w:tcMar>
          </w:tcPr>
          <w:p>
            <w:pPr>
              <w:spacing w:line="276" w:lineRule="auto"/>
            </w:pPr>
            <w:r>
              <w:rPr>
                <w:sz w:val="19"/>
              </w:rPr>
              <w:t>-20 points</w:t>
              <w:br/>
              <w:t>-10 points</w:t>
            </w:r>
          </w:p>
        </w:tc>
      </w:tr>
      <w:tr>
        <w:tc>
          <w:tcPr>
            <w:tcW w:type="dxa" w:w="3120"/>
            <w:shd w:fill="F7F9FC"/>
            <w:tcMar>
              <w:top w:w="100" w:type="dxa"/>
              <w:bottom w:w="100" w:type="dxa"/>
              <w:left w:w="180" w:type="dxa"/>
              <w:right w:w="180" w:type="dxa"/>
            </w:tcMar>
          </w:tcPr>
          <w:p>
            <w:pPr>
              <w:spacing w:line="276" w:lineRule="auto"/>
            </w:pPr>
            <w:r>
              <w:rPr>
                <w:sz w:val="19"/>
              </w:rPr>
              <w:t>Commit Frequency (Annual)</w:t>
            </w:r>
          </w:p>
        </w:tc>
        <w:tc>
          <w:tcPr>
            <w:tcW w:type="dxa" w:w="3120"/>
            <w:shd w:fill="F7F9FC"/>
            <w:tcMar>
              <w:top w:w="100" w:type="dxa"/>
              <w:bottom w:w="100" w:type="dxa"/>
              <w:left w:w="180" w:type="dxa"/>
              <w:right w:w="180" w:type="dxa"/>
            </w:tcMar>
          </w:tcPr>
          <w:p>
            <w:pPr>
              <w:spacing w:line="276" w:lineRule="auto"/>
            </w:pPr>
            <w:r>
              <w:rPr>
                <w:sz w:val="19"/>
              </w:rPr>
              <w:t>Annual commits &lt; 5</w:t>
              <w:br/>
              <w:t>Annual commits &lt; 20</w:t>
            </w:r>
          </w:p>
        </w:tc>
        <w:tc>
          <w:tcPr>
            <w:tcW w:type="dxa" w:w="3120"/>
            <w:shd w:fill="F7F9FC"/>
            <w:tcMar>
              <w:top w:w="100" w:type="dxa"/>
              <w:bottom w:w="100" w:type="dxa"/>
              <w:left w:w="180" w:type="dxa"/>
              <w:right w:w="180" w:type="dxa"/>
            </w:tcMar>
          </w:tcPr>
          <w:p>
            <w:pPr>
              <w:spacing w:line="276" w:lineRule="auto"/>
            </w:pPr>
            <w:r>
              <w:rPr>
                <w:sz w:val="19"/>
              </w:rPr>
              <w:t>-10 points</w:t>
              <w:br/>
              <w:t>-5 points</w:t>
            </w:r>
          </w:p>
        </w:tc>
      </w:tr>
      <w:tr>
        <w:tc>
          <w:tcPr>
            <w:tcW w:type="dxa" w:w="3120"/>
            <w:tcMar>
              <w:top w:w="100" w:type="dxa"/>
              <w:bottom w:w="100" w:type="dxa"/>
              <w:left w:w="180" w:type="dxa"/>
              <w:right w:w="180" w:type="dxa"/>
            </w:tcMar>
          </w:tcPr>
          <w:p>
            <w:pPr>
              <w:spacing w:line="276" w:lineRule="auto"/>
            </w:pPr>
            <w:r>
              <w:rPr>
                <w:sz w:val="19"/>
              </w:rPr>
              <w:t>Open Issues Backlog</w:t>
            </w:r>
          </w:p>
        </w:tc>
        <w:tc>
          <w:tcPr>
            <w:tcW w:type="dxa" w:w="3120"/>
            <w:tcMar>
              <w:top w:w="100" w:type="dxa"/>
              <w:bottom w:w="100" w:type="dxa"/>
              <w:left w:w="180" w:type="dxa"/>
              <w:right w:w="180" w:type="dxa"/>
            </w:tcMar>
          </w:tcPr>
          <w:p>
            <w:pPr>
              <w:spacing w:line="276" w:lineRule="auto"/>
            </w:pPr>
            <w:r>
              <w:rPr>
                <w:sz w:val="19"/>
              </w:rPr>
              <w:t>Open issues count &gt; 100</w:t>
            </w:r>
          </w:p>
        </w:tc>
        <w:tc>
          <w:tcPr>
            <w:tcW w:type="dxa" w:w="3120"/>
            <w:tcMar>
              <w:top w:w="100" w:type="dxa"/>
              <w:bottom w:w="100" w:type="dxa"/>
              <w:left w:w="180" w:type="dxa"/>
              <w:right w:w="180" w:type="dxa"/>
            </w:tcMar>
          </w:tcPr>
          <w:p>
            <w:pPr>
              <w:spacing w:line="276" w:lineRule="auto"/>
            </w:pPr>
            <w:r>
              <w:rPr>
                <w:sz w:val="19"/>
              </w:rPr>
              <w:t>-5 points</w:t>
            </w:r>
          </w:p>
        </w:tc>
      </w:tr>
    </w:tbl>
    <w:p>
      <w:pPr>
        <w:spacing w:after="240"/>
      </w:pPr>
    </w:p>
    <w:p>
      <w:pPr>
        <w:keepNext/>
        <w:spacing w:before="480" w:after="160"/>
      </w:pPr>
      <w:r>
        <w:rPr>
          <w:rFonts w:ascii="Arial" w:hAnsi="Arial"/>
          <w:b/>
          <w:color w:val="1E293B"/>
          <w:sz w:val="36"/>
        </w:rPr>
        <w:t>3. User Interface Design &amp; User Experience</w:t>
      </w:r>
    </w:p>
    <w:p>
      <w:pPr>
        <w:spacing w:before="0" w:after="120" w:line="276" w:lineRule="auto"/>
      </w:pPr>
      <w:r>
        <w:rPr>
          <w:sz w:val="21"/>
        </w:rPr>
        <w:t>The SentinelSBOM frontend is styled to look professional, modern, and clean. The interface utilizes an dark slate/cyberpunk visual theme tailored for Security Operations Centers (SOC). Lucide React iconography provides visual cues for rapid status parsing.</w:t>
      </w:r>
    </w:p>
    <w:p>
      <w:pPr>
        <w:keepNext/>
        <w:spacing w:before="320" w:after="120"/>
      </w:pPr>
      <w:r>
        <w:rPr>
          <w:rFonts w:ascii="Arial" w:hAnsi="Arial"/>
          <w:b/>
          <w:color w:val="4F46E5"/>
          <w:sz w:val="26"/>
        </w:rPr>
        <w:t>3.1 Core Dashboard Screens</w:t>
      </w:r>
    </w:p>
    <w:p>
      <w:pPr>
        <w:spacing w:before="0" w:after="120" w:line="276" w:lineRule="auto"/>
      </w:pPr>
      <w:r>
        <w:rPr>
          <w:b/>
          <w:sz w:val="21"/>
        </w:rPr>
        <w:t>1. Portfolio Overview:</w:t>
      </w:r>
      <w:r>
        <w:rPr>
          <w:sz w:val="21"/>
        </w:rPr>
        <w:t xml:space="preserve"> — Provides quick KPI views of all applications. Displays aggregated counts of direct dependencies, transitive libraries, total vulnerabilities, and licensing violations.</w:t>
      </w:r>
    </w:p>
    <w:p>
      <w:pPr>
        <w:spacing w:before="0" w:after="120" w:line="276" w:lineRule="auto"/>
      </w:pPr>
      <w:r>
        <w:rPr>
          <w:b/>
          <w:sz w:val="21"/>
        </w:rPr>
        <w:t>2. SBOM Upload Engine:</w:t>
      </w:r>
      <w:r>
        <w:rPr>
          <w:sz w:val="21"/>
        </w:rPr>
        <w:t xml:space="preserve"> — Drag-and-drop ingestion page. Provides real-time syntax checking and structure verification. Upon file submission, a success banner displays the count of imported libraries and immediate analysis results.</w:t>
      </w:r>
    </w:p>
    <w:p>
      <w:pPr>
        <w:spacing w:before="0" w:after="120" w:line="276" w:lineRule="auto"/>
      </w:pPr>
      <w:r>
        <w:rPr>
          <w:b/>
          <w:sz w:val="21"/>
        </w:rPr>
        <w:t>3. Security Risk Analytics:</w:t>
      </w:r>
      <w:r>
        <w:rPr>
          <w:sz w:val="21"/>
        </w:rPr>
        <w:t xml:space="preserve"> — Visualizes vulnerability distribution, critical risk factors, CVSS severity breakdowns, and patch availability matrices.</w:t>
      </w:r>
    </w:p>
    <w:p>
      <w:pPr>
        <w:spacing w:before="0" w:after="120" w:line="276" w:lineRule="auto"/>
      </w:pPr>
      <w:r>
        <w:rPr>
          <w:b/>
          <w:sz w:val="21"/>
        </w:rPr>
        <w:t>4. License Compliance Panel:</w:t>
      </w:r>
      <w:r>
        <w:rPr>
          <w:sz w:val="21"/>
        </w:rPr>
        <w:t xml:space="preserve"> — Highlights legal compliance conflicts, viral linking risks, and clear recommendations to developers on whether to replace or isolate target dependencies.</w:t>
      </w:r>
    </w:p>
    <w:p>
      <w:pPr>
        <w:spacing w:before="0" w:after="120" w:line="276" w:lineRule="auto"/>
      </w:pPr>
      <w:r>
        <w:rPr>
          <w:b/>
          <w:sz w:val="21"/>
        </w:rPr>
        <w:t>5. Maintenance Health Dashboard:</w:t>
      </w:r>
      <w:r>
        <w:rPr>
          <w:sz w:val="21"/>
        </w:rPr>
        <w:t xml:space="preserve"> — Visualizes code health metrics, commit frequency trend widgets, stale project alerts, and bus factor warnings.</w:t>
      </w:r>
    </w:p>
    <w:p>
      <w:pPr>
        <w:spacing w:before="0" w:after="120" w:line="276" w:lineRule="auto"/>
      </w:pPr>
      <w:r>
        <w:rPr>
          <w:b/>
          <w:sz w:val="21"/>
        </w:rPr>
        <w:t>6. AI Copilot Chat Console:</w:t>
      </w:r>
      <w:r>
        <w:rPr>
          <w:sz w:val="21"/>
        </w:rPr>
        <w:t xml:space="preserve"> — Displays a live chat assistant interface where analysts can use natural language queries to search the dependency graphs.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