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Calibri" w:cs="Calibri" w:eastAsia="Calibri" w:hAnsi="Calibri"/>
          <w:b/>
          <w:bCs/>
          <w:color w:val="1F3864"/>
          <w:sz w:val="64"/>
          <w:szCs w:val="64"/>
        </w:rPr>
        <w:t xml:space="preserve">AI-Native Engineering</w:t>
      </w:r>
    </w:p>
    <w:p>
      <w:pPr>
        <w:spacing w:after="200" w:before="0"/>
        <w:jc w:val="center"/>
      </w:pPr>
      <w:r>
        <w:rPr>
          <w:rFonts w:ascii="Calibri" w:cs="Calibri" w:eastAsia="Calibri" w:hAnsi="Calibri"/>
          <w:b/>
          <w:bCs/>
          <w:color w:val="1F3864"/>
          <w:sz w:val="64"/>
          <w:szCs w:val="64"/>
        </w:rPr>
        <w:t xml:space="preserve">at Google</w:t>
      </w:r>
    </w:p>
    <w:p>
      <w:pPr>
        <w:spacing w:after="240" w:before="240"/>
        <w:jc w:val="center"/>
      </w:pPr>
      <w:r>
        <w:rPr>
          <w:rFonts w:ascii="Calibri" w:cs="Calibri" w:eastAsia="Calibri" w:hAnsi="Calibri"/>
          <w:color w:val="404040"/>
          <w:sz w:val="28"/>
          <w:szCs w:val="28"/>
        </w:rPr>
        <w:t xml:space="preserve">A Team Playbook for Storing Context, Building Skills,</w:t>
      </w:r>
    </w:p>
    <w:p>
      <w:pPr>
        <w:spacing w:after="800" w:before="0"/>
        <w:jc w:val="center"/>
      </w:pPr>
      <w:r>
        <w:rPr>
          <w:rFonts w:ascii="Calibri" w:cs="Calibri" w:eastAsia="Calibri" w:hAnsi="Calibri"/>
          <w:color w:val="404040"/>
          <w:sz w:val="28"/>
          <w:szCs w:val="28"/>
        </w:rPr>
        <w:t xml:space="preserve">and Working with Gemini in the Loop</w:t>
      </w:r>
    </w:p>
    <w:p>
      <w:pPr>
        <w:spacing w:after="80" w:before="200"/>
        <w:jc w:val="center"/>
      </w:pPr>
      <w:r>
        <w:rPr>
          <w:rFonts w:ascii="Calibri" w:cs="Calibri" w:eastAsia="Calibri" w:hAnsi="Calibri"/>
          <w:i/>
          <w:iCs/>
          <w:color w:val="595959"/>
          <w:sz w:val="22"/>
          <w:szCs w:val="22"/>
        </w:rPr>
        <w:t xml:space="preserve">For engineering teams using Gemini, Code Assist,</w:t>
      </w:r>
    </w:p>
    <w:p>
      <w:pPr>
        <w:spacing w:after="200" w:before="0"/>
        <w:jc w:val="center"/>
      </w:pPr>
      <w:r>
        <w:rPr>
          <w:rFonts w:ascii="Calibri" w:cs="Calibri" w:eastAsia="Calibri" w:hAnsi="Calibri"/>
          <w:i/>
          <w:iCs/>
          <w:color w:val="595959"/>
          <w:sz w:val="22"/>
          <w:szCs w:val="22"/>
        </w:rPr>
        <w:t xml:space="preserve">NotebookLM, Gems, the Agent Platform, and MCP</w:t>
      </w:r>
    </w:p>
    <w:p>
      <w:pPr>
        <w:spacing w:after="40" w:before="800"/>
        <w:jc w:val="center"/>
      </w:pPr>
      <w:r>
        <w:rPr>
          <w:rFonts w:ascii="Calibri" w:cs="Calibri" w:eastAsia="Calibri" w:hAnsi="Calibri"/>
          <w:color w:val="595959"/>
          <w:sz w:val="20"/>
          <w:szCs w:val="20"/>
        </w:rPr>
        <w:t xml:space="preserve">Version 1.0</w:t>
      </w:r>
    </w:p>
    <w:p>
      <w:pPr>
        <w:spacing w:after="0" w:before="0"/>
        <w:jc w:val="center"/>
      </w:pPr>
      <w:r>
        <w:rPr>
          <w:rFonts w:ascii="Calibri" w:cs="Calibri" w:eastAsia="Calibri" w:hAnsi="Calibri"/>
          <w:color w:val="595959"/>
          <w:sz w:val="20"/>
          <w:szCs w:val="20"/>
        </w:rPr>
        <w:t xml:space="preserve">May 2026</w:t>
      </w:r>
    </w:p>
    <w:p>
      <w:pPr>
        <w:pStyle w:val="Heading1"/>
        <w:pageBreakBefore/>
        <w:spacing w:after="160" w:before="360"/>
      </w:pPr>
      <w:r>
        <w:rPr>
          <w:rFonts w:ascii="Calibri" w:cs="Calibri" w:eastAsia="Calibri" w:hAnsi="Calibri"/>
        </w:rPr>
        <w:t xml:space="preserve">Executive Summary</w:t>
      </w:r>
    </w:p>
    <w:p>
      <w:pPr>
        <w:spacing w:after="120" w:before="80" w:line="312"/>
        <w:jc w:val="both"/>
      </w:pPr>
      <w:r>
        <w:rPr>
          <w:rFonts w:ascii="Calibri" w:cs="Calibri" w:eastAsia="Calibri" w:hAnsi="Calibri"/>
          <w:sz w:val="22"/>
          <w:szCs w:val="22"/>
        </w:rPr>
        <w:t xml:space="preserve">The interesting question in 2026 is no longer whether your engineering team should be using AI day-to-day. Gemini ships ~50% of new code characters into Google’s monorepo by character count, the DORA 2025 report shows 90% developer adoption industry-wide, and the production constraint has visibly shifted from typing code to reviewing, integrating, and trusting it. The interesting question is how a single team sets up its context, skills, tools, and human-in-the-loop discipline so that this leverage compounds instead of leaking into friction.</w:t>
      </w:r>
    </w:p>
    <w:p>
      <w:pPr>
        <w:spacing w:after="120" w:before="80" w:line="312"/>
        <w:jc w:val="both"/>
      </w:pPr>
      <w:r>
        <w:rPr>
          <w:rFonts w:ascii="Calibri" w:cs="Calibri" w:eastAsia="Calibri" w:hAnsi="Calibri"/>
          <w:sz w:val="22"/>
          <w:szCs w:val="22"/>
        </w:rPr>
        <w:t xml:space="preserve">This playbook is the result of an audit across three bodies of practice: what Google has published about how its own engineering teams work with AI (the DIDACT pipeline, Critique’s ML-resolved comments, the int32→int64 migration, the OCTO post on review fatigue, the 2025 DORA findings); what the wider ecosystem has converged on in 2025–2026 (AGENTS.md as a cross-tool standard, Anthropic’s Skills with progressive disclosure, MCP’s near-universal adoption, the Shopify-style internal LLM gateway, Simon Willison’s anti-patterns list); and what works specifically inside the Gemini stack a Googler has at hand (Gems, NotebookLM Enterprise, Code Assist with .gemini/styleguide.md, the Gemini Enterprise Agent Platform, official remote MCP servers, Gemini CLI).</w:t>
      </w:r>
    </w:p>
    <w:p>
      <w:pPr>
        <w:spacing w:after="120" w:before="80" w:line="312"/>
        <w:jc w:val="both"/>
      </w:pPr>
      <w:r>
        <w:rPr>
          <w:rFonts w:ascii="Calibri" w:cs="Calibri" w:eastAsia="Calibri" w:hAnsi="Calibri"/>
          <w:sz w:val="22"/>
          <w:szCs w:val="22"/>
        </w:rPr>
        <w:t xml:space="preserve">The recommendation that comes out of all three streams is the same: treat AI enablement as a platform program for the team, not as individual tool choice. Build four layers, in order. First, store team context in a small set of canonical files and grounded knowledge bases. Second, capture reusable procedural knowledge as named, discoverable skills. Third, expose your tools and data through MCP, with allowlists and OAuth. Fourth, write down your human-in-the-loop policy explicitly — which actions are auto-approved, which need PR review, which need a synchronous human — and run an eval harness against it. Most teams overshoot to autonomous agents before any of the four layers is in place; the orgs reporting 2–3× measurable productivity lift are the ones that do these in order.</w:t>
      </w:r>
    </w:p>
    <w:p>
      <w:pPr>
        <w:spacing w:after="120" w:before="80" w:line="312"/>
        <w:jc w:val="both"/>
      </w:pPr>
      <w:r>
        <w:rPr>
          <w:rFonts w:ascii="Calibri" w:cs="Calibri" w:eastAsia="Calibri" w:hAnsi="Calibri"/>
          <w:sz w:val="22"/>
          <w:szCs w:val="22"/>
        </w:rPr>
        <w:t xml:space="preserve">The rest of this document expands each of those four layers, recommends a concrete four-week rollout, lists the anti-patterns you should publish on the team wiki as norms with teeth, and ends with starter templates you can copy directly.</w:t>
      </w:r>
    </w:p>
    <w:p>
      <w:pPr>
        <w:pStyle w:val="Heading1"/>
        <w:pageBreakBefore/>
        <w:spacing w:after="160" w:before="360"/>
      </w:pPr>
      <w:r>
        <w:rPr>
          <w:rFonts w:ascii="Calibri" w:cs="Calibri" w:eastAsia="Calibri" w:hAnsi="Calibri"/>
        </w:rPr>
        <w:t xml:space="preserve">Part 1 · Why the Bottleneck Has Moved</w:t>
      </w:r>
    </w:p>
    <w:p>
      <w:pPr>
        <w:spacing w:after="120" w:before="80" w:line="312"/>
        <w:jc w:val="both"/>
      </w:pPr>
      <w:r>
        <w:rPr>
          <w:rFonts w:ascii="Calibri" w:cs="Calibri" w:eastAsia="Calibri" w:hAnsi="Calibri"/>
          <w:sz w:val="22"/>
          <w:szCs w:val="22"/>
        </w:rPr>
        <w:t xml:space="preserve">The single most useful frame for this work comes from Lee Boonstra in Google Cloud’s OCTO post from April 2026, and it is worth reading carefully before designing anything else.</w:t>
      </w:r>
    </w:p>
    <w:p>
      <w:pPr>
        <w:spacing w:after="200" w:before="200" w:line="312"/>
        <w:ind w:left="720" w:right="720"/>
      </w:pPr>
      <w:r>
        <w:rPr>
          <w:rFonts w:ascii="Calibri" w:cs="Calibri" w:eastAsia="Calibri" w:hAnsi="Calibri"/>
          <w:i/>
          <w:iCs/>
          <w:sz w:val="22"/>
          <w:szCs w:val="22"/>
        </w:rPr>
        <w:t xml:space="preserve">“AI eliminated the code production bottleneck, and the constraint moved downstream to the humans who have to review, test, and integrate all that output. Better prompts and faster models won’t fix that.”</w:t>
      </w:r>
      <w:r>
        <w:rPr>
          <w:rFonts w:ascii="Calibri" w:cs="Calibri" w:eastAsia="Calibri" w:hAnsi="Calibri"/>
          <w:color w:val="595959"/>
          <w:sz w:val="20"/>
          <w:szCs w:val="20"/>
        </w:rPr>
        <w:t xml:space="preserve">  — Lee Boonstra, Google Cloud Office of the CTO</w:t>
      </w:r>
    </w:p>
    <w:p>
      <w:pPr>
        <w:spacing w:after="120" w:before="80" w:line="312"/>
        <w:jc w:val="both"/>
      </w:pPr>
      <w:r>
        <w:rPr>
          <w:rFonts w:ascii="Calibri" w:cs="Calibri" w:eastAsia="Calibri" w:hAnsi="Calibri"/>
          <w:sz w:val="22"/>
          <w:szCs w:val="22"/>
        </w:rPr>
        <w:t xml:space="preserve">Google’s own published numbers tell the same story from a different angle. According to research.google’s "AI in Software Engineering at Google" post and the follow-up ICSE 2026 paper from Tabachnyk, Chandra, and Frömmgen, roughly 50% of new code characters are now AI-generated in the internal IDE, with a 37% suggestion acceptance rate. In Critique, ML-suggested edits now resolve more than 8% of all reviewer comments via a one-click apply, with about 52% of eligible comments receiving a suggestion at a 50% target precision. The int32-to-int64 ID migration across Ads, documented in research.google’s July 2024 case study, landed with 80% of code modifications authored by AI, cutting total migration time in half. Pichai’s public number on AI-authored code grew from 25% (Oct 2024) to 30%+ (Apr 2025).</w:t>
      </w:r>
    </w:p>
    <w:p>
      <w:pPr>
        <w:spacing w:after="120" w:before="80" w:line="312"/>
        <w:jc w:val="both"/>
      </w:pPr>
      <w:r>
        <w:rPr>
          <w:rFonts w:ascii="Calibri" w:cs="Calibri" w:eastAsia="Calibri" w:hAnsi="Calibri"/>
          <w:sz w:val="22"/>
          <w:szCs w:val="22"/>
        </w:rPr>
        <w:t xml:space="preserve">And yet the 2025 DORA report, which Google Cloud publishes and which surveys ~39,000 engineers worldwide, found that while 90% of developers now use AI tools daily, only 24% trust them "a lot" or "a great deal," and 30% trust them "a little" or "not at all." DORA calls this the "trust paradox" and concludes that time saved on generation is largely reallocated to review and verification — friction shifts, it does not disappear. The single developer quote pinned in the executive summary of that report is: "AI tools increase my productivity, they write code faster than I could, but the code is (currently) lower quality than I could write myself."</w:t>
      </w:r>
    </w:p>
    <w:p>
      <w:pPr>
        <w:spacing w:after="120" w:before="80" w:line="312"/>
        <w:jc w:val="both"/>
      </w:pPr>
      <w:r>
        <w:rPr>
          <w:rFonts w:ascii="Calibri" w:cs="Calibri" w:eastAsia="Calibri" w:hAnsi="Calibri"/>
          <w:sz w:val="22"/>
          <w:szCs w:val="22"/>
        </w:rPr>
        <w:t xml:space="preserve">If you accept those two facts together — leverage is real, the bottleneck has moved — then the rest of this playbook follows. You are not optimizing for "AI does more"; you are optimizing for review throughput, context portability, calibrated trust, and the discipline that lets a team get to merged code without anyone rubber-stamping a 2,000-line diff at 5:45pm on a Friday. Everything below is in service of that.</w:t>
      </w:r>
    </w:p>
    <w:p>
      <w:pPr>
        <w:pStyle w:val="Heading3"/>
        <w:spacing w:after="80" w:before="200"/>
      </w:pPr>
      <w:r>
        <w:rPr>
          <w:rFonts w:ascii="Calibri" w:cs="Calibri" w:eastAsia="Calibri" w:hAnsi="Calibri"/>
        </w:rPr>
        <w:t xml:space="preserve">Google’s own three-rule playbook</w:t>
      </w:r>
    </w:p>
    <w:p>
      <w:pPr>
        <w:spacing w:after="120" w:before="80" w:line="312"/>
        <w:jc w:val="both"/>
      </w:pPr>
      <w:r>
        <w:rPr>
          <w:rFonts w:ascii="Calibri" w:cs="Calibri" w:eastAsia="Calibri" w:hAnsi="Calibri"/>
          <w:sz w:val="22"/>
          <w:szCs w:val="22"/>
        </w:rPr>
        <w:t xml:space="preserve">Buried in the research.google post is a remarkably concise statement of Google’s internal methodology. It is worth lifting verbatim because it is doing more work than its short length suggests. First, prioritize ideas that are both technically feasible and measurably impactful; offline metrics are at best rough proxies, so validate with online A/B. Second, AI suggestions should blend into the existing workflow — tab to accept, click to apply, no remembering to trigger a feature. Third, the author becomes a reviewer; target acceptance rates that balance the cost of review against the value of the suggestion. The first two are about adoption. The third is the entire HITL problem in one sentence.</w:t>
      </w:r>
    </w:p>
    <w:p>
      <w:pPr>
        <w:pStyle w:val="Heading1"/>
        <w:pageBreakBefore/>
        <w:spacing w:after="160" w:before="360"/>
      </w:pPr>
      <w:r>
        <w:rPr>
          <w:rFonts w:ascii="Calibri" w:cs="Calibri" w:eastAsia="Calibri" w:hAnsi="Calibri"/>
        </w:rPr>
        <w:t xml:space="preserve">Part 2 · Storing Team-Wise Context</w:t>
      </w:r>
    </w:p>
    <w:p>
      <w:pPr>
        <w:spacing w:after="120" w:before="80" w:line="312"/>
        <w:jc w:val="both"/>
      </w:pPr>
      <w:r>
        <w:rPr>
          <w:rFonts w:ascii="Calibri" w:cs="Calibri" w:eastAsia="Calibri" w:hAnsi="Calibri"/>
          <w:sz w:val="22"/>
          <w:szCs w:val="22"/>
        </w:rPr>
        <w:t xml:space="preserve">Context is the most leveraged thing a team can invest in. A single well-written GEMINI.md changes the quality of every interaction every engineer has with the assistant. The mental model to hold is a hierarchy of four layers, each answering a different question at a different lifetime, and each with a corresponding primitive in the Gemini stack.</w:t>
      </w:r>
    </w:p>
    <w:p>
      <w:pPr>
        <w:spacing w:after="120" w:before="80" w:line="312"/>
        <w:jc w:val="both"/>
      </w:pPr>
      <w:r>
        <w:rPr>
          <w:rFonts w:ascii="Calibri" w:cs="Calibri" w:eastAsia="Calibri" w:hAnsi="Calibri"/>
          <w:sz w:val="22"/>
          <w:szCs w:val="22"/>
        </w:rPr>
        <w:t xml:space="preserve">The personal layer answers "who am I and how do I like to work" — your editor preferences, your verbosity tolerance, the team you sit on. It lives in ~/.gemini/GEMINI.md and travels with you across repos. The repository layer answers "what is this codebase, how is it built and tested, what is the house style" and lives at the repo root, ideally checked in as AGENTS.md with GEMINI.md symlinked to it so the same file is read by Gemini CLI, Codex, Cursor, Copilot, and Aider. The subsystem layer answers "what is specific about this service or package" and lives nested in subdirectories — the Gemini CLI walks the tree from the working directory up to a trusted root and concatenates GEMINI.md files along the way, with the closest file winning where there is conflict. The grounded layer answers "what do our design docs, RFCs, runbooks, and dashboards say" and lives in NotebookLM notebooks and Gem knowledge files, where every answer carries a citation back to a source.</w:t>
      </w:r>
    </w:p>
    <w:p>
      <w:pPr>
        <w:pStyle w:val="Heading2"/>
        <w:spacing w:after="120" w:before="280"/>
      </w:pPr>
      <w:r>
        <w:rPr>
          <w:rFonts w:ascii="Calibri" w:cs="Calibri" w:eastAsia="Calibri" w:hAnsi="Calibri"/>
        </w:rPr>
        <w:t xml:space="preserve">2.1 · The personal layer</w:t>
      </w:r>
    </w:p>
    <w:p>
      <w:pPr>
        <w:spacing w:after="120" w:before="80" w:line="312"/>
        <w:jc w:val="both"/>
      </w:pPr>
      <w:r>
        <w:rPr>
          <w:rFonts w:ascii="Calibri" w:cs="Calibri" w:eastAsia="Calibri" w:hAnsi="Calibri"/>
          <w:sz w:val="22"/>
          <w:szCs w:val="22"/>
        </w:rPr>
        <w:t xml:space="preserve">Keep ~/.gemini/GEMINI.md short. It is loaded on every invocation, so anything you put here is a permanent context tax. Two to three hundred words is plenty: your role and team, the languages you work in most, the level of explanation you want by default (terse-and-direct vs. teach-me), how you like commit messages and PR descriptions formatted, and explicit negative constraints (do not add comments unless asked, do not refactor unrelated code, do not add tests unless the file already has them). Negative constraints empirically work better than positive preferences — "do not use class components" beats "prefer hooks" in every published comparison.</w:t>
      </w:r>
    </w:p>
    <w:p>
      <w:pPr>
        <w:pStyle w:val="Heading2"/>
        <w:spacing w:after="120" w:before="280"/>
      </w:pPr>
      <w:r>
        <w:rPr>
          <w:rFonts w:ascii="Calibri" w:cs="Calibri" w:eastAsia="Calibri" w:hAnsi="Calibri"/>
        </w:rPr>
        <w:t xml:space="preserve">2.2 · The repository layer</w:t>
      </w:r>
    </w:p>
    <w:p>
      <w:pPr>
        <w:spacing w:after="120" w:before="80" w:line="312"/>
        <w:jc w:val="both"/>
      </w:pPr>
      <w:r>
        <w:rPr>
          <w:rFonts w:ascii="Calibri" w:cs="Calibri" w:eastAsia="Calibri" w:hAnsi="Calibri"/>
          <w:sz w:val="22"/>
          <w:szCs w:val="22"/>
        </w:rPr>
        <w:t xml:space="preserve">This is the file that earns its keep. The community has converged in 2025–2026 on AGENTS.md as the cross-tool standard, with over 60,000 OSS repos shipping one as of May 2026, native reading support in every major coding agent (Codex, Cursor, Aider, Gemini CLI, Copilot coding agent, Windsurf, Q Developer, Devin, goose, opencode, Factory, Jules, Junie, Zed, Warp, Amp), and stewardship under the Agentic AI Foundation at the Linux Foundation. Inside Google, the equivalent expectation is GEMINI.md at the repo root. The cleanest pattern is to write AGENTS.md, symlink GEMINI.md to it, and configure context.fileName in .gemini/settings.json to pick up whichever name your tooling prefers.</w:t>
      </w:r>
    </w:p>
    <w:p>
      <w:pPr>
        <w:spacing w:after="120" w:before="80" w:line="312"/>
        <w:jc w:val="both"/>
      </w:pPr>
      <w:r>
        <w:rPr>
          <w:rFonts w:ascii="Calibri" w:cs="Calibri" w:eastAsia="Calibri" w:hAnsi="Calibri"/>
          <w:sz w:val="22"/>
          <w:szCs w:val="22"/>
        </w:rPr>
        <w:t xml:space="preserve">The repo-level file should read like the first day of onboarding a competent new engineer who is going to start typing in five minutes. It tells them: how to set up the workspace, the build and test commands they actually need (not all of them — the ones they will use today), the directories they should and should not touch, the style guide URL, the test conventions, the PR title format, and the security gotchas (no real customer data in test fixtures; no PII in logs). It is not documentation of the codebase, which lives elsewhere; it is the smallest possible map that lets the agent stop asking questions a human teammate would not need to ask.</w:t>
      </w:r>
    </w:p>
    <w:p>
      <w:pPr>
        <w:spacing w:after="120" w:before="80" w:line="312"/>
        <w:jc w:val="both"/>
      </w:pPr>
      <w:r>
        <w:rPr>
          <w:rFonts w:ascii="Calibri" w:cs="Calibri" w:eastAsia="Calibri" w:hAnsi="Calibri"/>
          <w:sz w:val="22"/>
          <w:szCs w:val="22"/>
        </w:rPr>
        <w:t xml:space="preserve">Keep the always-loaded portion under about 2,000 tokens. Cursor users have empirically converged on this threshold, and it transfers cleanly to Gemini CLI because the same context-budget physics apply. Anything richer than 2,000 tokens belongs in a referenced file (@file imports work in GEMINI.md) or as a Skill (Part 3) or as a NotebookLM source (Section 2.4).</w:t>
      </w:r>
    </w:p>
    <w:p>
      <w:pPr>
        <w:pStyle w:val="Heading2"/>
        <w:spacing w:after="120" w:before="280"/>
      </w:pPr>
      <w:r>
        <w:rPr>
          <w:rFonts w:ascii="Calibri" w:cs="Calibri" w:eastAsia="Calibri" w:hAnsi="Calibri"/>
        </w:rPr>
        <w:t xml:space="preserve">2.3 · The subsystem layer</w:t>
      </w:r>
    </w:p>
    <w:p>
      <w:pPr>
        <w:spacing w:after="120" w:before="80" w:line="312"/>
        <w:jc w:val="both"/>
      </w:pPr>
      <w:r>
        <w:rPr>
          <w:rFonts w:ascii="Calibri" w:cs="Calibri" w:eastAsia="Calibri" w:hAnsi="Calibri"/>
          <w:sz w:val="22"/>
          <w:szCs w:val="22"/>
        </w:rPr>
        <w:t xml:space="preserve">For services or packages with their own idioms — a payments service with stricter testing rules, a frontend package with a specific component library, an experimental directory that should not be refactored — add nested GEMINI.md files in those directories. They override the repo-level rules locally. This is the right place for things like "in this package, all public functions must have godoc comments" or "this service uses Spanner not Bigtable; do not assume eventual consistency patterns from the rest of the repo."</w:t>
      </w:r>
    </w:p>
    <w:p>
      <w:pPr>
        <w:pStyle w:val="Heading2"/>
        <w:spacing w:after="120" w:before="280"/>
      </w:pPr>
      <w:r>
        <w:rPr>
          <w:rFonts w:ascii="Calibri" w:cs="Calibri" w:eastAsia="Calibri" w:hAnsi="Calibri"/>
        </w:rPr>
        <w:t xml:space="preserve">2.4 · The grounded layer: NotebookLM and Gem knowledge files</w:t>
      </w:r>
    </w:p>
    <w:p>
      <w:pPr>
        <w:spacing w:after="120" w:before="80" w:line="312"/>
        <w:jc w:val="both"/>
      </w:pPr>
      <w:r>
        <w:rPr>
          <w:rFonts w:ascii="Calibri" w:cs="Calibri" w:eastAsia="Calibri" w:hAnsi="Calibri"/>
          <w:sz w:val="22"/>
          <w:szCs w:val="22"/>
        </w:rPr>
        <w:t xml:space="preserve">GEMINI.md cannot hold design docs, RFC archives, runbooks, or incident postmortems — they are too large and too volatile. The right primitive for that is NotebookLM, which is source-grounded RAG over a fixed corpus and crucially attaches a citation to every answer. NotebookLM Enterprise runs in your Google Cloud project, has IAM-bound sharing, VPC-SC, audit logs, and a documented no-training-on-your-data guarantee, which makes it appropriate for internal-confidential content where the consumer-grade NotebookLM is not.</w:t>
      </w:r>
    </w:p>
    <w:p>
      <w:pPr>
        <w:spacing w:after="120" w:before="80" w:line="312"/>
        <w:jc w:val="both"/>
      </w:pPr>
      <w:r>
        <w:rPr>
          <w:rFonts w:ascii="Calibri" w:cs="Calibri" w:eastAsia="Calibri" w:hAnsi="Calibri"/>
          <w:sz w:val="22"/>
          <w:szCs w:val="22"/>
        </w:rPr>
        <w:t xml:space="preserve">The two patterns that separate teams who get value from NotebookLM from teams who don’t are scoping and refresh. On scoping: prefer many small notebooks ("Payments service runbooks", "Q2 2026 RFCs", "On-call playbook v3") over one mega-notebook, because tight scoping is what makes citations precise and answers on-topic. On refresh: notebooks are snapshots, not live mirrors, so add a calendar reminder to re-sync sources weekly or after any major doc change. The Audio Overview feature — a 10–15 minute synthesized conversation about the notebook’s contents — is reported by every third-party adoption write-up as the highest-leverage onboarding tool the team will discover; generate one for each domain area and link it from the new-hire doc.</w:t>
      </w:r>
    </w:p>
    <w:p>
      <w:pPr>
        <w:spacing w:after="120" w:before="80" w:line="312"/>
        <w:jc w:val="both"/>
      </w:pPr>
      <w:r>
        <w:rPr>
          <w:rFonts w:ascii="Calibri" w:cs="Calibri" w:eastAsia="Calibri" w:hAnsi="Calibri"/>
          <w:sz w:val="22"/>
          <w:szCs w:val="22"/>
        </w:rPr>
        <w:t xml:space="preserve">For lighter weight reusable contexts that travel with a specific role or workflow — "RFC drafter using our template," "Incident note-taker following our postmortem format," "Code review explainer using our style guide" — build a Gem. A Gem is a Gemini configuration with up to ten knowledge files and a system prompt, shareable via the Workspace admin console, and inheriting Drive sharing semantics for ownership continuity. Store Gems in a shared Drive folder so ownership survives team changes; recipients can see your instructions and the file names you attached, so do not embed secrets. Iterate the system prompt using the in-app "rewrite instructions" affordance — it tightens vague prompts into structured ones, which materially improves consistency on repeated outputs.</w:t>
      </w:r>
    </w:p>
    <w:p>
      <w:pPr>
        <w:pStyle w:val="Heading2"/>
        <w:spacing w:after="120" w:before="280"/>
      </w:pPr>
      <w:r>
        <w:rPr>
          <w:rFonts w:ascii="Calibri" w:cs="Calibri" w:eastAsia="Calibri" w:hAnsi="Calibri"/>
        </w:rPr>
        <w:t xml:space="preserve">2.5 · Putting the layers together</w:t>
      </w:r>
    </w:p>
    <w:p>
      <w:pPr>
        <w:spacing w:after="120" w:before="80" w:line="312"/>
        <w:jc w:val="both"/>
      </w:pPr>
      <w:r>
        <w:rPr>
          <w:rFonts w:ascii="Calibri" w:cs="Calibri" w:eastAsia="Calibri" w:hAnsi="Calibri"/>
          <w:sz w:val="22"/>
          <w:szCs w:val="22"/>
        </w:rPr>
        <w:t xml:space="preserve">The mental check is: if a new engineer joined the team tomorrow, would the four layers tell their Gemini-augmented self enough to be productive on day one? Personal preferences from their own ~/.gemini file, repo conventions from the checked-in AGENTS.md, subsystem-specific quirks from the nested files where relevant, and the design-doc and runbook corpus available via two or three NotebookLM notebooks and a small library of named Gems. If the answer is yes, the context layer is done. If you find yourself re-explaining the same thing to the agent in chat repeatedly, that is a context bug and the fix is to write it down in the appropriate layer, not to re-prompt better.</w:t>
      </w:r>
    </w:p>
    <w:p>
      <w:pPr>
        <w:pStyle w:val="Heading1"/>
        <w:pageBreakBefore/>
        <w:spacing w:after="160" w:before="360"/>
      </w:pPr>
      <w:r>
        <w:rPr>
          <w:rFonts w:ascii="Calibri" w:cs="Calibri" w:eastAsia="Calibri" w:hAnsi="Calibri"/>
        </w:rPr>
        <w:t xml:space="preserve">Part 3 · Creating Skills</w:t>
      </w:r>
    </w:p>
    <w:p>
      <w:pPr>
        <w:spacing w:after="120" w:before="80" w:line="312"/>
        <w:jc w:val="both"/>
      </w:pPr>
      <w:r>
        <w:rPr>
          <w:rFonts w:ascii="Calibri" w:cs="Calibri" w:eastAsia="Calibri" w:hAnsi="Calibri"/>
          <w:sz w:val="22"/>
          <w:szCs w:val="22"/>
        </w:rPr>
        <w:t xml:space="preserve">A skill is a unit of procedural knowledge. The clearest articulation came from Anthropic’s October 2025 launch of Agent Skills and the December 2025 move to make the SKILL.md format an open standard — Simon Willison’s line was that Skills are "maybe a bigger deal than MCP," which sounds dramatic until you understand the design idea. The Gemini ecosystem does not yet have a first-class Skills primitive with the same name, but the pattern translates directly: a skill is a folder containing a SKILL.md (or equivalent) with a name, a description, and a body, optionally bundled with scripts or reference files. The killer property is progressive disclosure — the name and description always sit in context (a few dozen tokens), the body loads only when the model decides the skill is relevant, and any bundled files load only when the body references them. Effectively unbounded context per skill, near-zero idle cost.</w:t>
      </w:r>
    </w:p>
    <w:p>
      <w:pPr>
        <w:spacing w:after="120" w:before="80" w:line="312"/>
        <w:jc w:val="both"/>
      </w:pPr>
      <w:r>
        <w:rPr>
          <w:rFonts w:ascii="Calibri" w:cs="Calibri" w:eastAsia="Calibri" w:hAnsi="Calibri"/>
          <w:sz w:val="22"/>
          <w:szCs w:val="22"/>
        </w:rPr>
        <w:t xml:space="preserve">For a Google engineering team using Gemini, you build the Skills pattern out of the primitives you already have. A directory in your repo called skills/, with one folder per skill, each containing a brief markdown file with a metadata header (name and one-sentence description) and a body describing the procedure. Reference these from GEMINI.md via @file imports for the ones you want always-available, or leave them in the directory for ad-hoc reference when an engineer asks the agent to "use the postmortem-writeup skill." Gemini CLI’s @file imports and slash-commands give you most of the affordance Anthropic’s Skills offer; the Gemini Enterprise Agent Platform’s ADK 2.0 (released at Cloud Next 2026) gives you the more programmatic version if you need code-backed skills.</w:t>
      </w:r>
    </w:p>
    <w:p>
      <w:pPr>
        <w:pStyle w:val="Heading2"/>
        <w:spacing w:after="120" w:before="280"/>
      </w:pPr>
      <w:r>
        <w:rPr>
          <w:rFonts w:ascii="Calibri" w:cs="Calibri" w:eastAsia="Calibri" w:hAnsi="Calibri"/>
        </w:rPr>
        <w:t xml:space="preserve">3.1 · What belongs in a skill</w:t>
      </w:r>
    </w:p>
    <w:p>
      <w:pPr>
        <w:spacing w:after="120" w:before="80" w:line="312"/>
        <w:jc w:val="both"/>
      </w:pPr>
      <w:r>
        <w:rPr>
          <w:rFonts w:ascii="Calibri" w:cs="Calibri" w:eastAsia="Calibri" w:hAnsi="Calibri"/>
          <w:sz w:val="22"/>
          <w:szCs w:val="22"/>
        </w:rPr>
        <w:t xml:space="preserve">A good skill captures something a senior engineer would say out loud while explaining how the team does X. "How we write an RFC" is a skill: a name, a one-line description, a body with the template, the section conventions, two short exemplars, and a link to the archive. "How we triage a flaky test" is a skill: the steps, the bisect script you actually use, the rerun policy, the labels to apply. "How we write a postmortem" is a skill: the format, the five-whys discipline, the privacy redactions, the audience expectations. The test for whether something deserves a skill is whether you would type the same paragraph twice. If yes, it is a skill.</w:t>
      </w:r>
    </w:p>
    <w:p>
      <w:pPr>
        <w:spacing w:after="120" w:before="80" w:line="312"/>
        <w:jc w:val="both"/>
      </w:pPr>
      <w:r>
        <w:rPr>
          <w:rFonts w:ascii="Calibri" w:cs="Calibri" w:eastAsia="Calibri" w:hAnsi="Calibri"/>
          <w:sz w:val="22"/>
          <w:szCs w:val="22"/>
        </w:rPr>
        <w:t xml:space="preserve">Three properties separate skills that compound from skills that rot. They are narrow (one task, one outcome), they cite real artifacts (a link to last quarter’s exemplar RFC, the actual postmortem template, the bisect script in the repo), and they have a clear failure mode written down (the section heading "When this skill is the wrong tool" matters more than people expect).</w:t>
      </w:r>
    </w:p>
    <w:p>
      <w:pPr>
        <w:pStyle w:val="Heading2"/>
        <w:spacing w:after="120" w:before="280"/>
      </w:pPr>
      <w:r>
        <w:rPr>
          <w:rFonts w:ascii="Calibri" w:cs="Calibri" w:eastAsia="Calibri" w:hAnsi="Calibri"/>
        </w:rPr>
        <w:t xml:space="preserve">3.2 · Authoring with the agent</w:t>
      </w:r>
    </w:p>
    <w:p>
      <w:pPr>
        <w:spacing w:after="120" w:before="80" w:line="312"/>
        <w:jc w:val="both"/>
      </w:pPr>
      <w:r>
        <w:rPr>
          <w:rFonts w:ascii="Calibri" w:cs="Calibri" w:eastAsia="Calibri" w:hAnsi="Calibri"/>
          <w:sz w:val="22"/>
          <w:szCs w:val="22"/>
        </w:rPr>
        <w:t xml:space="preserve">Anthropic’s recommended workflow for writing Skills is "iterate with the model": do a task end-to-end with the assistant, then ask it to reflect on what worked, what failed, and what context would have made the work faster next time, and capture that into a skill. This works equally well in Gemini. After a non-trivial piece of work — a thorny migration, a tricky review, an incident writeup — ask the assistant to draft a skill that would let next quarter’s teammate do this faster. Edit it down. Check it in. Within three to six months a team that does this consistently builds a library that is more valuable than any external tool you can buy, because it is your team’s actual procedural knowledge in a form the assistant can apply.</w:t>
      </w:r>
    </w:p>
    <w:p>
      <w:pPr>
        <w:pStyle w:val="Heading2"/>
        <w:spacing w:after="120" w:before="280"/>
      </w:pPr>
      <w:r>
        <w:rPr>
          <w:rFonts w:ascii="Calibri" w:cs="Calibri" w:eastAsia="Calibri" w:hAnsi="Calibri"/>
        </w:rPr>
        <w:t xml:space="preserve">3.3 · Skills versus Gems versus Agents</w:t>
      </w:r>
    </w:p>
    <w:p>
      <w:pPr>
        <w:spacing w:after="120" w:before="80" w:line="312"/>
        <w:jc w:val="both"/>
      </w:pPr>
      <w:r>
        <w:rPr>
          <w:rFonts w:ascii="Calibri" w:cs="Calibri" w:eastAsia="Calibri" w:hAnsi="Calibri"/>
          <w:sz w:val="22"/>
          <w:szCs w:val="22"/>
        </w:rPr>
        <w:t xml:space="preserve">A reasonable confusion at this point is: I now have Gems, skills, and the option of building an ADK agent. When do I reach for which? The rule of thumb is reversibility, frequency, and autonomy.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Primitive</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Best for</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Lifetime</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Autonomy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Skill (in-repo)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Procedural knowledge applied per task by the engineer’s assistant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Years; checked 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Human is driving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Gem (Workspace)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Reusable role/workflow for non-code work — RFCs, retros, status updates</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Months; shared via Drive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Human is driving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Code Assist style guide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Repo-wide review standards enforced automatically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Years; checked 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Inline review, human merges</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ADK agent (Agent Platform)</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Multi-step, durable, multi-tool, runs hours–days</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Long-running service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Agent acts; humans approve</w:t>
            </w:r>
          </w:p>
        </w:tc>
      </w:tr>
    </w:tbl>
    <w:p>
      <w:pPr>
        <w:spacing w:after="120" w:before="80" w:line="312"/>
        <w:jc w:val="both"/>
      </w:pPr>
      <w:r>
        <w:rPr>
          <w:rFonts w:ascii="Calibri" w:cs="Calibri" w:eastAsia="Calibri" w:hAnsi="Calibri"/>
          <w:sz w:val="22"/>
          <w:szCs w:val="22"/>
        </w:rPr>
        <w:t xml:space="preserve">Most teams will spend their first month building skills and Gems, never touching ADK, and that is correct. ADK is for the moment when a recurring toil is well-understood enough that you would automate it for a human teammate — release-notes synthesis over merged CLs, flaky-test bisection, on-call triage that reads logs and opens tickets, dependency bump fan-out. Build it then, not before, and prototype in Agent Studio before graduating to code.</w:t>
      </w:r>
    </w:p>
    <w:p>
      <w:pPr>
        <w:pStyle w:val="Heading2"/>
        <w:spacing w:after="120" w:before="280"/>
      </w:pPr>
      <w:r>
        <w:rPr>
          <w:rFonts w:ascii="Calibri" w:cs="Calibri" w:eastAsia="Calibri" w:hAnsi="Calibri"/>
        </w:rPr>
        <w:t xml:space="preserve">3.4 · The hardest skill to write is the smallest one</w:t>
      </w:r>
    </w:p>
    <w:p>
      <w:pPr>
        <w:spacing w:after="120" w:before="80" w:line="312"/>
        <w:jc w:val="both"/>
      </w:pPr>
      <w:r>
        <w:rPr>
          <w:rFonts w:ascii="Calibri" w:cs="Calibri" w:eastAsia="Calibri" w:hAnsi="Calibri"/>
          <w:sz w:val="22"/>
          <w:szCs w:val="22"/>
        </w:rPr>
        <w:t xml:space="preserve">Resist the urge to write comprehensive skills. The right size for a first skill is the smallest amount of text that, if pasted into a fresh chat, would meaningfully change the output for the better. Five hundred words is the upper limit for almost every skill in a healthy library. The progressive-disclosure design exists so that you can have a hundred narrow skills; it does not exist to let you have ten skills of five thousand words each. If a skill is more than a page, it is two skills.</w:t>
      </w:r>
    </w:p>
    <w:p>
      <w:pPr>
        <w:pStyle w:val="Heading1"/>
        <w:pageBreakBefore/>
        <w:spacing w:after="160" w:before="360"/>
      </w:pPr>
      <w:r>
        <w:rPr>
          <w:rFonts w:ascii="Calibri" w:cs="Calibri" w:eastAsia="Calibri" w:hAnsi="Calibri"/>
        </w:rPr>
        <w:t xml:space="preserve">Part 4 · Tools and MCP</w:t>
      </w:r>
    </w:p>
    <w:p>
      <w:pPr>
        <w:spacing w:after="120" w:before="80" w:line="312"/>
        <w:jc w:val="both"/>
      </w:pPr>
      <w:r>
        <w:rPr>
          <w:rFonts w:ascii="Calibri" w:cs="Calibri" w:eastAsia="Calibri" w:hAnsi="Calibri"/>
          <w:sz w:val="22"/>
          <w:szCs w:val="22"/>
        </w:rPr>
        <w:t xml:space="preserve">Skills tell the assistant how to do something with knowledge. Tools let the assistant actually do things — read a ticket, run a query, open a PR, post to chat. The Model Context Protocol, originally launched by Anthropic in November 2024, has by May 2026 become the lingua franca: roughly 97 million monthly SDK downloads, 9,400+ public servers, native support across Claude, ChatGPT, Gemini, Cursor, Windsurf, Zed, Vercel AI SDK, and OpenAI Agents SDK, with stewardship under the Agentic AI Foundation. Google announced first-party remote MCP support for Google services in 2026, with Maps Grounding Lite live and Cloud Run, Cloud Storage, AlloyDB, Cloud SQL, Spanner, Looker, Pub/Sub, and Dataplex rolling out as managed remote MCP endpoints.</w:t>
      </w:r>
    </w:p>
    <w:p>
      <w:pPr>
        <w:pStyle w:val="Heading2"/>
        <w:spacing w:after="120" w:before="280"/>
      </w:pPr>
      <w:r>
        <w:rPr>
          <w:rFonts w:ascii="Calibri" w:cs="Calibri" w:eastAsia="Calibri" w:hAnsi="Calibri"/>
        </w:rPr>
        <w:t xml:space="preserve">4.1 · The team-level decision</w:t>
      </w:r>
    </w:p>
    <w:p>
      <w:pPr>
        <w:spacing w:after="120" w:before="80" w:line="312"/>
        <w:jc w:val="both"/>
      </w:pPr>
      <w:r>
        <w:rPr>
          <w:rFonts w:ascii="Calibri" w:cs="Calibri" w:eastAsia="Calibri" w:hAnsi="Calibri"/>
          <w:sz w:val="22"/>
          <w:szCs w:val="22"/>
        </w:rPr>
        <w:t xml:space="preserve">For an engineering team, the question is not whether to use MCP — you already are, the moment anyone enables a GitHub or Linear connector — but how to use it without falling into the two failure modes the community has named in 2026. The first is context bloat: GitHub’s own MCP server defines 93 tools and consumes roughly 55,000 tokens of context budget before the agent does any work. Connect five popular servers globally and you have burned 50,000 tokens before reading any code. The second is the silent-leak failure: a third-party MCP server with weak auth or unsanitized env vars can exfiltrate tokens before you notice.</w:t>
      </w:r>
    </w:p>
    <w:p>
      <w:pPr>
        <w:spacing w:after="120" w:before="80" w:line="312"/>
        <w:jc w:val="both"/>
      </w:pPr>
      <w:r>
        <w:rPr>
          <w:rFonts w:ascii="Calibri" w:cs="Calibri" w:eastAsia="Calibri" w:hAnsi="Calibri"/>
          <w:sz w:val="22"/>
          <w:szCs w:val="22"/>
        </w:rPr>
        <w:t xml:space="preserve">The discipline is straightforward. Enable MCP servers per-project, not globally. Use Google’s official remote servers for Google services because you inherit IAM, audit, quotas, and a known security boundary. For internal-only tools — your team’s build system, an incident DB, a config service — write a narrow MCP server that exposes only the verbs you need, gate it with OAuth 2.1 + PKCE (the GitHub MCP server is the cleanest reference implementation), and forward the user’s OAuth token per request rather than running everything as a service account. Filter the exposed tools by scope: a read-only token sees read tools, an admin token sees write tools. This is now the standard pattern and GitHub recently shipped the scope-filtering primitive specifically to make it easy.</w:t>
      </w:r>
    </w:p>
    <w:p>
      <w:pPr>
        <w:pStyle w:val="Heading2"/>
        <w:spacing w:after="120" w:before="280"/>
      </w:pPr>
      <w:r>
        <w:rPr>
          <w:rFonts w:ascii="Calibri" w:cs="Calibri" w:eastAsia="Calibri" w:hAnsi="Calibri"/>
        </w:rPr>
        <w:t xml:space="preserve">4.2 · What to wire up first</w:t>
      </w:r>
    </w:p>
    <w:p>
      <w:pPr>
        <w:spacing w:after="120" w:before="80" w:line="312"/>
        <w:jc w:val="both"/>
      </w:pPr>
      <w:r>
        <w:rPr>
          <w:rFonts w:ascii="Calibri" w:cs="Calibri" w:eastAsia="Calibri" w:hAnsi="Calibri"/>
          <w:sz w:val="22"/>
          <w:szCs w:val="22"/>
        </w:rPr>
        <w:t xml:space="preserve">In rough priority for a Google engineering team: the source-control surface your team uses (so the agent can read CLs, fetch diffs, and post review comments through the same approval gates as humans); the issue tracker (Buganizer or equivalent through whatever MCP wrapper your team standardizes on); the observability surface (Cloud Logging, Cloud Monitoring, or the team’s dashboards); the deployment system in read-only mode (recent releases, current canary status, rollback windows) before ever giving it write access; and the team’s design-doc and RFC store, which most teams will already have covered via NotebookLM and may want as MCP too for in-chat reference.</w:t>
      </w:r>
    </w:p>
    <w:p>
      <w:pPr>
        <w:spacing w:after="120" w:before="80" w:line="312"/>
        <w:jc w:val="both"/>
      </w:pPr>
      <w:r>
        <w:rPr>
          <w:rFonts w:ascii="Calibri" w:cs="Calibri" w:eastAsia="Calibri" w:hAnsi="Calibri"/>
          <w:sz w:val="22"/>
          <w:szCs w:val="22"/>
        </w:rPr>
        <w:t xml:space="preserve">Gemini CLI includes a Plan mode that restricts the agent to read-only tools, which is the right default for any new server until you have observed its behavior on real tasks. Use Plan mode for prototyping any new MCP integration; promote to full access only after you have seen it operate against your data without surprises.</w:t>
      </w:r>
    </w:p>
    <w:p>
      <w:pPr>
        <w:pStyle w:val="Heading2"/>
        <w:spacing w:after="120" w:before="280"/>
      </w:pPr>
      <w:r>
        <w:rPr>
          <w:rFonts w:ascii="Calibri" w:cs="Calibri" w:eastAsia="Calibri" w:hAnsi="Calibri"/>
        </w:rPr>
        <w:t xml:space="preserve">4.3 · The internal LLM gateway pattern</w:t>
      </w:r>
    </w:p>
    <w:p>
      <w:pPr>
        <w:spacing w:after="120" w:before="80" w:line="312"/>
        <w:jc w:val="both"/>
      </w:pPr>
      <w:r>
        <w:rPr>
          <w:rFonts w:ascii="Calibri" w:cs="Calibri" w:eastAsia="Calibri" w:hAnsi="Calibri"/>
          <w:sz w:val="22"/>
          <w:szCs w:val="22"/>
        </w:rPr>
        <w:t xml:space="preserve">One pattern from outside Google that is worth importing is Shopify’s centralized LLM proxy, reported in detail in the Pragmatic Engineer and BVP Atlas writeups. A six-engineer infrastructure team owns a single internal gateway through which all AI calls flow. Engineers can use whichever client they prefer — Gemini, Claude, Cursor, Copilot in parallel — and the gateway handles authentication, cost attribution per team, model routing, redaction of secrets, and usage analytics. The killer property is the captured trace: every prompt, every response, every downstream user signal (accept, edit, revert) flows through one pipe, which becomes the substrate for evaluation and improvement (Part 5). At Google scale you may already have an internal equivalent; if not, a thin wrapper is enough to start, and the eval loop you build on top is more valuable than the routing logic.</w:t>
      </w:r>
    </w:p>
    <w:p>
      <w:pPr>
        <w:pStyle w:val="Heading1"/>
        <w:pageBreakBefore/>
        <w:spacing w:after="160" w:before="360"/>
      </w:pPr>
      <w:r>
        <w:rPr>
          <w:rFonts w:ascii="Calibri" w:cs="Calibri" w:eastAsia="Calibri" w:hAnsi="Calibri"/>
        </w:rPr>
        <w:t xml:space="preserve">Part 5 · Human-in-the-Loop</w:t>
      </w:r>
    </w:p>
    <w:p>
      <w:pPr>
        <w:spacing w:after="120" w:before="80" w:line="312"/>
        <w:jc w:val="both"/>
      </w:pPr>
      <w:r>
        <w:rPr>
          <w:rFonts w:ascii="Calibri" w:cs="Calibri" w:eastAsia="Calibri" w:hAnsi="Calibri"/>
          <w:sz w:val="22"/>
          <w:szCs w:val="22"/>
        </w:rPr>
        <w:t xml:space="preserve">This is the layer where Google’s own published practice is the strongest reference, because Critique and the post-AI changes around it are exactly the problem you are trying to solve on a smaller scale. The OCTO post is explicit that the workflow changes inside Google in response to AI-authored code have been: Conditional LGTM (approve contingent on tests passing), mandatory AI-generated test coverage, AI-generated risk summaries on PRs, and "digital quiet hours" to fight approval fatigue. There is a public anecdote in the same post about an agent in YOLO auto-approve mode hallucinating a URL and emailing fifty colleagues, used as the justification for a zero-trust policy engine and PII placeholders in templates. The lesson the post draws is that human review is not the bottleneck to remove — it is the constraint to engineer around.</w:t>
      </w:r>
    </w:p>
    <w:p>
      <w:pPr>
        <w:pStyle w:val="Heading2"/>
        <w:spacing w:after="120" w:before="280"/>
      </w:pPr>
      <w:r>
        <w:rPr>
          <w:rFonts w:ascii="Calibri" w:cs="Calibri" w:eastAsia="Calibri" w:hAnsi="Calibri"/>
        </w:rPr>
        <w:t xml:space="preserve">5.1 · Pick an autonomy taxonomy and write it down</w:t>
      </w:r>
    </w:p>
    <w:p>
      <w:pPr>
        <w:spacing w:after="120" w:before="80" w:line="312"/>
        <w:jc w:val="both"/>
      </w:pPr>
      <w:r>
        <w:rPr>
          <w:rFonts w:ascii="Calibri" w:cs="Calibri" w:eastAsia="Calibri" w:hAnsi="Calibri"/>
          <w:sz w:val="22"/>
          <w:szCs w:val="22"/>
        </w:rPr>
        <w:t xml:space="preserve">The most widely-cited public taxonomy in 2026 is Swarmia’s five-level scale, which is useful precisely because it forces a team to be explicit about where each kind of work sits. Levels are not a hierarchy of goodness; they are a hierarchy of how much work the agent completes before returning for feedback. Higher is not better. L1 with a senior engineer steering is often more productive than L4 with no spec.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900"/>
        <w:gridCol w:w="34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Level</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Name</w:t>
            </w:r>
          </w:p>
        </w:tc>
        <w:tc>
          <w:tcPr>
            <w:tcW w:type="dxa" w:w="2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Example</w:t>
            </w:r>
          </w:p>
        </w:tc>
        <w:tc>
          <w:tcPr>
            <w:tcW w:type="dxa" w:w="3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When to use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L1</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Assistive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Inline completions, Code Assist autocomplete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Hot keystroke loop, single-file edits</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L2</w:t>
            </w:r>
          </w:p>
        </w:tc>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Conversational</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Gemini chat, Code Assist chat, Claude/Cursor</w:t>
            </w:r>
          </w:p>
        </w:tc>
        <w:tc>
          <w:tcPr>
            <w:tcW w:type="dxa" w:w="3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Multi-file changes, human steers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L3</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Autonomous (bounded)</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Background coding agents on a ticket</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Bounded tickets, parallel runs, PR-as-output</w:t>
            </w:r>
          </w:p>
        </w:tc>
      </w:tr>
      <w:tr>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L4</w:t>
            </w:r>
          </w:p>
        </w:tc>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Autonomous teammate</w:t>
            </w:r>
          </w:p>
        </w:tc>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Flaky-test repair, dep bumps, doc drift bots</w:t>
            </w:r>
          </w:p>
        </w:tc>
        <w:tc>
          <w:tcPr>
            <w:tcW w:type="dxa" w:w="3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Repetitive, scoped, reversible, low blast radius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L5</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Agentic swarm</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Planner/Worker/Judge fan-out, parallel agents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Research-grade, isolated repos only</w:t>
            </w:r>
          </w:p>
        </w:tc>
      </w:tr>
    </w:tbl>
    <w:p>
      <w:pPr>
        <w:spacing w:after="120" w:before="80" w:line="312"/>
        <w:jc w:val="both"/>
      </w:pPr>
      <w:r>
        <w:rPr>
          <w:rFonts w:ascii="Calibri" w:cs="Calibri" w:eastAsia="Calibri" w:hAnsi="Calibri"/>
          <w:sz w:val="22"/>
          <w:szCs w:val="22"/>
        </w:rPr>
        <w:t xml:space="preserve">For the playbook to be useful, take this taxonomy and write down, in one short document the team agrees on, which categories of work sit at which level on your team. Style fixes? L4 auto-merge after green CI. Dependency bumps? L4 except major version. New feature endpoints in payments service? L2 with senior review. Schema migrations? L1 only. That document is the team’s HITL policy. It does more work than any individual prompt.</w:t>
      </w:r>
    </w:p>
    <w:p>
      <w:pPr>
        <w:pStyle w:val="Heading2"/>
        <w:spacing w:after="120" w:before="280"/>
      </w:pPr>
      <w:r>
        <w:rPr>
          <w:rFonts w:ascii="Calibri" w:cs="Calibri" w:eastAsia="Calibri" w:hAnsi="Calibri"/>
        </w:rPr>
        <w:t xml:space="preserve">5.2 · PR-as-gate is the dominant pattern</w:t>
      </w:r>
    </w:p>
    <w:p>
      <w:pPr>
        <w:spacing w:after="120" w:before="80" w:line="312"/>
        <w:jc w:val="both"/>
      </w:pPr>
      <w:r>
        <w:rPr>
          <w:rFonts w:ascii="Calibri" w:cs="Calibri" w:eastAsia="Calibri" w:hAnsi="Calibri"/>
          <w:sz w:val="22"/>
          <w:szCs w:val="22"/>
        </w:rPr>
        <w:t xml:space="preserve">Across every credible source surveyed — GitHub Next, Anthropic, the Pragmatic Engineer’s Shopify and Asana writeups, Simon Willison’s engineering-practices talk at the 2026 Pragmatic Summit — the converged answer for how to safely accept agent output is the pull request. The agent opens a PR. A human reviews it. CI runs. An AI reviewer surfaces likely issues. The merge button is the moment of consent. This is not new — it is the same pattern Google has used inside Critique for two decades — but in the AI era the discipline that matters is that nothing skips the gate just because the author is an agent. Branch protection should treat agent-authored CLs identically to human-authored ones.</w:t>
      </w:r>
    </w:p>
    <w:p>
      <w:pPr>
        <w:spacing w:after="120" w:before="80" w:line="312"/>
        <w:jc w:val="both"/>
      </w:pPr>
      <w:r>
        <w:rPr>
          <w:rFonts w:ascii="Calibri" w:cs="Calibri" w:eastAsia="Calibri" w:hAnsi="Calibri"/>
          <w:sz w:val="22"/>
          <w:szCs w:val="22"/>
        </w:rPr>
        <w:t xml:space="preserve">Simon Willison’s hardest-cited rule is worth pinning to the team wiki: never open a PR with code you have not reviewed yourself. The implication is that the agent is producing a draft for you, the author-of-record; if you push it to others without reading it, you have offloaded your work onto reviewers, which is a load-balancing failure dressed up as productivity.</w:t>
      </w:r>
    </w:p>
    <w:p>
      <w:pPr>
        <w:pStyle w:val="Heading2"/>
        <w:spacing w:after="120" w:before="280"/>
      </w:pPr>
      <w:r>
        <w:rPr>
          <w:rFonts w:ascii="Calibri" w:cs="Calibri" w:eastAsia="Calibri" w:hAnsi="Calibri"/>
        </w:rPr>
        <w:t xml:space="preserve">5.3 · Risk-based approval routing</w:t>
      </w:r>
    </w:p>
    <w:p>
      <w:pPr>
        <w:spacing w:after="120" w:before="80" w:line="312"/>
        <w:jc w:val="both"/>
      </w:pPr>
      <w:r>
        <w:rPr>
          <w:rFonts w:ascii="Calibri" w:cs="Calibri" w:eastAsia="Calibri" w:hAnsi="Calibri"/>
          <w:sz w:val="22"/>
          <w:szCs w:val="22"/>
        </w:rPr>
        <w:t xml:space="preserve">The second pattern that consistently distinguishes teams that scale HITL well is risk-based routing. Not all approvals are equal, and the team that treats them equally creates approval fatigue — the 60-comment PR where the credential leak gets buried under 59 nitpicks. The Strata 2026 HITL guide proposes three lanes by SLA (15-second, 2-minute, 15-minute) keyed to risk; CodeAnt and AtomicRobot describe the same idea as confidence-thresholded muting plus risk-tiered routing. The recommended starter matrix is below; tune it to your team after a month of trace data.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70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Action category</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Default routing</w:t>
            </w:r>
          </w:p>
        </w:tc>
        <w:tc>
          <w:tcPr>
            <w:tcW w:type="dxa" w:w="2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Rationale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Lint, formatting, doc regeneration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Auto-merge after CI green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Reversible, no semantic risk</w:t>
            </w:r>
          </w:p>
        </w:tc>
      </w:tr>
      <w:tr>
        <w:tc>
          <w:tcPr>
            <w:tcW w:type="dxa" w:w="3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Dependency bumps (patch, minor)</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Auto-merge after CI green + security scan</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Low blast radius, well-tested by CI</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Refactor in single component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 review, single reviewer</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Semantic but localized</w:t>
            </w:r>
          </w:p>
        </w:tc>
      </w:tr>
      <w:tr>
        <w:tc>
          <w:tcPr>
            <w:tcW w:type="dxa" w:w="3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Cross-service API change</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PR review, owner approval per service</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Blast radius proportional to fanout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Schema migration, auth, secrets, PII handling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 review + named senior approval</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Irreversible or compliance-relevant</w:t>
            </w:r>
          </w:p>
        </w:tc>
      </w:tr>
      <w:tr>
        <w:tc>
          <w:tcPr>
            <w:tcW w:type="dxa" w:w="3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Production deploys, on-call config</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Synchronous human, two-person rule</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rFonts w:ascii="Calibri" w:cs="Calibri" w:eastAsia="Calibri" w:hAnsi="Calibri"/>
                <w:sz w:val="20"/>
                <w:szCs w:val="20"/>
              </w:rPr>
              <w:t xml:space="preserve">Highest blast radius</w:t>
            </w:r>
          </w:p>
        </w:tc>
      </w:tr>
    </w:tbl>
    <w:p>
      <w:pPr>
        <w:pStyle w:val="Heading2"/>
        <w:spacing w:after="120" w:before="280"/>
      </w:pPr>
      <w:r>
        <w:rPr>
          <w:rFonts w:ascii="Calibri" w:cs="Calibri" w:eastAsia="Calibri" w:hAnsi="Calibri"/>
        </w:rPr>
        <w:t xml:space="preserve">5.4 · Evaluation and feedback loops</w:t>
      </w:r>
    </w:p>
    <w:p>
      <w:pPr>
        <w:spacing w:after="120" w:before="80" w:line="312"/>
        <w:jc w:val="both"/>
      </w:pPr>
      <w:r>
        <w:rPr>
          <w:rFonts w:ascii="Calibri" w:cs="Calibri" w:eastAsia="Calibri" w:hAnsi="Calibri"/>
          <w:sz w:val="22"/>
          <w:szCs w:val="22"/>
        </w:rPr>
        <w:t xml:space="preserve">A HITL policy that is not measured will drift. The three eval primitives every public 2026 reference recommends are: a golden dataset of 50–200 input/ideal-output pairs per critical skill, curated by senior engineers and versioned in the repo next to the skill itself; an LLM-judge regression run nightly or per-PR for prompt-and-skill changes (Anthropic’s and Braintrust’s playbooks both describe this); and a weekly human sample of 20–30 traces, large enough to keep the LLM judge calibrated, small enough to actually happen. Capture explicit feedback (thumbs, ratings) but trust implicit signals more (edit distance between agent output and merged output, accept rate, revert rate, time-to-merge). If your eval scores look stable but the model or the codebase has changed underneath you, you are looking at eval drift; the fix is to re-baseline on every model swap and to mark dataset versions with the model and commit they were curated against.</w:t>
      </w:r>
    </w:p>
    <w:p>
      <w:pPr>
        <w:pStyle w:val="Heading2"/>
        <w:spacing w:after="120" w:before="280"/>
      </w:pPr>
      <w:r>
        <w:rPr>
          <w:rFonts w:ascii="Calibri" w:cs="Calibri" w:eastAsia="Calibri" w:hAnsi="Calibri"/>
        </w:rPr>
        <w:t xml:space="preserve">5.5 · Sandbox by default</w:t>
      </w:r>
    </w:p>
    <w:p>
      <w:pPr>
        <w:spacing w:after="120" w:before="80" w:line="312"/>
        <w:jc w:val="both"/>
      </w:pPr>
      <w:r>
        <w:rPr>
          <w:rFonts w:ascii="Calibri" w:cs="Calibri" w:eastAsia="Calibri" w:hAnsi="Calibri"/>
          <w:sz w:val="22"/>
          <w:szCs w:val="22"/>
        </w:rPr>
        <w:t xml:space="preserve">For any agent with shell or write access, run it in a sandbox by default. Simon Willison’s "field guide to sandboxes for AI" from January 2026 is the best public comparison — containers, microVMs, gVisor, WASM isolates — and the practical recommendation is microVM or gVisor for any agent that touches a real filesystem. Gemini CLI’s Plan mode is the lighter-weight equivalent: read-only tools, no writes, until you have observed the run. The principle is "run before you trust" — the only reliable way to calibrate trust is to give the agent the affordance, watch what it does, and ratchet up access as you build evidence.</w:t>
      </w:r>
    </w:p>
    <w:p>
      <w:pPr>
        <w:pStyle w:val="Heading2"/>
        <w:spacing w:after="120" w:before="280"/>
      </w:pPr>
      <w:r>
        <w:rPr>
          <w:rFonts w:ascii="Calibri" w:cs="Calibri" w:eastAsia="Calibri" w:hAnsi="Calibri"/>
        </w:rPr>
        <w:t xml:space="preserve">5.6 · Things that look like HITL but aren’t</w:t>
      </w:r>
    </w:p>
    <w:p>
      <w:pPr>
        <w:spacing w:after="120" w:before="80" w:line="312"/>
        <w:jc w:val="both"/>
      </w:pPr>
      <w:r>
        <w:rPr>
          <w:rFonts w:ascii="Calibri" w:cs="Calibri" w:eastAsia="Calibri" w:hAnsi="Calibri"/>
          <w:sz w:val="22"/>
          <w:szCs w:val="22"/>
        </w:rPr>
        <w:t xml:space="preserve">Several patterns wear the costume of human-in-the-loop without doing the work. A thumbs-up button that nobody clicks is not feedback; track the click rate, and if it is under 5%, replace with implicit signals. A required reviewer who approves in under thirty seconds is rubber-stamping; measure dwell time on review pages and surface the metric in retro. A "confirm?" dialog on every action trains the user to reflexively click yes — the Rentier Digital essay titled "I Click Yes 47 Times a Day in Claude Code" is the canonical complaint here, and the fix is to bundle approvals or risk-tier them rather than approve-fatigue your engineers. Logging without review is theater; schedule a weekly trace-review hour or expect drift. An LLM judge without weekly human calibration is a judge whose verdicts you have stopped checking. And approving a 2,000-line agent diff is not approval; it is hope. Force smaller units — Graphite-style stacked PRs are the cleanest enforcement mechanism.</w:t>
      </w:r>
    </w:p>
    <w:p>
      <w:pPr>
        <w:pStyle w:val="Heading1"/>
        <w:pageBreakBefore/>
        <w:spacing w:after="160" w:before="360"/>
      </w:pPr>
      <w:r>
        <w:rPr>
          <w:rFonts w:ascii="Calibri" w:cs="Calibri" w:eastAsia="Calibri" w:hAnsi="Calibri"/>
        </w:rPr>
        <w:t xml:space="preserve">Part 6 · The Recommended Rollout</w:t>
      </w:r>
    </w:p>
    <w:p>
      <w:pPr>
        <w:spacing w:after="120" w:before="80" w:line="312"/>
        <w:jc w:val="both"/>
      </w:pPr>
      <w:r>
        <w:rPr>
          <w:rFonts w:ascii="Calibri" w:cs="Calibri" w:eastAsia="Calibri" w:hAnsi="Calibri"/>
          <w:sz w:val="22"/>
          <w:szCs w:val="22"/>
        </w:rPr>
        <w:t xml:space="preserve">The four layers above are the destination. A four-week rollout for a ten-engineer team is realistic if and only if you do them in order, because each layer depends on the one below. Skip context and your skills will be re-explaining basics; skip skills and your tools will be invoked inconsistently; skip the HITL policy and your tools will quietly turn into autonomy you did not authorize.</w:t>
      </w:r>
    </w:p>
    <w:p>
      <w:pPr>
        <w:pStyle w:val="Heading2"/>
        <w:spacing w:after="120" w:before="280"/>
      </w:pPr>
      <w:r>
        <w:rPr>
          <w:rFonts w:ascii="Calibri" w:cs="Calibri" w:eastAsia="Calibri" w:hAnsi="Calibri"/>
        </w:rPr>
        <w:t xml:space="preserve">Week 1 · Context</w:t>
      </w:r>
    </w:p>
    <w:p>
      <w:pPr>
        <w:spacing w:after="120" w:before="80" w:line="312"/>
        <w:jc w:val="both"/>
      </w:pPr>
      <w:r>
        <w:rPr>
          <w:rFonts w:ascii="Calibri" w:cs="Calibri" w:eastAsia="Calibri" w:hAnsi="Calibri"/>
          <w:sz w:val="22"/>
          <w:szCs w:val="22"/>
        </w:rPr>
        <w:t xml:space="preserve">Write the repo-level GEMINI.md (symlinked to AGENTS.md). One person drafts it; the team reviews it in a forty-five minute meeting and merges. Turn on Gem sharing for the team’s Workspace OU. Ship four Gems that everyone will use within their first day: an RFC drafter loaded with your template and three exemplars, a PR-description writer, an incident note-taker, and a code-review-comment explainer. Add a checked-in skills/ directory with a README explaining the convention. Done means: a new engineer who joined Monday can run gemini in any team repo on Friday and feel like the team helped set them up.</w:t>
      </w:r>
    </w:p>
    <w:p>
      <w:pPr>
        <w:pStyle w:val="Heading2"/>
        <w:spacing w:after="120" w:before="280"/>
      </w:pPr>
      <w:r>
        <w:rPr>
          <w:rFonts w:ascii="Calibri" w:cs="Calibri" w:eastAsia="Calibri" w:hAnsi="Calibri"/>
        </w:rPr>
        <w:t xml:space="preserve">Week 2 · Grounded knowledge</w:t>
      </w:r>
    </w:p>
    <w:p>
      <w:pPr>
        <w:spacing w:after="120" w:before="80" w:line="312"/>
        <w:jc w:val="both"/>
      </w:pPr>
      <w:r>
        <w:rPr>
          <w:rFonts w:ascii="Calibri" w:cs="Calibri" w:eastAsia="Calibri" w:hAnsi="Calibri"/>
          <w:sz w:val="22"/>
          <w:szCs w:val="22"/>
        </w:rPr>
        <w:t xml:space="preserve">Stand up two or three NotebookLM notebooks, one per major domain area on the team. Seed each with the relevant RFC archive, runbooks, and the on-call playbook. Generate Audio Overviews for the two most onboarded areas and link them from the new-hire doc. Share via IAM-bound groups so notebook access tracks team membership. Done means: any question that starts with "where do we say in our docs that…" can be answered by the assistant with a citation back to the source doc.</w:t>
      </w:r>
    </w:p>
    <w:p>
      <w:pPr>
        <w:pStyle w:val="Heading2"/>
        <w:spacing w:after="120" w:before="280"/>
      </w:pPr>
      <w:r>
        <w:rPr>
          <w:rFonts w:ascii="Calibri" w:cs="Calibri" w:eastAsia="Calibri" w:hAnsi="Calibri"/>
        </w:rPr>
        <w:t xml:space="preserve">Week 3 · Code Assist Enterprise</w:t>
      </w:r>
    </w:p>
    <w:p>
      <w:pPr>
        <w:spacing w:after="120" w:before="80" w:line="312"/>
        <w:jc w:val="both"/>
      </w:pPr>
      <w:r>
        <w:rPr>
          <w:rFonts w:ascii="Calibri" w:cs="Calibri" w:eastAsia="Calibri" w:hAnsi="Calibri"/>
          <w:sz w:val="22"/>
          <w:szCs w:val="22"/>
        </w:rPr>
        <w:t xml:space="preserve">Turn on Code Assist Enterprise. Index the three to five repositories the team actually owns via Developer Connect. Commit a .gemini/styleguide.md to each, capturing your house style succinctly (this is one of the highest-leverage files you will write all quarter — the PR-review behavior changes immediately). Add internal Markdown docs to the index so the assistant answers "how do we usually do X?" with your team’s code, not generic best practices. Verify .gitignore is being honored. Done means: PR review by the assistant feels like a junior on your team, not a stranger from the internet.</w:t>
      </w:r>
    </w:p>
    <w:p>
      <w:pPr>
        <w:pStyle w:val="Heading2"/>
        <w:spacing w:after="120" w:before="280"/>
      </w:pPr>
      <w:r>
        <w:rPr>
          <w:rFonts w:ascii="Calibri" w:cs="Calibri" w:eastAsia="Calibri" w:hAnsi="Calibri"/>
        </w:rPr>
        <w:t xml:space="preserve">Week 4 · Gemini CLI + MCP</w:t>
      </w:r>
    </w:p>
    <w:p>
      <w:pPr>
        <w:spacing w:after="120" w:before="80" w:line="312"/>
        <w:jc w:val="both"/>
      </w:pPr>
      <w:r>
        <w:rPr>
          <w:rFonts w:ascii="Calibri" w:cs="Calibri" w:eastAsia="Calibri" w:hAnsi="Calibri"/>
          <w:sz w:val="22"/>
          <w:szCs w:val="22"/>
        </w:rPr>
        <w:t xml:space="preserve">Roll out Gemini CLI to anyone who wants it. Wire up the small set of MCP servers you actually need: source control, issue tracker, observability (read-only). Use Google’s official remote servers for Google services. Default to Plan mode for repo-touching workflows. Publish the team’s HITL policy document — the autonomy levels mapped to your work categories, the risk-based routing matrix, the things-that-look-like-HITL-but-aren’t list. Done means: any engineer can describe in one sentence what the team’s policy is on agent-authored PRs in the schema-migration directory.</w:t>
      </w:r>
    </w:p>
    <w:p>
      <w:pPr>
        <w:pStyle w:val="Heading2"/>
        <w:spacing w:after="120" w:before="280"/>
      </w:pPr>
      <w:r>
        <w:rPr>
          <w:rFonts w:ascii="Calibri" w:cs="Calibri" w:eastAsia="Calibri" w:hAnsi="Calibri"/>
        </w:rPr>
        <w:t xml:space="preserve">Month 2+ · Evaluation and selective autonomy</w:t>
      </w:r>
    </w:p>
    <w:p>
      <w:pPr>
        <w:spacing w:after="120" w:before="80" w:line="312"/>
        <w:jc w:val="both"/>
      </w:pPr>
      <w:r>
        <w:rPr>
          <w:rFonts w:ascii="Calibri" w:cs="Calibri" w:eastAsia="Calibri" w:hAnsi="Calibri"/>
          <w:sz w:val="22"/>
          <w:szCs w:val="22"/>
        </w:rPr>
        <w:t xml:space="preserve">Stand up the eval primitives. Golden datasets per critical skill, versioned in the repo. Nightly LLM-judge regression. Weekly human review of twenty traces. Hook the gateway (or your equivalent capture) into the eval pipeline. Only now consider building an ADK agent for a recurring toil that has shown up in three or more retros — release-notes synthesis, flaky-test triage, dependency fan-out are the canonical first candidates. Prototype in Agent Studio, graduate to ADK in code, deploy on Agent Runtime. Keep the HITL policy honest by reviewing your approve-without-comment rate monthly; if it is climbing toward 99%, you have a rubber-stamping problem, not a productivity gain.</w:t>
      </w:r>
    </w:p>
    <w:p>
      <w:pPr>
        <w:pStyle w:val="Heading1"/>
        <w:pageBreakBefore/>
        <w:spacing w:after="160" w:before="360"/>
      </w:pPr>
      <w:r>
        <w:rPr>
          <w:rFonts w:ascii="Calibri" w:cs="Calibri" w:eastAsia="Calibri" w:hAnsi="Calibri"/>
        </w:rPr>
        <w:t xml:space="preserve">Part 7 · Anti-Patterns to Publish on the Team Wiki</w:t>
      </w:r>
    </w:p>
    <w:p>
      <w:pPr>
        <w:spacing w:after="120" w:before="80" w:line="312"/>
        <w:jc w:val="both"/>
      </w:pPr>
      <w:r>
        <w:rPr>
          <w:rFonts w:ascii="Calibri" w:cs="Calibri" w:eastAsia="Calibri" w:hAnsi="Calibri"/>
          <w:sz w:val="22"/>
          <w:szCs w:val="22"/>
        </w:rPr>
        <w:t xml:space="preserve">Norms only work when they are written down. The list below is the consolidation of the failure modes the broader community has named in 2025–2026; publish a version of it as your team’s "things we agreed not to do," with teeth in the form of branch-protection rules, CI checks, and retro review.</w:t>
      </w:r>
    </w:p>
    <w:p>
      <w:pPr>
        <w:pStyle w:val="Heading3"/>
        <w:spacing w:after="80" w:before="200"/>
      </w:pPr>
      <w:r>
        <w:rPr>
          <w:rFonts w:ascii="Calibri" w:cs="Calibri" w:eastAsia="Calibri" w:hAnsi="Calibri"/>
        </w:rPr>
        <w:t xml:space="preserve">Context bloat and MCP server sprawl</w:t>
      </w:r>
    </w:p>
    <w:p>
      <w:pPr>
        <w:spacing w:after="120" w:before="80" w:line="312"/>
        <w:jc w:val="both"/>
      </w:pPr>
      <w:r>
        <w:rPr>
          <w:rFonts w:ascii="Calibri" w:cs="Calibri" w:eastAsia="Calibri" w:hAnsi="Calibri"/>
          <w:sz w:val="22"/>
          <w:szCs w:val="22"/>
        </w:rPr>
        <w:t xml:space="preserve">GitHub’s MCP server alone defines 93 tools and consumes ~55,000 tokens. Connect five popular servers globally and you can run out of context in five prompts. Enable per-project, not globally. Prefer Skills for procedural knowledge; reserve MCP for genuine tool access. Audit the active server list quarterly.</w:t>
      </w:r>
    </w:p>
    <w:p>
      <w:pPr>
        <w:pStyle w:val="Heading3"/>
        <w:spacing w:after="80" w:before="200"/>
      </w:pPr>
      <w:r>
        <w:rPr>
          <w:rFonts w:ascii="Calibri" w:cs="Calibri" w:eastAsia="Calibri" w:hAnsi="Calibri"/>
        </w:rPr>
        <w:t xml:space="preserve">Skill sprawl</w:t>
      </w:r>
    </w:p>
    <w:p>
      <w:pPr>
        <w:spacing w:after="120" w:before="80" w:line="312"/>
        <w:jc w:val="both"/>
      </w:pPr>
      <w:r>
        <w:rPr>
          <w:rFonts w:ascii="Calibri" w:cs="Calibri" w:eastAsia="Calibri" w:hAnsi="Calibri"/>
          <w:sz w:val="22"/>
          <w:szCs w:val="22"/>
        </w:rPr>
        <w:t xml:space="preserve">Within a week of Anthropic’s Skills launch, curated packs of eighty-plus skills appeared. Same context-budget problem MCP has, with prettier UX. Skill descriptions are always in context; treat them like tool names — budget them, review them on every PR that adds one, deprecate aggressively.</w:t>
      </w:r>
    </w:p>
    <w:p>
      <w:pPr>
        <w:pStyle w:val="Heading3"/>
        <w:spacing w:after="80" w:before="200"/>
      </w:pPr>
      <w:r>
        <w:rPr>
          <w:rFonts w:ascii="Calibri" w:cs="Calibri" w:eastAsia="Calibri" w:hAnsi="Calibri"/>
        </w:rPr>
        <w:t xml:space="preserve">Rule conflicts</w:t>
      </w:r>
    </w:p>
    <w:p>
      <w:pPr>
        <w:spacing w:after="120" w:before="80" w:line="312"/>
        <w:jc w:val="both"/>
      </w:pPr>
      <w:r>
        <w:rPr>
          <w:rFonts w:ascii="Calibri" w:cs="Calibri" w:eastAsia="Calibri" w:hAnsi="Calibri"/>
          <w:sz w:val="22"/>
          <w:szCs w:val="22"/>
        </w:rPr>
        <w:t xml:space="preserve">GitHub Copilot’s instruction files all stack without override logic; AGENTS.md uses closest-wins; Cursor MDC rules use globs. Teams that adopt multiple tools silently create contradicting rules. Keep one source of truth (AGENTS.md / GEMINI.md), and let tool-specific files reference it rather than re-state it.</w:t>
      </w:r>
    </w:p>
    <w:p>
      <w:pPr>
        <w:pStyle w:val="Heading3"/>
        <w:spacing w:after="80" w:before="200"/>
      </w:pPr>
      <w:r>
        <w:rPr>
          <w:rFonts w:ascii="Calibri" w:cs="Calibri" w:eastAsia="Calibri" w:hAnsi="Calibri"/>
        </w:rPr>
        <w:t xml:space="preserve">Unreviewed PR dumping</w:t>
      </w:r>
    </w:p>
    <w:p>
      <w:pPr>
        <w:spacing w:after="120" w:before="80" w:line="312"/>
        <w:jc w:val="both"/>
      </w:pPr>
      <w:r>
        <w:rPr>
          <w:rFonts w:ascii="Calibri" w:cs="Calibri" w:eastAsia="Calibri" w:hAnsi="Calibri"/>
          <w:sz w:val="22"/>
          <w:szCs w:val="22"/>
        </w:rPr>
        <w:t xml:space="preserve">The single most-cited anti-pattern in the 2026 ecosystem. Shipping agent-written PRs you have not read is not delegation; it is offloading review work onto your teammates. Pin the rule, enforce it with branch protection that requires the author’s self-review, and treat violation as a process bug, not an individual failing.</w:t>
      </w:r>
    </w:p>
    <w:p>
      <w:pPr>
        <w:pStyle w:val="Heading3"/>
        <w:spacing w:after="80" w:before="200"/>
      </w:pPr>
      <w:r>
        <w:rPr>
          <w:rFonts w:ascii="Calibri" w:cs="Calibri" w:eastAsia="Calibri" w:hAnsi="Calibri"/>
        </w:rPr>
        <w:t xml:space="preserve">Rubber-stamping and approval fatigue</w:t>
      </w:r>
    </w:p>
    <w:p>
      <w:pPr>
        <w:spacing w:after="120" w:before="80" w:line="312"/>
        <w:jc w:val="both"/>
      </w:pPr>
      <w:r>
        <w:rPr>
          <w:rFonts w:ascii="Calibri" w:cs="Calibri" w:eastAsia="Calibri" w:hAnsi="Calibri"/>
          <w:sz w:val="22"/>
          <w:szCs w:val="22"/>
        </w:rPr>
        <w:t xml:space="preserve">After a few days of seeing mostly-correct items, approval rates climb toward 100% even when error rates are non-trivial. Forcing functions help — require a one-line justification on approve, rotate approvers, audit the approve-without-comment rate monthly, and surface it in retros. Bundle and risk-tier approvals so engineers are not clicking "yes" fifty times a day.</w:t>
      </w:r>
    </w:p>
    <w:p>
      <w:pPr>
        <w:pStyle w:val="Heading3"/>
        <w:spacing w:after="80" w:before="200"/>
      </w:pPr>
      <w:r>
        <w:rPr>
          <w:rFonts w:ascii="Calibri" w:cs="Calibri" w:eastAsia="Calibri" w:hAnsi="Calibri"/>
        </w:rPr>
        <w:t xml:space="preserve">Eval drift</w:t>
      </w:r>
    </w:p>
    <w:p>
      <w:pPr>
        <w:spacing w:after="120" w:before="80" w:line="312"/>
        <w:jc w:val="both"/>
      </w:pPr>
      <w:r>
        <w:rPr>
          <w:rFonts w:ascii="Calibri" w:cs="Calibri" w:eastAsia="Calibri" w:hAnsi="Calibri"/>
          <w:sz w:val="22"/>
          <w:szCs w:val="22"/>
        </w:rPr>
        <w:t xml:space="preserve">Models, tools, and codebases change underneath you; eval scores look stable but the test set is no longer representative. Version eval datasets next to code; re-baseline on every model swap and every major refactor; mark dataset versions with the model and commit they were curated against.</w:t>
      </w:r>
    </w:p>
    <w:p>
      <w:pPr>
        <w:pStyle w:val="Heading3"/>
        <w:spacing w:after="80" w:before="200"/>
      </w:pPr>
      <w:r>
        <w:rPr>
          <w:rFonts w:ascii="Calibri" w:cs="Calibri" w:eastAsia="Calibri" w:hAnsi="Calibri"/>
        </w:rPr>
        <w:t xml:space="preserve">Auto-generated config files</w:t>
      </w:r>
    </w:p>
    <w:p>
      <w:pPr>
        <w:spacing w:after="120" w:before="80" w:line="312"/>
        <w:jc w:val="both"/>
      </w:pPr>
      <w:r>
        <w:rPr>
          <w:rFonts w:ascii="Calibri" w:cs="Calibri" w:eastAsia="Calibri" w:hAnsi="Calibri"/>
          <w:sz w:val="22"/>
          <w:szCs w:val="22"/>
        </w:rPr>
        <w:t xml:space="preserve">"AGENTS.md generators" produce bloated, generic files that train the assistant on no one’s team in particular. Hand-write the repo-level file. Every line earns its place. The same applies to skill libraries scraped from public awesome-lists — they are starter packs to fork from, not vendors to install from.</w:t>
      </w:r>
    </w:p>
    <w:p>
      <w:pPr>
        <w:pStyle w:val="Heading1"/>
        <w:pageBreakBefore/>
        <w:spacing w:after="160" w:before="360"/>
      </w:pPr>
      <w:r>
        <w:rPr>
          <w:rFonts w:ascii="Calibri" w:cs="Calibri" w:eastAsia="Calibri" w:hAnsi="Calibri"/>
        </w:rPr>
        <w:t xml:space="preserve">Part 8 · Onboarding a New Engineer</w:t>
      </w:r>
    </w:p>
    <w:p>
      <w:pPr>
        <w:spacing w:after="120" w:before="80" w:line="312"/>
        <w:jc w:val="both"/>
      </w:pPr>
      <w:r>
        <w:rPr>
          <w:rFonts w:ascii="Calibri" w:cs="Calibri" w:eastAsia="Calibri" w:hAnsi="Calibri"/>
          <w:sz w:val="22"/>
          <w:szCs w:val="22"/>
        </w:rPr>
        <w:t xml:space="preserve">The four layers and the rollout above are the team’s asset; onboarding is where the asset compounds. The 2026 community-consensus 90-day template, adapted for a Gemini team, looks roughly as follows.</w:t>
      </w:r>
    </w:p>
    <w:p>
      <w:pPr>
        <w:spacing w:after="120" w:before="80" w:line="312"/>
        <w:jc w:val="both"/>
      </w:pPr>
      <w:r>
        <w:rPr>
          <w:rFonts w:ascii="Calibri" w:cs="Calibri" w:eastAsia="Calibri" w:hAnsi="Calibri"/>
          <w:sz w:val="22"/>
          <w:szCs w:val="22"/>
        </w:rPr>
        <w:t xml:space="preserve">Day one through five: the new engineer reads the repo AGENTS.md and the small set of nested files for their starting subsystem, listens to the Audio Overview from the relevant NotebookLM notebook, and pairs on one ticket per category — a review, a test generation, an ops task — with a teammate driving the assistant. The deliverable is not output; it is a feel for the team’s patterns. Their personal ~/.gemini/GEMINI.md goes from blank to about a paragraph by Friday.</w:t>
      </w:r>
    </w:p>
    <w:p>
      <w:pPr>
        <w:spacing w:after="120" w:before="80" w:line="312"/>
        <w:jc w:val="both"/>
      </w:pPr>
      <w:r>
        <w:rPr>
          <w:rFonts w:ascii="Calibri" w:cs="Calibri" w:eastAsia="Calibri" w:hAnsi="Calibri"/>
          <w:sz w:val="22"/>
          <w:szCs w:val="22"/>
        </w:rPr>
        <w:t xml:space="preserve">Week two through four: own one ticket end-to-end with the assistant in the driver’s seat, ship one skill back into the team library based on something they wished had existed during their first week, and consume the golden eval set for the skills they have been using. The deliverable is a merged PR and a merged skill.</w:t>
      </w:r>
    </w:p>
    <w:p>
      <w:pPr>
        <w:spacing w:after="120" w:before="80" w:line="312"/>
        <w:jc w:val="both"/>
      </w:pPr>
      <w:r>
        <w:rPr>
          <w:rFonts w:ascii="Calibri" w:cs="Calibri" w:eastAsia="Calibri" w:hAnsi="Calibri"/>
          <w:sz w:val="22"/>
          <w:szCs w:val="22"/>
        </w:rPr>
        <w:t xml:space="preserve">Month two: own one agent-instrumented workflow end-to-end — a recurring task they can describe a skill for and run on their own work daily. Contribute one entry to the team’s eval golden set, even if it is a single edge case they hit.</w:t>
      </w:r>
    </w:p>
    <w:p>
      <w:pPr>
        <w:spacing w:after="120" w:before="80" w:line="312"/>
        <w:jc w:val="both"/>
      </w:pPr>
      <w:r>
        <w:rPr>
          <w:rFonts w:ascii="Calibri" w:cs="Calibri" w:eastAsia="Calibri" w:hAnsi="Calibri"/>
          <w:sz w:val="22"/>
          <w:szCs w:val="22"/>
        </w:rPr>
        <w:t xml:space="preserve">Month three: contribute to the regression eval suite or build an ADK prototype for a toil they have repeatedly seen on the team. By the end of month three, a new engineer should not need senior babysitting on the AI workflow — they should be teaching the next new hire what their first three months taught them.</w:t>
      </w:r>
    </w:p>
    <w:p>
      <w:pPr>
        <w:pStyle w:val="Heading1"/>
        <w:pageBreakBefore/>
        <w:spacing w:after="160" w:before="360"/>
      </w:pPr>
      <w:r>
        <w:rPr>
          <w:rFonts w:ascii="Calibri" w:cs="Calibri" w:eastAsia="Calibri" w:hAnsi="Calibri"/>
        </w:rPr>
        <w:t xml:space="preserve">Appendix A · Starter GEMINI.md / AGENTS.md</w:t>
      </w:r>
    </w:p>
    <w:p>
      <w:pPr>
        <w:spacing w:after="120" w:before="80" w:line="312"/>
        <w:jc w:val="both"/>
      </w:pPr>
      <w:r>
        <w:rPr>
          <w:rFonts w:ascii="Calibri" w:cs="Calibri" w:eastAsia="Calibri" w:hAnsi="Calibri"/>
          <w:sz w:val="22"/>
          <w:szCs w:val="22"/>
        </w:rPr>
        <w:t xml:space="preserve">Below is a starter template tuned for a Google engineering team. Copy, prune ruthlessly, and check in at the repo root with a symlink so both Gemini CLI and AGENTS.md-aware tools pick it up. Aim for under 2,000 tokens of always-on context.</w:t>
      </w:r>
    </w:p>
    <w:p>
      <w:pPr>
        <w:spacing w:after="0" w:before="0"/>
      </w:pPr>
      <w:r>
        <w:rPr>
          <w:rFonts w:ascii="Consolas" w:cs="Consolas" w:eastAsia="Consolas" w:hAnsi="Consolas"/>
          <w:sz w:val="18"/>
          <w:szCs w:val="18"/>
        </w:rPr>
        <w:t xml:space="preserve"># AGENTS.md — [Team name]</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Project</w:t>
      </w:r>
    </w:p>
    <w:p>
      <w:pPr>
        <w:spacing w:after="0" w:before="0"/>
      </w:pPr>
      <w:r>
        <w:rPr>
          <w:rFonts w:ascii="Consolas" w:cs="Consolas" w:eastAsia="Consolas" w:hAnsi="Consolas"/>
          <w:sz w:val="18"/>
          <w:szCs w:val="18"/>
        </w:rPr>
        <w:t xml:space="preserve">One paragraph: what this codebase is, who owns it, who the users are.</w:t>
      </w:r>
    </w:p>
    <w:p>
      <w:pPr>
        <w:spacing w:after="0" w:before="0"/>
      </w:pPr>
      <w:r>
        <w:rPr>
          <w:rFonts w:ascii="Consolas" w:cs="Consolas" w:eastAsia="Consolas" w:hAnsi="Consolas"/>
          <w:sz w:val="18"/>
          <w:szCs w:val="18"/>
        </w:rPr>
        <w:t xml:space="preserve">Primary languages: Go, TypeScript.</w:t>
      </w:r>
    </w:p>
    <w:p>
      <w:pPr>
        <w:spacing w:after="0" w:before="0"/>
      </w:pPr>
      <w:r>
        <w:rPr>
          <w:rFonts w:ascii="Consolas" w:cs="Consolas" w:eastAsia="Consolas" w:hAnsi="Consolas"/>
          <w:sz w:val="18"/>
          <w:szCs w:val="18"/>
        </w:rPr>
        <w:t xml:space="preserve">Build system: Bazel.</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Setup</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minimum to get a working dev loop</w:t>
      </w:r>
    </w:p>
    <w:p>
      <w:pPr>
        <w:spacing w:after="0" w:before="0"/>
      </w:pPr>
      <w:r>
        <w:rPr>
          <w:rFonts w:ascii="Consolas" w:cs="Consolas" w:eastAsia="Consolas" w:hAnsi="Consolas"/>
          <w:sz w:val="18"/>
          <w:szCs w:val="18"/>
        </w:rPr>
        <w:t xml:space="preserve">make bootstrap</w:t>
      </w:r>
    </w:p>
    <w:p>
      <w:pPr>
        <w:spacing w:after="0" w:before="0"/>
      </w:pPr>
      <w:r>
        <w:rPr>
          <w:rFonts w:ascii="Consolas" w:cs="Consolas" w:eastAsia="Consolas" w:hAnsi="Consolas"/>
          <w:sz w:val="18"/>
          <w:szCs w:val="18"/>
        </w:rPr>
        <w:t xml:space="preserve">make test</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How we work</w:t>
      </w:r>
    </w:p>
    <w:p>
      <w:pPr>
        <w:spacing w:after="0" w:before="0"/>
      </w:pPr>
      <w:r>
        <w:rPr>
          <w:rFonts w:ascii="Consolas" w:cs="Consolas" w:eastAsia="Consolas" w:hAnsi="Consolas"/>
          <w:sz w:val="18"/>
          <w:szCs w:val="18"/>
        </w:rPr>
        <w:t xml:space="preserve">- Format: `make fmt` before every commit.</w:t>
      </w:r>
    </w:p>
    <w:p>
      <w:pPr>
        <w:spacing w:after="0" w:before="0"/>
      </w:pPr>
      <w:r>
        <w:rPr>
          <w:rFonts w:ascii="Consolas" w:cs="Consolas" w:eastAsia="Consolas" w:hAnsi="Consolas"/>
          <w:sz w:val="18"/>
          <w:szCs w:val="18"/>
        </w:rPr>
        <w:t xml:space="preserve">- Test: `make test` is the green/red signal. `make e2e` is optional, slow.</w:t>
      </w:r>
    </w:p>
    <w:p>
      <w:pPr>
        <w:spacing w:after="0" w:before="0"/>
      </w:pPr>
      <w:r>
        <w:rPr>
          <w:rFonts w:ascii="Consolas" w:cs="Consolas" w:eastAsia="Consolas" w:hAnsi="Consolas"/>
          <w:sz w:val="18"/>
          <w:szCs w:val="18"/>
        </w:rPr>
        <w:t xml:space="preserve">- Style: Google Go Style + the additions in docs/style.md.</w:t>
      </w:r>
    </w:p>
    <w:p>
      <w:pPr>
        <w:spacing w:after="0" w:before="0"/>
      </w:pPr>
      <w:r>
        <w:rPr>
          <w:rFonts w:ascii="Consolas" w:cs="Consolas" w:eastAsia="Consolas" w:hAnsi="Consolas"/>
          <w:sz w:val="18"/>
          <w:szCs w:val="18"/>
        </w:rPr>
        <w:t xml:space="preserve">- Comments: only where the *why* is non-obvious. No restating the code.</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Directories</w:t>
      </w:r>
    </w:p>
    <w:p>
      <w:pPr>
        <w:spacing w:after="0" w:before="0"/>
      </w:pPr>
      <w:r>
        <w:rPr>
          <w:rFonts w:ascii="Consolas" w:cs="Consolas" w:eastAsia="Consolas" w:hAnsi="Consolas"/>
          <w:sz w:val="18"/>
          <w:szCs w:val="18"/>
        </w:rPr>
        <w:t xml:space="preserve">- /api — generated; do not hand-edit</w:t>
      </w:r>
    </w:p>
    <w:p>
      <w:pPr>
        <w:spacing w:after="0" w:before="0"/>
      </w:pPr>
      <w:r>
        <w:rPr>
          <w:rFonts w:ascii="Consolas" w:cs="Consolas" w:eastAsia="Consolas" w:hAnsi="Consolas"/>
          <w:sz w:val="18"/>
          <w:szCs w:val="18"/>
        </w:rPr>
        <w:t xml:space="preserve">- /services/* — microservices; each has its own AGENTS.md with package-specific rules</w:t>
      </w:r>
    </w:p>
    <w:p>
      <w:pPr>
        <w:spacing w:after="0" w:before="0"/>
      </w:pPr>
      <w:r>
        <w:rPr>
          <w:rFonts w:ascii="Consolas" w:cs="Consolas" w:eastAsia="Consolas" w:hAnsi="Consolas"/>
          <w:sz w:val="18"/>
          <w:szCs w:val="18"/>
        </w:rPr>
        <w:t xml:space="preserve">- /experimental — in-progress; do not refactor without asking</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What to do, what not to do</w:t>
      </w:r>
    </w:p>
    <w:p>
      <w:pPr>
        <w:spacing w:after="0" w:before="0"/>
      </w:pPr>
      <w:r>
        <w:rPr>
          <w:rFonts w:ascii="Consolas" w:cs="Consolas" w:eastAsia="Consolas" w:hAnsi="Consolas"/>
          <w:sz w:val="18"/>
          <w:szCs w:val="18"/>
        </w:rPr>
        <w:t xml:space="preserve">- Do prefer table-driven tests in Go; httptest for handler tests.</w:t>
      </w:r>
    </w:p>
    <w:p>
      <w:pPr>
        <w:spacing w:after="0" w:before="0"/>
      </w:pPr>
      <w:r>
        <w:rPr>
          <w:rFonts w:ascii="Consolas" w:cs="Consolas" w:eastAsia="Consolas" w:hAnsi="Consolas"/>
          <w:sz w:val="18"/>
          <w:szCs w:val="18"/>
        </w:rPr>
        <w:t xml:space="preserve">- Do open small PRs (&lt;400 lines diff). Stack them with Graphite if needed.</w:t>
      </w:r>
    </w:p>
    <w:p>
      <w:pPr>
        <w:spacing w:after="0" w:before="0"/>
      </w:pPr>
      <w:r>
        <w:rPr>
          <w:rFonts w:ascii="Consolas" w:cs="Consolas" w:eastAsia="Consolas" w:hAnsi="Consolas"/>
          <w:sz w:val="18"/>
          <w:szCs w:val="18"/>
        </w:rPr>
        <w:t xml:space="preserve">- Do not introduce new dependencies without listing them in the PR description.</w:t>
      </w:r>
    </w:p>
    <w:p>
      <w:pPr>
        <w:spacing w:after="0" w:before="0"/>
      </w:pPr>
      <w:r>
        <w:rPr>
          <w:rFonts w:ascii="Consolas" w:cs="Consolas" w:eastAsia="Consolas" w:hAnsi="Consolas"/>
          <w:sz w:val="18"/>
          <w:szCs w:val="18"/>
        </w:rPr>
        <w:t xml:space="preserve">- Do not modify /api by hand; regenerate from proto.</w:t>
      </w:r>
    </w:p>
    <w:p>
      <w:pPr>
        <w:spacing w:after="0" w:before="0"/>
      </w:pPr>
      <w:r>
        <w:rPr>
          <w:rFonts w:ascii="Consolas" w:cs="Consolas" w:eastAsia="Consolas" w:hAnsi="Consolas"/>
          <w:sz w:val="18"/>
          <w:szCs w:val="18"/>
        </w:rPr>
        <w:t xml:space="preserve">- Do not commit credentials, real customer IDs, or PII in fixtures.</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PR conventions</w:t>
      </w:r>
    </w:p>
    <w:p>
      <w:pPr>
        <w:spacing w:after="0" w:before="0"/>
      </w:pPr>
      <w:r>
        <w:rPr>
          <w:rFonts w:ascii="Consolas" w:cs="Consolas" w:eastAsia="Consolas" w:hAnsi="Consolas"/>
          <w:sz w:val="18"/>
          <w:szCs w:val="18"/>
        </w:rPr>
        <w:t xml:space="preserve">- Title: `&lt;area&gt;: &lt;imperative summary&gt;` (50 chars max).</w:t>
      </w:r>
    </w:p>
    <w:p>
      <w:pPr>
        <w:spacing w:after="0" w:before="0"/>
      </w:pPr>
      <w:r>
        <w:rPr>
          <w:rFonts w:ascii="Consolas" w:cs="Consolas" w:eastAsia="Consolas" w:hAnsi="Consolas"/>
          <w:sz w:val="18"/>
          <w:szCs w:val="18"/>
        </w:rPr>
        <w:t xml:space="preserve">- Body: problem, change, test, rollback. Use the template in .github/PULL_REQUEST_TEMPLATE.md.</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Security</w:t>
      </w:r>
    </w:p>
    <w:p>
      <w:pPr>
        <w:spacing w:after="0" w:before="0"/>
      </w:pPr>
      <w:r>
        <w:rPr>
          <w:rFonts w:ascii="Consolas" w:cs="Consolas" w:eastAsia="Consolas" w:hAnsi="Consolas"/>
          <w:sz w:val="18"/>
          <w:szCs w:val="18"/>
        </w:rPr>
        <w:t xml:space="preserve">- Never log Authorization headers, tokens, or full user records.</w:t>
      </w:r>
    </w:p>
    <w:p>
      <w:pPr>
        <w:spacing w:after="0" w:before="0"/>
      </w:pPr>
      <w:r>
        <w:rPr>
          <w:rFonts w:ascii="Consolas" w:cs="Consolas" w:eastAsia="Consolas" w:hAnsi="Consolas"/>
          <w:sz w:val="18"/>
          <w:szCs w:val="18"/>
        </w:rPr>
        <w:t xml:space="preserve">- New endpoints require an entry in docs/auth-matrix.md.</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Where to look</w:t>
      </w:r>
    </w:p>
    <w:p>
      <w:pPr>
        <w:spacing w:after="0" w:before="0"/>
      </w:pPr>
      <w:r>
        <w:rPr>
          <w:rFonts w:ascii="Consolas" w:cs="Consolas" w:eastAsia="Consolas" w:hAnsi="Consolas"/>
          <w:sz w:val="18"/>
          <w:szCs w:val="18"/>
        </w:rPr>
        <w:t xml:space="preserve">- Architecture overview: docs/architecture.md</w:t>
      </w:r>
    </w:p>
    <w:p>
      <w:pPr>
        <w:spacing w:after="0" w:before="0"/>
      </w:pPr>
      <w:r>
        <w:rPr>
          <w:rFonts w:ascii="Consolas" w:cs="Consolas" w:eastAsia="Consolas" w:hAnsi="Consolas"/>
          <w:sz w:val="18"/>
          <w:szCs w:val="18"/>
        </w:rPr>
        <w:t xml:space="preserve">- Runbooks: NotebookLM "[Team] Runbooks"</w:t>
      </w:r>
    </w:p>
    <w:p>
      <w:pPr>
        <w:spacing w:after="0" w:before="0"/>
      </w:pPr>
      <w:r>
        <w:rPr>
          <w:rFonts w:ascii="Consolas" w:cs="Consolas" w:eastAsia="Consolas" w:hAnsi="Consolas"/>
          <w:sz w:val="18"/>
          <w:szCs w:val="18"/>
        </w:rPr>
        <w:t xml:space="preserve">- Style guide deep-dive: @docs/style.md</w:t>
      </w:r>
    </w:p>
    <w:p>
      <w:pPr>
        <w:spacing w:after="0" w:before="0"/>
      </w:pPr>
      <w:r>
        <w:rPr>
          <w:rFonts w:ascii="Consolas" w:cs="Consolas" w:eastAsia="Consolas" w:hAnsi="Consolas"/>
          <w:sz w:val="18"/>
          <w:szCs w:val="18"/>
        </w:rPr>
        <w:t xml:space="preserve">- Common skills: @skills/README.md</w:t>
      </w:r>
    </w:p>
    <w:p>
      <w:pPr>
        <w:pStyle w:val="Heading1"/>
        <w:pageBreakBefore/>
        <w:spacing w:after="160" w:before="360"/>
      </w:pPr>
      <w:r>
        <w:rPr>
          <w:rFonts w:ascii="Calibri" w:cs="Calibri" w:eastAsia="Calibri" w:hAnsi="Calibri"/>
        </w:rPr>
        <w:t xml:space="preserve">Appendix B · Starter Skill</w:t>
      </w:r>
    </w:p>
    <w:p>
      <w:pPr>
        <w:spacing w:after="120" w:before="80" w:line="312"/>
        <w:jc w:val="both"/>
      </w:pPr>
      <w:r>
        <w:rPr>
          <w:rFonts w:ascii="Calibri" w:cs="Calibri" w:eastAsia="Calibri" w:hAnsi="Calibri"/>
          <w:sz w:val="22"/>
          <w:szCs w:val="22"/>
        </w:rPr>
        <w:t xml:space="preserve">Below is a representative skill in the format you can drop into your team’s skills/ directory. Two hundred to five hundred words is the right target.</w:t>
      </w:r>
    </w:p>
    <w:p>
      <w:pPr>
        <w:spacing w:after="0" w:before="0"/>
      </w:pPr>
      <w:r>
        <w:rPr>
          <w:rFonts w:ascii="Consolas" w:cs="Consolas" w:eastAsia="Consolas" w:hAnsi="Consolas"/>
          <w:sz w:val="18"/>
          <w:szCs w:val="18"/>
        </w:rPr>
        <w:t xml:space="preserve"># skills/write-rfc/SKILL.md</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name: write-rfc</w:t>
      </w:r>
    </w:p>
    <w:p>
      <w:pPr>
        <w:spacing w:after="0" w:before="0"/>
      </w:pPr>
      <w:r>
        <w:rPr>
          <w:rFonts w:ascii="Consolas" w:cs="Consolas" w:eastAsia="Consolas" w:hAnsi="Consolas"/>
          <w:sz w:val="18"/>
          <w:szCs w:val="18"/>
        </w:rPr>
        <w:t xml:space="preserve">description: Draft a new RFC using the team template, voice, and section conventions. Use when starting a design doc, technical proposal, or "we should change X" memo.</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Writing an RFC for [team]</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When to use this skill</w:t>
      </w:r>
    </w:p>
    <w:p>
      <w:pPr>
        <w:spacing w:after="0" w:before="0"/>
      </w:pPr>
      <w:r>
        <w:rPr>
          <w:rFonts w:ascii="Consolas" w:cs="Consolas" w:eastAsia="Consolas" w:hAnsi="Consolas"/>
          <w:sz w:val="18"/>
          <w:szCs w:val="18"/>
        </w:rPr>
        <w:t xml:space="preserve">The work is a design decision that affects more than one person, will outlive</w:t>
      </w:r>
    </w:p>
    <w:p>
      <w:pPr>
        <w:spacing w:after="0" w:before="0"/>
      </w:pPr>
      <w:r>
        <w:rPr>
          <w:rFonts w:ascii="Consolas" w:cs="Consolas" w:eastAsia="Consolas" w:hAnsi="Consolas"/>
          <w:sz w:val="18"/>
          <w:szCs w:val="18"/>
        </w:rPr>
        <w:t xml:space="preserve">the current quarter, or changes a contract another team relies on. Smaller</w:t>
      </w:r>
    </w:p>
    <w:p>
      <w:pPr>
        <w:spacing w:after="0" w:before="0"/>
      </w:pPr>
      <w:r>
        <w:rPr>
          <w:rFonts w:ascii="Consolas" w:cs="Consolas" w:eastAsia="Consolas" w:hAnsi="Consolas"/>
          <w:sz w:val="18"/>
          <w:szCs w:val="18"/>
        </w:rPr>
        <w:t xml:space="preserve">scope → use a CL description. Bigger scope → use a formal review.</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Template</w:t>
      </w:r>
    </w:p>
    <w:p>
      <w:pPr>
        <w:spacing w:after="0" w:before="0"/>
      </w:pPr>
      <w:r>
        <w:rPr>
          <w:rFonts w:ascii="Consolas" w:cs="Consolas" w:eastAsia="Consolas" w:hAnsi="Consolas"/>
          <w:sz w:val="18"/>
          <w:szCs w:val="18"/>
        </w:rPr>
        <w:t xml:space="preserve">1. **Problem** — what is broken, who feels it, what is the cost of doing nothing.</w:t>
      </w:r>
    </w:p>
    <w:p>
      <w:pPr>
        <w:spacing w:after="0" w:before="0"/>
      </w:pPr>
      <w:r>
        <w:rPr>
          <w:rFonts w:ascii="Consolas" w:cs="Consolas" w:eastAsia="Consolas" w:hAnsi="Consolas"/>
          <w:sz w:val="18"/>
          <w:szCs w:val="18"/>
        </w:rPr>
        <w:t xml:space="preserve">2. **Goals / non-goals** — each as a one-line bullet.</w:t>
      </w:r>
    </w:p>
    <w:p>
      <w:pPr>
        <w:spacing w:after="0" w:before="0"/>
      </w:pPr>
      <w:r>
        <w:rPr>
          <w:rFonts w:ascii="Consolas" w:cs="Consolas" w:eastAsia="Consolas" w:hAnsi="Consolas"/>
          <w:sz w:val="18"/>
          <w:szCs w:val="18"/>
        </w:rPr>
        <w:t xml:space="preserve">3. **Proposal** — the change. Diagrams in /assets if helpful. Cite existing code.</w:t>
      </w:r>
    </w:p>
    <w:p>
      <w:pPr>
        <w:spacing w:after="0" w:before="0"/>
      </w:pPr>
      <w:r>
        <w:rPr>
          <w:rFonts w:ascii="Consolas" w:cs="Consolas" w:eastAsia="Consolas" w:hAnsi="Consolas"/>
          <w:sz w:val="18"/>
          <w:szCs w:val="18"/>
        </w:rPr>
        <w:t xml:space="preserve">4. **Alternatives considered** — at least two, with the reason rejected.</w:t>
      </w:r>
    </w:p>
    <w:p>
      <w:pPr>
        <w:spacing w:after="0" w:before="0"/>
      </w:pPr>
      <w:r>
        <w:rPr>
          <w:rFonts w:ascii="Consolas" w:cs="Consolas" w:eastAsia="Consolas" w:hAnsi="Consolas"/>
          <w:sz w:val="18"/>
          <w:szCs w:val="18"/>
        </w:rPr>
        <w:t xml:space="preserve">5. **Risks and mitigations** — reversibility, blast radius, rollout plan.</w:t>
      </w:r>
    </w:p>
    <w:p>
      <w:pPr>
        <w:spacing w:after="0" w:before="0"/>
      </w:pPr>
      <w:r>
        <w:rPr>
          <w:rFonts w:ascii="Consolas" w:cs="Consolas" w:eastAsia="Consolas" w:hAnsi="Consolas"/>
          <w:sz w:val="18"/>
          <w:szCs w:val="18"/>
        </w:rPr>
        <w:t xml:space="preserve">6. **Open questions** — explicitly unresolved.</w:t>
      </w:r>
    </w:p>
    <w:p>
      <w:pPr>
        <w:spacing w:after="0" w:before="0"/>
      </w:pPr>
      <w:r>
        <w:rPr>
          <w:rFonts w:ascii="Consolas" w:cs="Consolas" w:eastAsia="Consolas" w:hAnsi="Consolas"/>
          <w:sz w:val="18"/>
          <w:szCs w:val="18"/>
        </w:rPr>
        <w:t xml:space="preserve">7. **References** — prior RFCs, design docs, prior art.</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Voice and length</w:t>
      </w:r>
    </w:p>
    <w:p>
      <w:pPr>
        <w:spacing w:after="0" w:before="0"/>
      </w:pPr>
      <w:r>
        <w:rPr>
          <w:rFonts w:ascii="Consolas" w:cs="Consolas" w:eastAsia="Consolas" w:hAnsi="Consolas"/>
          <w:sz w:val="18"/>
          <w:szCs w:val="18"/>
        </w:rPr>
        <w:t xml:space="preserve">- 1,500 words is the soft cap. If it is longer, the problem is not yet sharp.</w:t>
      </w:r>
    </w:p>
    <w:p>
      <w:pPr>
        <w:spacing w:after="0" w:before="0"/>
      </w:pPr>
      <w:r>
        <w:rPr>
          <w:rFonts w:ascii="Consolas" w:cs="Consolas" w:eastAsia="Consolas" w:hAnsi="Consolas"/>
          <w:sz w:val="18"/>
          <w:szCs w:val="18"/>
        </w:rPr>
        <w:t xml:space="preserve">- Prefer concrete over abstract. Name actual files and APIs.</w:t>
      </w:r>
    </w:p>
    <w:p>
      <w:pPr>
        <w:spacing w:after="0" w:before="0"/>
      </w:pPr>
      <w:r>
        <w:rPr>
          <w:rFonts w:ascii="Consolas" w:cs="Consolas" w:eastAsia="Consolas" w:hAnsi="Consolas"/>
          <w:sz w:val="18"/>
          <w:szCs w:val="18"/>
        </w:rPr>
        <w:t xml:space="preserve">- Past-tense for what we did, present-tense for what we do, future-tense for the proposal.</w:t>
      </w:r>
    </w:p>
    <w:p>
      <w:pPr>
        <w:spacing w:after="0" w:before="0"/>
      </w:pPr>
      <w:r>
        <w:rPr>
          <w:rFonts w:ascii="Consolas" w:cs="Consolas" w:eastAsia="Consolas" w:hAnsi="Consolas"/>
          <w:sz w:val="18"/>
          <w:szCs w:val="18"/>
        </w:rPr>
        <w:t xml:space="preserve">- One reviewer per stakeholder team; do not over-pad the reviewer list.</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Exemplars (do not modify; reference only)</w:t>
      </w:r>
    </w:p>
    <w:p>
      <w:pPr>
        <w:spacing w:after="0" w:before="0"/>
      </w:pPr>
      <w:r>
        <w:rPr>
          <w:rFonts w:ascii="Consolas" w:cs="Consolas" w:eastAsia="Consolas" w:hAnsi="Consolas"/>
          <w:sz w:val="18"/>
          <w:szCs w:val="18"/>
        </w:rPr>
        <w:t xml:space="preserve">- @rfcs/0042-payments-idempotency.md</w:t>
      </w:r>
    </w:p>
    <w:p>
      <w:pPr>
        <w:spacing w:after="0" w:before="0"/>
      </w:pPr>
      <w:r>
        <w:rPr>
          <w:rFonts w:ascii="Consolas" w:cs="Consolas" w:eastAsia="Consolas" w:hAnsi="Consolas"/>
          <w:sz w:val="18"/>
          <w:szCs w:val="18"/>
        </w:rPr>
        <w:t xml:space="preserve">- @rfcs/0061-scheduler-rewrite.md</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When this skill is the wrong tool</w:t>
      </w:r>
    </w:p>
    <w:p>
      <w:pPr>
        <w:spacing w:after="0" w:before="0"/>
      </w:pPr>
      <w:r>
        <w:rPr>
          <w:rFonts w:ascii="Consolas" w:cs="Consolas" w:eastAsia="Consolas" w:hAnsi="Consolas"/>
          <w:sz w:val="18"/>
          <w:szCs w:val="18"/>
        </w:rPr>
        <w:t xml:space="preserve">- One-off ticket-level work: use a CL description, not an RFC.</w:t>
      </w:r>
    </w:p>
    <w:p>
      <w:pPr>
        <w:spacing w:after="0" w:before="0"/>
      </w:pPr>
      <w:r>
        <w:rPr>
          <w:rFonts w:ascii="Consolas" w:cs="Consolas" w:eastAsia="Consolas" w:hAnsi="Consolas"/>
          <w:sz w:val="18"/>
          <w:szCs w:val="18"/>
        </w:rPr>
        <w:t xml:space="preserve">- Org-wide policy change: needs a directional doc from leadership, not an RFC.</w:t>
      </w:r>
    </w:p>
    <w:p>
      <w:pPr>
        <w:spacing w:after="0" w:before="0"/>
      </w:pPr>
      <w:r>
        <w:rPr>
          <w:rFonts w:ascii="Consolas" w:cs="Consolas" w:eastAsia="Consolas" w:hAnsi="Consolas"/>
          <w:sz w:val="18"/>
          <w:szCs w:val="18"/>
        </w:rPr>
        <w:t xml:space="preserve">- Postmortem: use the postmortem skill, not this one.</w:t>
      </w:r>
    </w:p>
    <w:p>
      <w:pPr>
        <w:pStyle w:val="Heading1"/>
        <w:pageBreakBefore/>
        <w:spacing w:after="160" w:before="360"/>
      </w:pPr>
      <w:r>
        <w:rPr>
          <w:rFonts w:ascii="Calibri" w:cs="Calibri" w:eastAsia="Calibri" w:hAnsi="Calibri"/>
        </w:rPr>
        <w:t xml:space="preserve">Appendix C · HITL Policy Skeleton</w:t>
      </w:r>
    </w:p>
    <w:p>
      <w:pPr>
        <w:spacing w:after="120" w:before="80" w:line="312"/>
        <w:jc w:val="both"/>
      </w:pPr>
      <w:r>
        <w:rPr>
          <w:rFonts w:ascii="Calibri" w:cs="Calibri" w:eastAsia="Calibri" w:hAnsi="Calibri"/>
          <w:sz w:val="22"/>
          <w:szCs w:val="22"/>
        </w:rPr>
        <w:t xml:space="preserve">Below is the smallest viable HITL policy. Copy into a team doc, fill in the work categories with your actual examples from the last quarter’s retros, get team agreement, and post in the channel new hires read on day one.</w:t>
      </w:r>
    </w:p>
    <w:p>
      <w:pPr>
        <w:pStyle w:val="Heading3"/>
        <w:spacing w:after="80" w:before="200"/>
      </w:pPr>
      <w:r>
        <w:rPr>
          <w:rFonts w:ascii="Calibri" w:cs="Calibri" w:eastAsia="Calibri" w:hAnsi="Calibri"/>
        </w:rPr>
        <w:t xml:space="preserve">Our autonomy levels</w:t>
      </w:r>
    </w:p>
    <w:p>
      <w:pPr>
        <w:spacing w:after="120" w:before="80" w:line="312"/>
        <w:jc w:val="both"/>
      </w:pPr>
      <w:r>
        <w:rPr>
          <w:rFonts w:ascii="Calibri" w:cs="Calibri" w:eastAsia="Calibri" w:hAnsi="Calibri"/>
          <w:sz w:val="22"/>
          <w:szCs w:val="22"/>
        </w:rPr>
        <w:t xml:space="preserve">We use Swarmia’s five-level taxonomy (L1 assistive, L2 conversational, L3 autonomous-bounded, L4 autonomous-teammate, L5 swarm). Higher is not better. We default to L2 for unfamiliar work and step down or up explicitly per category.</w:t>
      </w:r>
    </w:p>
    <w:p>
      <w:pPr>
        <w:pStyle w:val="Heading3"/>
        <w:spacing w:after="80" w:before="200"/>
      </w:pPr>
      <w:r>
        <w:rPr>
          <w:rFonts w:ascii="Calibri" w:cs="Calibri" w:eastAsia="Calibri" w:hAnsi="Calibri"/>
        </w:rPr>
        <w:t xml:space="preserve">Default routing by category</w:t>
      </w:r>
    </w:p>
    <w:p>
      <w:pPr>
        <w:spacing w:after="120" w:before="80" w:line="312"/>
        <w:jc w:val="both"/>
      </w:pPr>
      <w:r>
        <w:rPr>
          <w:rFonts w:ascii="Calibri" w:cs="Calibri" w:eastAsia="Calibri" w:hAnsi="Calibri"/>
          <w:sz w:val="22"/>
          <w:szCs w:val="22"/>
        </w:rPr>
        <w:t xml:space="preserve">Filled in per Table in Part 5.3. Reviewed quarterly. Any change requires a CL touching this doc.</w:t>
      </w:r>
    </w:p>
    <w:p>
      <w:pPr>
        <w:pStyle w:val="Heading3"/>
        <w:spacing w:after="80" w:before="200"/>
      </w:pPr>
      <w:r>
        <w:rPr>
          <w:rFonts w:ascii="Calibri" w:cs="Calibri" w:eastAsia="Calibri" w:hAnsi="Calibri"/>
        </w:rPr>
        <w:t xml:space="preserve">Things we do not skip</w:t>
      </w:r>
    </w:p>
    <w:p>
      <w:pPr>
        <w:spacing w:after="120" w:before="80" w:line="312"/>
        <w:jc w:val="both"/>
      </w:pPr>
      <w:r>
        <w:rPr>
          <w:rFonts w:ascii="Calibri" w:cs="Calibri" w:eastAsia="Calibri" w:hAnsi="Calibri"/>
          <w:sz w:val="22"/>
          <w:szCs w:val="22"/>
        </w:rPr>
        <w:t xml:space="preserve">Every CL has a human reviewer. The author reads the agent’s output before opening the PR. CI is a required signal, not a substitute for review. Production access stays two-person. Schema migrations are L1 only; we do not let agents drive them.</w:t>
      </w:r>
    </w:p>
    <w:p>
      <w:pPr>
        <w:pStyle w:val="Heading3"/>
        <w:spacing w:after="80" w:before="200"/>
      </w:pPr>
      <w:r>
        <w:rPr>
          <w:rFonts w:ascii="Calibri" w:cs="Calibri" w:eastAsia="Calibri" w:hAnsi="Calibri"/>
        </w:rPr>
        <w:t xml:space="preserve">Metrics we track</w:t>
      </w:r>
    </w:p>
    <w:p>
      <w:pPr>
        <w:spacing w:after="120" w:before="80" w:line="312"/>
        <w:jc w:val="both"/>
      </w:pPr>
      <w:r>
        <w:rPr>
          <w:rFonts w:ascii="Calibri" w:cs="Calibri" w:eastAsia="Calibri" w:hAnsi="Calibri"/>
          <w:sz w:val="22"/>
          <w:szCs w:val="22"/>
        </w:rPr>
        <w:t xml:space="preserve">Approve-without-comment rate (monthly, surfaced in retro). PR cycle time (weekly). Revert rate of AI-authored PRs (monthly). Eval golden-set scores per critical skill (per release). Dwell time on review pages, sampled monthly.</w:t>
      </w:r>
    </w:p>
    <w:p>
      <w:pPr>
        <w:pStyle w:val="Heading3"/>
        <w:spacing w:after="80" w:before="200"/>
      </w:pPr>
      <w:r>
        <w:rPr>
          <w:rFonts w:ascii="Calibri" w:cs="Calibri" w:eastAsia="Calibri" w:hAnsi="Calibri"/>
        </w:rPr>
        <w:t xml:space="preserve">How we change this document</w:t>
      </w:r>
    </w:p>
    <w:p>
      <w:pPr>
        <w:spacing w:after="120" w:before="80" w:line="312"/>
        <w:jc w:val="both"/>
      </w:pPr>
      <w:r>
        <w:rPr>
          <w:rFonts w:ascii="Calibri" w:cs="Calibri" w:eastAsia="Calibri" w:hAnsi="Calibri"/>
          <w:sz w:val="22"/>
          <w:szCs w:val="22"/>
        </w:rPr>
        <w:t xml:space="preserve">The policy is a living artifact. When an incident, near-miss, or retro reveals a gap, we update the policy in the same CL as the postmortem. The doc lives in the repo at docs/hitl-policy.md so it travels with the code.</w:t>
      </w:r>
    </w:p>
    <w:p>
      <w:pPr>
        <w:pStyle w:val="Heading1"/>
        <w:pageBreakBefore/>
        <w:spacing w:after="160" w:before="360"/>
      </w:pPr>
      <w:r>
        <w:rPr>
          <w:rFonts w:ascii="Calibri" w:cs="Calibri" w:eastAsia="Calibri" w:hAnsi="Calibri"/>
        </w:rPr>
        <w:t xml:space="preserve">Appendix D · References</w:t>
      </w:r>
    </w:p>
    <w:p>
      <w:pPr>
        <w:spacing w:after="120" w:before="80" w:line="312"/>
        <w:jc w:val="both"/>
      </w:pPr>
      <w:r>
        <w:rPr>
          <w:rFonts w:ascii="Calibri" w:cs="Calibri" w:eastAsia="Calibri" w:hAnsi="Calibri"/>
          <w:sz w:val="22"/>
          <w:szCs w:val="22"/>
        </w:rPr>
        <w:t xml:space="preserve">Sources used in compiling this playbook, grouped by topic. URLs as of May 2026.</w:t>
      </w:r>
    </w:p>
    <w:p>
      <w:pPr>
        <w:pStyle w:val="Heading3"/>
        <w:spacing w:after="80" w:before="200"/>
      </w:pPr>
      <w:r>
        <w:rPr>
          <w:rFonts w:ascii="Calibri" w:cs="Calibri" w:eastAsia="Calibri" w:hAnsi="Calibri"/>
        </w:rPr>
        <w:t xml:space="preserve">Google internal practice</w:t>
      </w:r>
    </w:p>
    <w:p>
      <w:pPr>
        <w:pStyle w:val="ListParagraph"/>
        <w:numPr>
          <w:ilvl w:val="0"/>
          <w:numId w:val="2"/>
        </w:numPr>
        <w:spacing w:after="80" w:before="40" w:line="312"/>
      </w:pPr>
      <w:r>
        <w:rPr>
          <w:rFonts w:ascii="Calibri" w:cs="Calibri" w:eastAsia="Calibri" w:hAnsi="Calibri"/>
          <w:sz w:val="22"/>
          <w:szCs w:val="22"/>
        </w:rPr>
        <w:t xml:space="preserve">Chandra &amp; Tabachnyk, "AI in Software Engineering at Google: Progress and the path ahead" — </w:t>
      </w:r>
      <w:hyperlink w:history="1" r:id="rIdhtbreg2iofedu-_qmb8og">
        <w:r>
          <w:rPr>
            <w:rStyle w:val="Hyperlink"/>
            <w:rFonts w:ascii="Calibri" w:cs="Calibri" w:eastAsia="Calibri" w:hAnsi="Calibri"/>
            <w:sz w:val="22"/>
            <w:szCs w:val="22"/>
          </w:rPr>
          <w:t xml:space="preserve">https://research.google/blog/ai-in-software-engineering-at-google-progress-and-the-path-ahead/</w:t>
        </w:r>
      </w:hyperlink>
    </w:p>
    <w:p>
      <w:pPr>
        <w:pStyle w:val="ListParagraph"/>
        <w:numPr>
          <w:ilvl w:val="0"/>
          <w:numId w:val="2"/>
        </w:numPr>
        <w:spacing w:after="80" w:before="40" w:line="312"/>
      </w:pPr>
      <w:r>
        <w:rPr>
          <w:rFonts w:ascii="Calibri" w:cs="Calibri" w:eastAsia="Calibri" w:hAnsi="Calibri"/>
          <w:sz w:val="22"/>
          <w:szCs w:val="22"/>
        </w:rPr>
        <w:t xml:space="preserve">Frömmgen &amp; Kharatyan, "Resolving Code Review Comments with ML" — </w:t>
      </w:r>
      <w:hyperlink w:history="1" r:id="rId0uwnjeshb-tltcwrqnxxk">
        <w:r>
          <w:rPr>
            <w:rStyle w:val="Hyperlink"/>
            <w:rFonts w:ascii="Calibri" w:cs="Calibri" w:eastAsia="Calibri" w:hAnsi="Calibri"/>
            <w:sz w:val="22"/>
            <w:szCs w:val="22"/>
          </w:rPr>
          <w:t xml:space="preserve">https://research.google/blog/resolving-code-review-comments-with-ml/</w:t>
        </w:r>
      </w:hyperlink>
    </w:p>
    <w:p>
      <w:pPr>
        <w:pStyle w:val="ListParagraph"/>
        <w:numPr>
          <w:ilvl w:val="0"/>
          <w:numId w:val="2"/>
        </w:numPr>
        <w:spacing w:after="80" w:before="40" w:line="312"/>
      </w:pPr>
      <w:r>
        <w:rPr>
          <w:rFonts w:ascii="Calibri" w:cs="Calibri" w:eastAsia="Calibri" w:hAnsi="Calibri"/>
          <w:sz w:val="22"/>
          <w:szCs w:val="22"/>
        </w:rPr>
        <w:t xml:space="preserve">Nikolov &amp; Taneja, "Accelerating Code Migrations with AI" — </w:t>
      </w:r>
      <w:hyperlink w:history="1" r:id="rId9pqvawzr6fwklzykkhpxm">
        <w:r>
          <w:rPr>
            <w:rStyle w:val="Hyperlink"/>
            <w:rFonts w:ascii="Calibri" w:cs="Calibri" w:eastAsia="Calibri" w:hAnsi="Calibri"/>
            <w:sz w:val="22"/>
            <w:szCs w:val="22"/>
          </w:rPr>
          <w:t xml:space="preserve">https://research.google/blog/accelerating-code-migrations-with-ai/</w:t>
        </w:r>
      </w:hyperlink>
    </w:p>
    <w:p>
      <w:pPr>
        <w:pStyle w:val="ListParagraph"/>
        <w:numPr>
          <w:ilvl w:val="0"/>
          <w:numId w:val="2"/>
        </w:numPr>
        <w:spacing w:after="80" w:before="40" w:line="312"/>
      </w:pPr>
      <w:r>
        <w:rPr>
          <w:rFonts w:ascii="Calibri" w:cs="Calibri" w:eastAsia="Calibri" w:hAnsi="Calibri"/>
          <w:sz w:val="22"/>
          <w:szCs w:val="22"/>
        </w:rPr>
        <w:t xml:space="preserve">DIDACT: Large Sequence Models for Software Development Activities — </w:t>
      </w:r>
      <w:hyperlink w:history="1" r:id="rIdzxwoo4ygh5qzk_a2cnkrq">
        <w:r>
          <w:rPr>
            <w:rStyle w:val="Hyperlink"/>
            <w:rFonts w:ascii="Calibri" w:cs="Calibri" w:eastAsia="Calibri" w:hAnsi="Calibri"/>
            <w:sz w:val="22"/>
            <w:szCs w:val="22"/>
          </w:rPr>
          <w:t xml:space="preserve">https://blog.research.google/2023/05/large-sequence-models-for-software.html</w:t>
        </w:r>
      </w:hyperlink>
    </w:p>
    <w:p>
      <w:pPr>
        <w:pStyle w:val="ListParagraph"/>
        <w:numPr>
          <w:ilvl w:val="0"/>
          <w:numId w:val="2"/>
        </w:numPr>
        <w:spacing w:after="80" w:before="40" w:line="312"/>
      </w:pPr>
      <w:r>
        <w:rPr>
          <w:rFonts w:ascii="Calibri" w:cs="Calibri" w:eastAsia="Calibri" w:hAnsi="Calibri"/>
          <w:sz w:val="22"/>
          <w:szCs w:val="22"/>
        </w:rPr>
        <w:t xml:space="preserve">Tabachnyk et al., "Achieving Productivity Gains with AI-based IDE features" (ICSE LLM4Code 2026) — </w:t>
      </w:r>
      <w:hyperlink w:history="1" r:id="rIdmepgcyto5vcezj9hiorkp">
        <w:r>
          <w:rPr>
            <w:rStyle w:val="Hyperlink"/>
            <w:rFonts w:ascii="Calibri" w:cs="Calibri" w:eastAsia="Calibri" w:hAnsi="Calibri"/>
            <w:sz w:val="22"/>
            <w:szCs w:val="22"/>
          </w:rPr>
          <w:t xml:space="preserve">https://arxiv.org/abs/2601.19964</w:t>
        </w:r>
      </w:hyperlink>
    </w:p>
    <w:p>
      <w:pPr>
        <w:pStyle w:val="ListParagraph"/>
        <w:numPr>
          <w:ilvl w:val="0"/>
          <w:numId w:val="2"/>
        </w:numPr>
        <w:spacing w:after="80" w:before="40" w:line="312"/>
      </w:pPr>
      <w:r>
        <w:rPr>
          <w:rFonts w:ascii="Calibri" w:cs="Calibri" w:eastAsia="Calibri" w:hAnsi="Calibri"/>
          <w:sz w:val="22"/>
          <w:szCs w:val="22"/>
        </w:rPr>
        <w:t xml:space="preserve">Lee Boonstra, "When AI writes the code, who reviews it?" (Google Cloud OCTO, April 2026) — </w:t>
      </w:r>
      <w:hyperlink w:history="1" r:id="rIdj8npmrcuxpv7vbo3rntyr">
        <w:r>
          <w:rPr>
            <w:rStyle w:val="Hyperlink"/>
            <w:rFonts w:ascii="Calibri" w:cs="Calibri" w:eastAsia="Calibri" w:hAnsi="Calibri"/>
            <w:sz w:val="22"/>
            <w:szCs w:val="22"/>
          </w:rPr>
          <w:t xml:space="preserve">https://cloud.google.com/transform/when-ai-writes-the-code-who-reviews-it-cto-google-cloud</w:t>
        </w:r>
      </w:hyperlink>
    </w:p>
    <w:p>
      <w:pPr>
        <w:pStyle w:val="ListParagraph"/>
        <w:numPr>
          <w:ilvl w:val="0"/>
          <w:numId w:val="2"/>
        </w:numPr>
        <w:spacing w:after="80" w:before="40" w:line="312"/>
      </w:pPr>
      <w:r>
        <w:rPr>
          <w:rFonts w:ascii="Calibri" w:cs="Calibri" w:eastAsia="Calibri" w:hAnsi="Calibri"/>
          <w:sz w:val="22"/>
          <w:szCs w:val="22"/>
        </w:rPr>
        <w:t xml:space="preserve">DORA 2025 Report on AI-assisted software development — </w:t>
      </w:r>
      <w:hyperlink w:history="1" r:id="rId4byshrmlgteswlujv1szx">
        <w:r>
          <w:rPr>
            <w:rStyle w:val="Hyperlink"/>
            <w:rFonts w:ascii="Calibri" w:cs="Calibri" w:eastAsia="Calibri" w:hAnsi="Calibri"/>
            <w:sz w:val="22"/>
            <w:szCs w:val="22"/>
          </w:rPr>
          <w:t xml:space="preserve">https://services.google.com/fh/files/misc/2025_state_of_ai_assisted_software_development.pdf</w:t>
        </w:r>
      </w:hyperlink>
    </w:p>
    <w:p>
      <w:pPr>
        <w:pStyle w:val="ListParagraph"/>
        <w:numPr>
          <w:ilvl w:val="0"/>
          <w:numId w:val="2"/>
        </w:numPr>
        <w:spacing w:after="80" w:before="40" w:line="312"/>
      </w:pPr>
      <w:r>
        <w:rPr>
          <w:rFonts w:ascii="Calibri" w:cs="Calibri" w:eastAsia="Calibri" w:hAnsi="Calibri"/>
          <w:sz w:val="22"/>
          <w:szCs w:val="22"/>
        </w:rPr>
        <w:t xml:space="preserve">Critique: Google’s Code Review Tool (Software Engineering at Google) — </w:t>
      </w:r>
      <w:hyperlink w:history="1" r:id="rIdfaohy5xcffx6exzbjf-q2">
        <w:r>
          <w:rPr>
            <w:rStyle w:val="Hyperlink"/>
            <w:rFonts w:ascii="Calibri" w:cs="Calibri" w:eastAsia="Calibri" w:hAnsi="Calibri"/>
            <w:sz w:val="22"/>
            <w:szCs w:val="22"/>
          </w:rPr>
          <w:t xml:space="preserve">https://abseil.io/resources/swe-book/html/ch19.html</w:t>
        </w:r>
      </w:hyperlink>
    </w:p>
    <w:p>
      <w:pPr>
        <w:pStyle w:val="Heading3"/>
        <w:spacing w:after="80" w:before="200"/>
      </w:pPr>
      <w:r>
        <w:rPr>
          <w:rFonts w:ascii="Calibri" w:cs="Calibri" w:eastAsia="Calibri" w:hAnsi="Calibri"/>
        </w:rPr>
        <w:t xml:space="preserve">Gemini, Workspace, NotebookLM, Code Assist, Agent Platform</w:t>
      </w:r>
    </w:p>
    <w:p>
      <w:pPr>
        <w:pStyle w:val="ListParagraph"/>
        <w:numPr>
          <w:ilvl w:val="0"/>
          <w:numId w:val="2"/>
        </w:numPr>
        <w:spacing w:after="80" w:before="40" w:line="312"/>
      </w:pPr>
      <w:r>
        <w:rPr>
          <w:rFonts w:ascii="Calibri" w:cs="Calibri" w:eastAsia="Calibri" w:hAnsi="Calibri"/>
          <w:sz w:val="22"/>
          <w:szCs w:val="22"/>
        </w:rPr>
        <w:t xml:space="preserve">Tips for creating custom Gems (Gemini Apps Help) — </w:t>
      </w:r>
      <w:hyperlink w:history="1" r:id="rIdzp6rm6pdobwr3l51zdc0u">
        <w:r>
          <w:rPr>
            <w:rStyle w:val="Hyperlink"/>
            <w:rFonts w:ascii="Calibri" w:cs="Calibri" w:eastAsia="Calibri" w:hAnsi="Calibri"/>
            <w:sz w:val="22"/>
            <w:szCs w:val="22"/>
          </w:rPr>
          <w:t xml:space="preserve">https://support.google.com/gemini/answer/15235603?hl=en</w:t>
        </w:r>
      </w:hyperlink>
    </w:p>
    <w:p>
      <w:pPr>
        <w:pStyle w:val="ListParagraph"/>
        <w:numPr>
          <w:ilvl w:val="0"/>
          <w:numId w:val="2"/>
        </w:numPr>
        <w:spacing w:after="80" w:before="40" w:line="312"/>
      </w:pPr>
      <w:r>
        <w:rPr>
          <w:rFonts w:ascii="Calibri" w:cs="Calibri" w:eastAsia="Calibri" w:hAnsi="Calibri"/>
          <w:sz w:val="22"/>
          <w:szCs w:val="22"/>
        </w:rPr>
        <w:t xml:space="preserve">Sharable Gems announcement (Workspace Blog) — </w:t>
      </w:r>
      <w:hyperlink w:history="1" r:id="rId7jyx9lnay7nr-uke5hwjp">
        <w:r>
          <w:rPr>
            <w:rStyle w:val="Hyperlink"/>
            <w:rFonts w:ascii="Calibri" w:cs="Calibri" w:eastAsia="Calibri" w:hAnsi="Calibri"/>
            <w:sz w:val="22"/>
            <w:szCs w:val="22"/>
          </w:rPr>
          <w:t xml:space="preserve">https://workspace.google.com/blog/product-announcements/5-ways-to-boost-your-teams-productivity-with-the-gemini-app-featuring-new-sharable-gems</w:t>
        </w:r>
      </w:hyperlink>
    </w:p>
    <w:p>
      <w:pPr>
        <w:pStyle w:val="ListParagraph"/>
        <w:numPr>
          <w:ilvl w:val="0"/>
          <w:numId w:val="2"/>
        </w:numPr>
        <w:spacing w:after="80" w:before="40" w:line="312"/>
      </w:pPr>
      <w:r>
        <w:rPr>
          <w:rFonts w:ascii="Calibri" w:cs="Calibri" w:eastAsia="Calibri" w:hAnsi="Calibri"/>
          <w:sz w:val="22"/>
          <w:szCs w:val="22"/>
        </w:rPr>
        <w:t xml:space="preserve">NotebookLM for enterprise (Google Cloud) — </w:t>
      </w:r>
      <w:hyperlink w:history="1" r:id="rId_p_gdqtl_yqzpldh7oqgw">
        <w:r>
          <w:rPr>
            <w:rStyle w:val="Hyperlink"/>
            <w:rFonts w:ascii="Calibri" w:cs="Calibri" w:eastAsia="Calibri" w:hAnsi="Calibri"/>
            <w:sz w:val="22"/>
            <w:szCs w:val="22"/>
          </w:rPr>
          <w:t xml:space="preserve">https://cloud.google.com/resources/notebooklm-enterprise</w:t>
        </w:r>
      </w:hyperlink>
    </w:p>
    <w:p>
      <w:pPr>
        <w:pStyle w:val="ListParagraph"/>
        <w:numPr>
          <w:ilvl w:val="0"/>
          <w:numId w:val="2"/>
        </w:numPr>
        <w:spacing w:after="80" w:before="40" w:line="312"/>
      </w:pPr>
      <w:r>
        <w:rPr>
          <w:rFonts w:ascii="Calibri" w:cs="Calibri" w:eastAsia="Calibri" w:hAnsi="Calibri"/>
          <w:sz w:val="22"/>
          <w:szCs w:val="22"/>
        </w:rPr>
        <w:t xml:space="preserve">Generate Audio Overview in NotebookLM — </w:t>
      </w:r>
      <w:hyperlink w:history="1" r:id="rIdrkfbb6fshxys9tblif0rj">
        <w:r>
          <w:rPr>
            <w:rStyle w:val="Hyperlink"/>
            <w:rFonts w:ascii="Calibri" w:cs="Calibri" w:eastAsia="Calibri" w:hAnsi="Calibri"/>
            <w:sz w:val="22"/>
            <w:szCs w:val="22"/>
          </w:rPr>
          <w:t xml:space="preserve">https://support.google.com/notebooklm/answer/16212820?hl=en</w:t>
        </w:r>
      </w:hyperlink>
    </w:p>
    <w:p>
      <w:pPr>
        <w:pStyle w:val="ListParagraph"/>
        <w:numPr>
          <w:ilvl w:val="0"/>
          <w:numId w:val="2"/>
        </w:numPr>
        <w:spacing w:after="80" w:before="40" w:line="312"/>
      </w:pPr>
      <w:r>
        <w:rPr>
          <w:rFonts w:ascii="Calibri" w:cs="Calibri" w:eastAsia="Calibri" w:hAnsi="Calibri"/>
          <w:sz w:val="22"/>
          <w:szCs w:val="22"/>
        </w:rPr>
        <w:t xml:space="preserve">Configure Gemini Code Assist code customization — </w:t>
      </w:r>
      <w:hyperlink w:history="1" r:id="rId3shhytralhuzpm46uu8ol">
        <w:r>
          <w:rPr>
            <w:rStyle w:val="Hyperlink"/>
            <w:rFonts w:ascii="Calibri" w:cs="Calibri" w:eastAsia="Calibri" w:hAnsi="Calibri"/>
            <w:sz w:val="22"/>
            <w:szCs w:val="22"/>
          </w:rPr>
          <w:t xml:space="preserve">https://docs.cloud.google.com/gemini/docs/codeassist/code-customization</w:t>
        </w:r>
      </w:hyperlink>
    </w:p>
    <w:p>
      <w:pPr>
        <w:pStyle w:val="ListParagraph"/>
        <w:numPr>
          <w:ilvl w:val="0"/>
          <w:numId w:val="2"/>
        </w:numPr>
        <w:spacing w:after="80" w:before="40" w:line="312"/>
      </w:pPr>
      <w:r>
        <w:rPr>
          <w:rFonts w:ascii="Calibri" w:cs="Calibri" w:eastAsia="Calibri" w:hAnsi="Calibri"/>
          <w:sz w:val="22"/>
          <w:szCs w:val="22"/>
        </w:rPr>
        <w:t xml:space="preserve">Code review style guide (Gemini Code Assist) — </w:t>
      </w:r>
      <w:hyperlink w:history="1" r:id="rIdk6qd99hns3wv5tfy91uby">
        <w:r>
          <w:rPr>
            <w:rStyle w:val="Hyperlink"/>
            <w:rFonts w:ascii="Calibri" w:cs="Calibri" w:eastAsia="Calibri" w:hAnsi="Calibri"/>
            <w:sz w:val="22"/>
            <w:szCs w:val="22"/>
          </w:rPr>
          <w:t xml:space="preserve">https://developers.google.com/gemini-code-assist/docs/code-review-style-guide</w:t>
        </w:r>
      </w:hyperlink>
    </w:p>
    <w:p>
      <w:pPr>
        <w:pStyle w:val="ListParagraph"/>
        <w:numPr>
          <w:ilvl w:val="0"/>
          <w:numId w:val="2"/>
        </w:numPr>
        <w:spacing w:after="80" w:before="40" w:line="312"/>
      </w:pPr>
      <w:r>
        <w:rPr>
          <w:rFonts w:ascii="Calibri" w:cs="Calibri" w:eastAsia="Calibri" w:hAnsi="Calibri"/>
          <w:sz w:val="22"/>
          <w:szCs w:val="22"/>
        </w:rPr>
        <w:t xml:space="preserve">Introducing Gemini Enterprise Agent Platform — </w:t>
      </w:r>
      <w:hyperlink w:history="1" r:id="rIdznsba5gxxkew_czv_bxg3">
        <w:r>
          <w:rPr>
            <w:rStyle w:val="Hyperlink"/>
            <w:rFonts w:ascii="Calibri" w:cs="Calibri" w:eastAsia="Calibri" w:hAnsi="Calibri"/>
            <w:sz w:val="22"/>
            <w:szCs w:val="22"/>
          </w:rPr>
          <w:t xml:space="preserve">https://cloud.google.com/blog/products/ai-machine-learning/introducing-gemini-enterprise-agent-platform</w:t>
        </w:r>
      </w:hyperlink>
    </w:p>
    <w:p>
      <w:pPr>
        <w:pStyle w:val="ListParagraph"/>
        <w:numPr>
          <w:ilvl w:val="0"/>
          <w:numId w:val="2"/>
        </w:numPr>
        <w:spacing w:after="80" w:before="40" w:line="312"/>
      </w:pPr>
      <w:r>
        <w:rPr>
          <w:rFonts w:ascii="Calibri" w:cs="Calibri" w:eastAsia="Calibri" w:hAnsi="Calibri"/>
          <w:sz w:val="22"/>
          <w:szCs w:val="22"/>
        </w:rPr>
        <w:t xml:space="preserve">Announcing official MCP support for Google services — </w:t>
      </w:r>
      <w:hyperlink w:history="1" r:id="rId1vy-q24l8njx516dc1hj5">
        <w:r>
          <w:rPr>
            <w:rStyle w:val="Hyperlink"/>
            <w:rFonts w:ascii="Calibri" w:cs="Calibri" w:eastAsia="Calibri" w:hAnsi="Calibri"/>
            <w:sz w:val="22"/>
            <w:szCs w:val="22"/>
          </w:rPr>
          <w:t xml:space="preserve">https://cloud.google.com/blog/products/ai-machine-learning/announcing-official-mcp-support-for-google-services</w:t>
        </w:r>
      </w:hyperlink>
    </w:p>
    <w:p>
      <w:pPr>
        <w:pStyle w:val="ListParagraph"/>
        <w:numPr>
          <w:ilvl w:val="0"/>
          <w:numId w:val="2"/>
        </w:numPr>
        <w:spacing w:after="80" w:before="40" w:line="312"/>
      </w:pPr>
      <w:r>
        <w:rPr>
          <w:rFonts w:ascii="Calibri" w:cs="Calibri" w:eastAsia="Calibri" w:hAnsi="Calibri"/>
          <w:sz w:val="22"/>
          <w:szCs w:val="22"/>
        </w:rPr>
        <w:t xml:space="preserve">MCP servers with the Gemini CLI — </w:t>
      </w:r>
      <w:hyperlink w:history="1" r:id="rIdbzbbqnmcidvgjz2y224zt">
        <w:r>
          <w:rPr>
            <w:rStyle w:val="Hyperlink"/>
            <w:rFonts w:ascii="Calibri" w:cs="Calibri" w:eastAsia="Calibri" w:hAnsi="Calibri"/>
            <w:sz w:val="22"/>
            <w:szCs w:val="22"/>
          </w:rPr>
          <w:t xml:space="preserve">https://google-gemini.github.io/gemini-cli/docs/tools/mcp-server.html</w:t>
        </w:r>
      </w:hyperlink>
    </w:p>
    <w:p>
      <w:pPr>
        <w:pStyle w:val="ListParagraph"/>
        <w:numPr>
          <w:ilvl w:val="0"/>
          <w:numId w:val="2"/>
        </w:numPr>
        <w:spacing w:after="80" w:before="40" w:line="312"/>
      </w:pPr>
      <w:r>
        <w:rPr>
          <w:rFonts w:ascii="Calibri" w:cs="Calibri" w:eastAsia="Calibri" w:hAnsi="Calibri"/>
          <w:sz w:val="22"/>
          <w:szCs w:val="22"/>
        </w:rPr>
        <w:t xml:space="preserve">Gemini CLI — GEMINI.md context files — </w:t>
      </w:r>
      <w:hyperlink w:history="1" r:id="rIdew_crtr1auadoafby8ij0">
        <w:r>
          <w:rPr>
            <w:rStyle w:val="Hyperlink"/>
            <w:rFonts w:ascii="Calibri" w:cs="Calibri" w:eastAsia="Calibri" w:hAnsi="Calibri"/>
            <w:sz w:val="22"/>
            <w:szCs w:val="22"/>
          </w:rPr>
          <w:t xml:space="preserve">https://google-gemini.github.io/gemini-cli/docs/cli/gemini-md.html</w:t>
        </w:r>
      </w:hyperlink>
    </w:p>
    <w:p>
      <w:pPr>
        <w:pStyle w:val="Heading3"/>
        <w:spacing w:after="80" w:before="200"/>
      </w:pPr>
      <w:r>
        <w:rPr>
          <w:rFonts w:ascii="Calibri" w:cs="Calibri" w:eastAsia="Calibri" w:hAnsi="Calibri"/>
        </w:rPr>
        <w:t xml:space="preserve">Cross-ecosystem patterns</w:t>
      </w:r>
    </w:p>
    <w:p>
      <w:pPr>
        <w:pStyle w:val="ListParagraph"/>
        <w:numPr>
          <w:ilvl w:val="0"/>
          <w:numId w:val="2"/>
        </w:numPr>
        <w:spacing w:after="80" w:before="40" w:line="312"/>
      </w:pPr>
      <w:r>
        <w:rPr>
          <w:rFonts w:ascii="Calibri" w:cs="Calibri" w:eastAsia="Calibri" w:hAnsi="Calibri"/>
          <w:sz w:val="22"/>
          <w:szCs w:val="22"/>
        </w:rPr>
        <w:t xml:space="preserve">agents.md (Agentic AI Foundation) — </w:t>
      </w:r>
      <w:hyperlink w:history="1" r:id="rId54xsl6zv-kxk5txoyxvpx">
        <w:r>
          <w:rPr>
            <w:rStyle w:val="Hyperlink"/>
            <w:rFonts w:ascii="Calibri" w:cs="Calibri" w:eastAsia="Calibri" w:hAnsi="Calibri"/>
            <w:sz w:val="22"/>
            <w:szCs w:val="22"/>
          </w:rPr>
          <w:t xml:space="preserve">https://agents.md/</w:t>
        </w:r>
      </w:hyperlink>
    </w:p>
    <w:p>
      <w:pPr>
        <w:pStyle w:val="ListParagraph"/>
        <w:numPr>
          <w:ilvl w:val="0"/>
          <w:numId w:val="2"/>
        </w:numPr>
        <w:spacing w:after="80" w:before="40" w:line="312"/>
      </w:pPr>
      <w:r>
        <w:rPr>
          <w:rFonts w:ascii="Calibri" w:cs="Calibri" w:eastAsia="Calibri" w:hAnsi="Calibri"/>
          <w:sz w:val="22"/>
          <w:szCs w:val="22"/>
        </w:rPr>
        <w:t xml:space="preserve">Anthropic, "Equipping agents with Agent Skills" — </w:t>
      </w:r>
      <w:hyperlink w:history="1" r:id="rIdpx-1e_3pgx2rbgbhfoof0">
        <w:r>
          <w:rPr>
            <w:rStyle w:val="Hyperlink"/>
            <w:rFonts w:ascii="Calibri" w:cs="Calibri" w:eastAsia="Calibri" w:hAnsi="Calibri"/>
            <w:sz w:val="22"/>
            <w:szCs w:val="22"/>
          </w:rPr>
          <w:t xml:space="preserve">https://www.anthropic.com/engineering/equipping-agents-for-the-real-world-with-agent-skills</w:t>
        </w:r>
      </w:hyperlink>
    </w:p>
    <w:p>
      <w:pPr>
        <w:pStyle w:val="ListParagraph"/>
        <w:numPr>
          <w:ilvl w:val="0"/>
          <w:numId w:val="2"/>
        </w:numPr>
        <w:spacing w:after="80" w:before="40" w:line="312"/>
      </w:pPr>
      <w:r>
        <w:rPr>
          <w:rFonts w:ascii="Calibri" w:cs="Calibri" w:eastAsia="Calibri" w:hAnsi="Calibri"/>
          <w:sz w:val="22"/>
          <w:szCs w:val="22"/>
        </w:rPr>
        <w:t xml:space="preserve">Simon Willison, "Claude Skills are awesome, maybe a bigger deal than MCP" — </w:t>
      </w:r>
      <w:hyperlink w:history="1" r:id="rIdqi8zu2uiydxtphlg9uc6b">
        <w:r>
          <w:rPr>
            <w:rStyle w:val="Hyperlink"/>
            <w:rFonts w:ascii="Calibri" w:cs="Calibri" w:eastAsia="Calibri" w:hAnsi="Calibri"/>
            <w:sz w:val="22"/>
            <w:szCs w:val="22"/>
          </w:rPr>
          <w:t xml:space="preserve">https://simonwillison.net/2025/Oct/16/claude-skills/</w:t>
        </w:r>
      </w:hyperlink>
    </w:p>
    <w:p>
      <w:pPr>
        <w:pStyle w:val="ListParagraph"/>
        <w:numPr>
          <w:ilvl w:val="0"/>
          <w:numId w:val="2"/>
        </w:numPr>
        <w:spacing w:after="80" w:before="40" w:line="312"/>
      </w:pPr>
      <w:r>
        <w:rPr>
          <w:rFonts w:ascii="Calibri" w:cs="Calibri" w:eastAsia="Calibri" w:hAnsi="Calibri"/>
          <w:sz w:val="22"/>
          <w:szCs w:val="22"/>
        </w:rPr>
        <w:t xml:space="preserve">Model Context Protocol — modelcontextprotocol.io — </w:t>
      </w:r>
      <w:hyperlink w:history="1" r:id="rIdcc18svifmm0ur5zuyoypf">
        <w:r>
          <w:rPr>
            <w:rStyle w:val="Hyperlink"/>
            <w:rFonts w:ascii="Calibri" w:cs="Calibri" w:eastAsia="Calibri" w:hAnsi="Calibri"/>
            <w:sz w:val="22"/>
            <w:szCs w:val="22"/>
          </w:rPr>
          <w:t xml:space="preserve">https://modelcontextprotocol.io/</w:t>
        </w:r>
      </w:hyperlink>
    </w:p>
    <w:p>
      <w:pPr>
        <w:pStyle w:val="ListParagraph"/>
        <w:numPr>
          <w:ilvl w:val="0"/>
          <w:numId w:val="2"/>
        </w:numPr>
        <w:spacing w:after="80" w:before="40" w:line="312"/>
      </w:pPr>
      <w:r>
        <w:rPr>
          <w:rFonts w:ascii="Calibri" w:cs="Calibri" w:eastAsia="Calibri" w:hAnsi="Calibri"/>
          <w:sz w:val="22"/>
          <w:szCs w:val="22"/>
        </w:rPr>
        <w:t xml:space="preserve">Cursor Rules best practices (Morph, 2026) — </w:t>
      </w:r>
      <w:hyperlink w:history="1" r:id="rId9zzvslzipwfybggyj95lw">
        <w:r>
          <w:rPr>
            <w:rStyle w:val="Hyperlink"/>
            <w:rFonts w:ascii="Calibri" w:cs="Calibri" w:eastAsia="Calibri" w:hAnsi="Calibri"/>
            <w:sz w:val="22"/>
            <w:szCs w:val="22"/>
          </w:rPr>
          <w:t xml:space="preserve">https://www.morphllm.com/cursor-rules-best-practices</w:t>
        </w:r>
      </w:hyperlink>
    </w:p>
    <w:p>
      <w:pPr>
        <w:pStyle w:val="ListParagraph"/>
        <w:numPr>
          <w:ilvl w:val="0"/>
          <w:numId w:val="2"/>
        </w:numPr>
        <w:spacing w:after="80" w:before="40" w:line="312"/>
      </w:pPr>
      <w:r>
        <w:rPr>
          <w:rFonts w:ascii="Calibri" w:cs="Calibri" w:eastAsia="Calibri" w:hAnsi="Calibri"/>
          <w:sz w:val="22"/>
          <w:szCs w:val="22"/>
        </w:rPr>
        <w:t xml:space="preserve">MCP Adoption Statistics 2026 (Digital Applied) — </w:t>
      </w:r>
      <w:hyperlink w:history="1" r:id="rId6ylsyqnabh2cmrhnpdxcr">
        <w:r>
          <w:rPr>
            <w:rStyle w:val="Hyperlink"/>
            <w:rFonts w:ascii="Calibri" w:cs="Calibri" w:eastAsia="Calibri" w:hAnsi="Calibri"/>
            <w:sz w:val="22"/>
            <w:szCs w:val="22"/>
          </w:rPr>
          <w:t xml:space="preserve">https://www.digitalapplied.com/blog/mcp-adoption-statistics-2026-model-context-protocol</w:t>
        </w:r>
      </w:hyperlink>
    </w:p>
    <w:p>
      <w:pPr>
        <w:pStyle w:val="ListParagraph"/>
        <w:numPr>
          <w:ilvl w:val="0"/>
          <w:numId w:val="2"/>
        </w:numPr>
        <w:spacing w:after="80" w:before="40" w:line="312"/>
      </w:pPr>
      <w:r>
        <w:rPr>
          <w:rFonts w:ascii="Calibri" w:cs="Calibri" w:eastAsia="Calibri" w:hAnsi="Calibri"/>
          <w:sz w:val="22"/>
          <w:szCs w:val="22"/>
        </w:rPr>
        <w:t xml:space="preserve">MCP Context Bloat (jduncan.io) — </w:t>
      </w:r>
      <w:hyperlink w:history="1" r:id="rIdazbu5rfic8t4oxunqo4i_">
        <w:r>
          <w:rPr>
            <w:rStyle w:val="Hyperlink"/>
            <w:rFonts w:ascii="Calibri" w:cs="Calibri" w:eastAsia="Calibri" w:hAnsi="Calibri"/>
            <w:sz w:val="22"/>
            <w:szCs w:val="22"/>
          </w:rPr>
          <w:t xml:space="preserve">https://jduncan.io/blog/2025-11-07-mcp-context-bloat/</w:t>
        </w:r>
      </w:hyperlink>
    </w:p>
    <w:p>
      <w:pPr>
        <w:pStyle w:val="ListParagraph"/>
        <w:numPr>
          <w:ilvl w:val="0"/>
          <w:numId w:val="2"/>
        </w:numPr>
        <w:spacing w:after="80" w:before="40" w:line="312"/>
      </w:pPr>
      <w:r>
        <w:rPr>
          <w:rFonts w:ascii="Calibri" w:cs="Calibri" w:eastAsia="Calibri" w:hAnsi="Calibri"/>
          <w:sz w:val="22"/>
          <w:szCs w:val="22"/>
        </w:rPr>
        <w:t xml:space="preserve">Inside Shopify’s AI-first engineering playbook (BVP Atlas) — </w:t>
      </w:r>
      <w:hyperlink w:history="1" r:id="rIddd_hdiky8v45vd26kxnij">
        <w:r>
          <w:rPr>
            <w:rStyle w:val="Hyperlink"/>
            <w:rFonts w:ascii="Calibri" w:cs="Calibri" w:eastAsia="Calibri" w:hAnsi="Calibri"/>
            <w:sz w:val="22"/>
            <w:szCs w:val="22"/>
          </w:rPr>
          <w:t xml:space="preserve">https://www.bvp.com/atlas/inside-shopifys-ai-first-engineering-playbook</w:t>
        </w:r>
      </w:hyperlink>
    </w:p>
    <w:p>
      <w:pPr>
        <w:pStyle w:val="ListParagraph"/>
        <w:numPr>
          <w:ilvl w:val="0"/>
          <w:numId w:val="2"/>
        </w:numPr>
        <w:spacing w:after="80" w:before="40" w:line="312"/>
      </w:pPr>
      <w:r>
        <w:rPr>
          <w:rFonts w:ascii="Calibri" w:cs="Calibri" w:eastAsia="Calibri" w:hAnsi="Calibri"/>
          <w:sz w:val="22"/>
          <w:szCs w:val="22"/>
        </w:rPr>
        <w:t xml:space="preserve">Stripe, "Can AI agents build real Stripe integrations?" — </w:t>
      </w:r>
      <w:hyperlink w:history="1" r:id="rIdv1qh-kjleio34spieghqj">
        <w:r>
          <w:rPr>
            <w:rStyle w:val="Hyperlink"/>
            <w:rFonts w:ascii="Calibri" w:cs="Calibri" w:eastAsia="Calibri" w:hAnsi="Calibri"/>
            <w:sz w:val="22"/>
            <w:szCs w:val="22"/>
          </w:rPr>
          <w:t xml:space="preserve">https://stripe.com/blog/can-ai-agents-build-real-stripe-integrations</w:t>
        </w:r>
      </w:hyperlink>
    </w:p>
    <w:p>
      <w:pPr>
        <w:pStyle w:val="Heading3"/>
        <w:spacing w:after="80" w:before="200"/>
      </w:pPr>
      <w:r>
        <w:rPr>
          <w:rFonts w:ascii="Calibri" w:cs="Calibri" w:eastAsia="Calibri" w:hAnsi="Calibri"/>
        </w:rPr>
        <w:t xml:space="preserve">Human-in-the-loop and evaluation</w:t>
      </w:r>
    </w:p>
    <w:p>
      <w:pPr>
        <w:pStyle w:val="ListParagraph"/>
        <w:numPr>
          <w:ilvl w:val="0"/>
          <w:numId w:val="2"/>
        </w:numPr>
        <w:spacing w:after="80" w:before="40" w:line="312"/>
      </w:pPr>
      <w:r>
        <w:rPr>
          <w:rFonts w:ascii="Calibri" w:cs="Calibri" w:eastAsia="Calibri" w:hAnsi="Calibri"/>
          <w:sz w:val="22"/>
          <w:szCs w:val="22"/>
        </w:rPr>
        <w:t xml:space="preserve">Swarmia, "Five levels of AI coding agent autonomy" — </w:t>
      </w:r>
      <w:hyperlink w:history="1" r:id="rId4ejto6w2ziyrbjvzsa6r5">
        <w:r>
          <w:rPr>
            <w:rStyle w:val="Hyperlink"/>
            <w:rFonts w:ascii="Calibri" w:cs="Calibri" w:eastAsia="Calibri" w:hAnsi="Calibri"/>
            <w:sz w:val="22"/>
            <w:szCs w:val="22"/>
          </w:rPr>
          <w:t xml:space="preserve">https://www.swarmia.com/blog/five-levels-ai-agent-autonomy/</w:t>
        </w:r>
      </w:hyperlink>
    </w:p>
    <w:p>
      <w:pPr>
        <w:pStyle w:val="ListParagraph"/>
        <w:numPr>
          <w:ilvl w:val="0"/>
          <w:numId w:val="2"/>
        </w:numPr>
        <w:spacing w:after="80" w:before="40" w:line="312"/>
      </w:pPr>
      <w:r>
        <w:rPr>
          <w:rFonts w:ascii="Calibri" w:cs="Calibri" w:eastAsia="Calibri" w:hAnsi="Calibri"/>
          <w:sz w:val="22"/>
          <w:szCs w:val="22"/>
        </w:rPr>
        <w:t xml:space="preserve">Anthropic, "Demystifying evals for AI agents" — </w:t>
      </w:r>
      <w:hyperlink w:history="1" r:id="rIdgv6ltkevt2u9dr8tvwbpo">
        <w:r>
          <w:rPr>
            <w:rStyle w:val="Hyperlink"/>
            <w:rFonts w:ascii="Calibri" w:cs="Calibri" w:eastAsia="Calibri" w:hAnsi="Calibri"/>
            <w:sz w:val="22"/>
            <w:szCs w:val="22"/>
          </w:rPr>
          <w:t xml:space="preserve">https://www.anthropic.com/engineering/demystifying-evals-for-ai-agents</w:t>
        </w:r>
      </w:hyperlink>
    </w:p>
    <w:p>
      <w:pPr>
        <w:pStyle w:val="ListParagraph"/>
        <w:numPr>
          <w:ilvl w:val="0"/>
          <w:numId w:val="2"/>
        </w:numPr>
        <w:spacing w:after="80" w:before="40" w:line="312"/>
      </w:pPr>
      <w:r>
        <w:rPr>
          <w:rFonts w:ascii="Calibri" w:cs="Calibri" w:eastAsia="Calibri" w:hAnsi="Calibri"/>
          <w:sz w:val="22"/>
          <w:szCs w:val="22"/>
        </w:rPr>
        <w:t xml:space="preserve">Simon Willison, "Anti-patterns in agentic engineering" — </w:t>
      </w:r>
      <w:hyperlink w:history="1" r:id="rIdwpetjhwidcth0bcs_hg8j">
        <w:r>
          <w:rPr>
            <w:rStyle w:val="Hyperlink"/>
            <w:rFonts w:ascii="Calibri" w:cs="Calibri" w:eastAsia="Calibri" w:hAnsi="Calibri"/>
            <w:sz w:val="22"/>
            <w:szCs w:val="22"/>
          </w:rPr>
          <w:t xml:space="preserve">https://simonwillison.net/guides/agentic-engineering-patterns/anti-patterns/</w:t>
        </w:r>
      </w:hyperlink>
    </w:p>
    <w:p>
      <w:pPr>
        <w:pStyle w:val="ListParagraph"/>
        <w:numPr>
          <w:ilvl w:val="0"/>
          <w:numId w:val="2"/>
        </w:numPr>
        <w:spacing w:after="80" w:before="40" w:line="312"/>
      </w:pPr>
      <w:r>
        <w:rPr>
          <w:rFonts w:ascii="Calibri" w:cs="Calibri" w:eastAsia="Calibri" w:hAnsi="Calibri"/>
          <w:sz w:val="22"/>
          <w:szCs w:val="22"/>
        </w:rPr>
        <w:t xml:space="preserve">Simon Willison, "A field guide to sandboxes for AI" — </w:t>
      </w:r>
      <w:hyperlink w:history="1" r:id="rIdpd-hp1vjksso-ksddtqwk">
        <w:r>
          <w:rPr>
            <w:rStyle w:val="Hyperlink"/>
            <w:rFonts w:ascii="Calibri" w:cs="Calibri" w:eastAsia="Calibri" w:hAnsi="Calibri"/>
            <w:sz w:val="22"/>
            <w:szCs w:val="22"/>
          </w:rPr>
          <w:t xml:space="preserve">https://www.alldevblogs.com/article/simon-willison/a-field-guide-to-sandboxes-for-ai</w:t>
        </w:r>
      </w:hyperlink>
    </w:p>
    <w:p>
      <w:pPr>
        <w:pStyle w:val="ListParagraph"/>
        <w:numPr>
          <w:ilvl w:val="0"/>
          <w:numId w:val="2"/>
        </w:numPr>
        <w:spacing w:after="80" w:before="40" w:line="312"/>
      </w:pPr>
      <w:r>
        <w:rPr>
          <w:rFonts w:ascii="Calibri" w:cs="Calibri" w:eastAsia="Calibri" w:hAnsi="Calibri"/>
          <w:sz w:val="22"/>
          <w:szCs w:val="22"/>
        </w:rPr>
        <w:t xml:space="preserve">Braintrust, "AI agent evaluation framework" — </w:t>
      </w:r>
      <w:hyperlink w:history="1" r:id="rIdmydnmswe0mli4c8ouuirc">
        <w:r>
          <w:rPr>
            <w:rStyle w:val="Hyperlink"/>
            <w:rFonts w:ascii="Calibri" w:cs="Calibri" w:eastAsia="Calibri" w:hAnsi="Calibri"/>
            <w:sz w:val="22"/>
            <w:szCs w:val="22"/>
          </w:rPr>
          <w:t xml:space="preserve">https://www.braintrust.dev/articles/ai-agent-evaluation-framework</w:t>
        </w:r>
      </w:hyperlink>
    </w:p>
    <w:p>
      <w:pPr>
        <w:pStyle w:val="ListParagraph"/>
        <w:numPr>
          <w:ilvl w:val="0"/>
          <w:numId w:val="2"/>
        </w:numPr>
        <w:spacing w:after="80" w:before="40" w:line="312"/>
      </w:pPr>
      <w:r>
        <w:rPr>
          <w:rFonts w:ascii="Calibri" w:cs="Calibri" w:eastAsia="Calibri" w:hAnsi="Calibri"/>
          <w:sz w:val="22"/>
          <w:szCs w:val="22"/>
        </w:rPr>
        <w:t xml:space="preserve">Kinde, "HITL evals at scale: golden sets, review queues, drift watch" — </w:t>
      </w:r>
      <w:hyperlink w:history="1" r:id="rIdaz_8aknm41cy0zozutzd-">
        <w:r>
          <w:rPr>
            <w:rStyle w:val="Hyperlink"/>
            <w:rFonts w:ascii="Calibri" w:cs="Calibri" w:eastAsia="Calibri" w:hAnsi="Calibri"/>
            <w:sz w:val="22"/>
            <w:szCs w:val="22"/>
          </w:rPr>
          <w:t xml:space="preserve">https://www.kinde.com/learn/ai-for-software-engineering/ai-devops/human-in-the-loop-evals-at-scale-golden-sets-review-queues-drift-watch/</w:t>
        </w:r>
      </w:hyperlink>
    </w:p>
    <w:p>
      <w:pPr>
        <w:pStyle w:val="ListParagraph"/>
        <w:numPr>
          <w:ilvl w:val="0"/>
          <w:numId w:val="2"/>
        </w:numPr>
        <w:spacing w:after="80" w:before="40" w:line="312"/>
      </w:pPr>
      <w:r>
        <w:rPr>
          <w:rFonts w:ascii="Calibri" w:cs="Calibri" w:eastAsia="Calibri" w:hAnsi="Calibri"/>
          <w:sz w:val="22"/>
          <w:szCs w:val="22"/>
        </w:rPr>
        <w:t xml:space="preserve">Strata, "Practicing the human-in-the-loop" (2026) — </w:t>
      </w:r>
      <w:hyperlink w:history="1" r:id="rIdnttsaujxy5squsum-1xx3">
        <w:r>
          <w:rPr>
            <w:rStyle w:val="Hyperlink"/>
            <w:rFonts w:ascii="Calibri" w:cs="Calibri" w:eastAsia="Calibri" w:hAnsi="Calibri"/>
            <w:sz w:val="22"/>
            <w:szCs w:val="22"/>
          </w:rPr>
          <w:t xml:space="preserve">https://www.strata.io/blog/agentic-identity/practicing-the-human-in-the-loop/</w:t>
        </w:r>
      </w:hyperlink>
    </w:p>
    <w:p>
      <w:pPr>
        <w:pStyle w:val="ListParagraph"/>
        <w:numPr>
          <w:ilvl w:val="0"/>
          <w:numId w:val="2"/>
        </w:numPr>
        <w:spacing w:after="80" w:before="40" w:line="312"/>
      </w:pPr>
      <w:r>
        <w:rPr>
          <w:rFonts w:ascii="Calibri" w:cs="Calibri" w:eastAsia="Calibri" w:hAnsi="Calibri"/>
          <w:sz w:val="22"/>
          <w:szCs w:val="22"/>
        </w:rPr>
        <w:t xml:space="preserve">Vercel, "Eval-driven development" — </w:t>
      </w:r>
      <w:hyperlink w:history="1" r:id="rIdmce4p_raoloyeay2hjk08">
        <w:r>
          <w:rPr>
            <w:rStyle w:val="Hyperlink"/>
            <w:rFonts w:ascii="Calibri" w:cs="Calibri" w:eastAsia="Calibri" w:hAnsi="Calibri"/>
            <w:sz w:val="22"/>
            <w:szCs w:val="22"/>
          </w:rPr>
          <w:t xml:space="preserve">https://vercel.com/blog/eval-driven-development-build-better-ai-faster</w:t>
        </w:r>
      </w:hyperlink>
    </w:p>
    <w:p>
      <w:pPr>
        <w:pStyle w:val="ListParagraph"/>
        <w:numPr>
          <w:ilvl w:val="0"/>
          <w:numId w:val="2"/>
        </w:numPr>
        <w:spacing w:after="80" w:before="40" w:line="312"/>
      </w:pPr>
      <w:r>
        <w:rPr>
          <w:rFonts w:ascii="Calibri" w:cs="Calibri" w:eastAsia="Calibri" w:hAnsi="Calibri"/>
          <w:sz w:val="22"/>
          <w:szCs w:val="22"/>
        </w:rPr>
        <w:t xml:space="preserve">Pragmatic Engineer, "How AI is changing software engineering" (Shopify, Asana, etc.) — </w:t>
      </w:r>
      <w:hyperlink w:history="1" r:id="rId8zkewr_-mshcok0nzyxns">
        <w:r>
          <w:rPr>
            <w:rStyle w:val="Hyperlink"/>
            <w:rFonts w:ascii="Calibri" w:cs="Calibri" w:eastAsia="Calibri" w:hAnsi="Calibri"/>
            <w:sz w:val="22"/>
            <w:szCs w:val="22"/>
          </w:rPr>
          <w:t xml:space="preserve">https://newsletter.pragmaticengineer.com/p/how-ai-is-changing-software-engineering</w:t>
        </w:r>
      </w:hyperlink>
    </w:p>
    <w:p>
      <w:pPr>
        <w:pStyle w:val="Heading3"/>
        <w:spacing w:after="80" w:before="200"/>
      </w:pPr>
      <w:r>
        <w:rPr>
          <w:rFonts w:ascii="Calibri" w:cs="Calibri" w:eastAsia="Calibri" w:hAnsi="Calibri"/>
        </w:rPr>
        <w:t xml:space="preserve">A note on the references</w:t>
      </w:r>
    </w:p>
    <w:p>
      <w:pPr>
        <w:spacing w:after="120" w:before="80" w:line="312"/>
        <w:jc w:val="both"/>
      </w:pPr>
      <w:r>
        <w:rPr>
          <w:rFonts w:ascii="Calibri" w:cs="Calibri" w:eastAsia="Calibri" w:hAnsi="Calibri"/>
          <w:sz w:val="22"/>
          <w:szCs w:val="22"/>
        </w:rPr>
        <w:t xml:space="preserve">Where the playbook cites internal Google practice (Goose, Critique behaviors, the OCTO post, the int32→int64 migration), the cited Google publications are the source of record. Where it cites broader patterns (AGENTS.md, Skills, MCP, autonomy taxonomy, eval primitives), the references are the strongest public articulations the audit surfaced; treat them as starting points rather than gospel and adapt to your team’s specific constraints.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v1.0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AI-Native Engineering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F6FE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44"/>
      <w:szCs w:val="44"/>
    </w:rPr>
  </w:style>
  <w:style w:type="paragraph" w:styleId="Heading2">
    <w:name w:val="Heading 2"/>
    <w:basedOn w:val="Normal"/>
    <w:next w:val="Normal"/>
    <w:qFormat/>
    <w:pPr>
      <w:spacing w:after="120" w:before="280"/>
      <w:outlineLvl w:val="1"/>
    </w:pPr>
    <w:rPr>
      <w:rFonts w:ascii="Calibri" w:cs="Calibri" w:eastAsia="Calibri" w:hAnsi="Calibri"/>
      <w:b/>
      <w:bCs/>
      <w:color w:val="1F3864"/>
      <w:sz w:val="32"/>
      <w:szCs w:val="32"/>
    </w:rPr>
  </w:style>
  <w:style w:type="paragraph" w:styleId="Heading3">
    <w:name w:val="Heading 3"/>
    <w:basedOn w:val="Normal"/>
    <w:next w:val="Normal"/>
    <w:qFormat/>
    <w:pPr>
      <w:spacing w:after="80" w:before="200"/>
      <w:outlineLvl w:val="2"/>
    </w:pPr>
    <w:rPr>
      <w:rFonts w:ascii="Calibri" w:cs="Calibri" w:eastAsia="Calibri" w:hAnsi="Calibri"/>
      <w:b/>
      <w:bCs/>
      <w:color w:val="2E5C8A"/>
      <w:sz w:val="26"/>
      <w:szCs w:val="26"/>
    </w:rPr>
  </w:style>
  <w:style w:type="paragraph" w:styleId="Hyperlink">
    <w:name w:val="Hyperlink"/>
    <w:basedOn w:val="Normal"/>
    <w:qFormat/>
    <w:rPr>
      <w:color w:val="1F6FEB"/>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tbreg2iofedu-_qmb8og" Type="http://schemas.openxmlformats.org/officeDocument/2006/relationships/hyperlink" Target="https://research.google/blog/ai-in-software-engineering-at-google-progress-and-the-path-ahead/" TargetMode="External"/><Relationship Id="rId0uwnjeshb-tltcwrqnxxk" Type="http://schemas.openxmlformats.org/officeDocument/2006/relationships/hyperlink" Target="https://research.google/blog/resolving-code-review-comments-with-ml/" TargetMode="External"/><Relationship Id="rId9pqvawzr6fwklzykkhpxm" Type="http://schemas.openxmlformats.org/officeDocument/2006/relationships/hyperlink" Target="https://research.google/blog/accelerating-code-migrations-with-ai/" TargetMode="External"/><Relationship Id="rIdzxwoo4ygh5qzk_a2cnkrq" Type="http://schemas.openxmlformats.org/officeDocument/2006/relationships/hyperlink" Target="https://blog.research.google/2023/05/large-sequence-models-for-software.html" TargetMode="External"/><Relationship Id="rIdmepgcyto5vcezj9hiorkp" Type="http://schemas.openxmlformats.org/officeDocument/2006/relationships/hyperlink" Target="https://arxiv.org/abs/2601.19964" TargetMode="External"/><Relationship Id="rIdj8npmrcuxpv7vbo3rntyr" Type="http://schemas.openxmlformats.org/officeDocument/2006/relationships/hyperlink" Target="https://cloud.google.com/transform/when-ai-writes-the-code-who-reviews-it-cto-google-cloud" TargetMode="External"/><Relationship Id="rId4byshrmlgteswlujv1szx" Type="http://schemas.openxmlformats.org/officeDocument/2006/relationships/hyperlink" Target="https://services.google.com/fh/files/misc/2025_state_of_ai_assisted_software_development.pdf" TargetMode="External"/><Relationship Id="rIdfaohy5xcffx6exzbjf-q2" Type="http://schemas.openxmlformats.org/officeDocument/2006/relationships/hyperlink" Target="https://abseil.io/resources/swe-book/html/ch19.html" TargetMode="External"/><Relationship Id="rIdzp6rm6pdobwr3l51zdc0u" Type="http://schemas.openxmlformats.org/officeDocument/2006/relationships/hyperlink" Target="https://support.google.com/gemini/answer/15235603?hl=en" TargetMode="External"/><Relationship Id="rId7jyx9lnay7nr-uke5hwjp" Type="http://schemas.openxmlformats.org/officeDocument/2006/relationships/hyperlink" Target="https://workspace.google.com/blog/product-announcements/5-ways-to-boost-your-teams-productivity-with-the-gemini-app-featuring-new-sharable-gems" TargetMode="External"/><Relationship Id="rId_p_gdqtl_yqzpldh7oqgw" Type="http://schemas.openxmlformats.org/officeDocument/2006/relationships/hyperlink" Target="https://cloud.google.com/resources/notebooklm-enterprise" TargetMode="External"/><Relationship Id="rIdrkfbb6fshxys9tblif0rj" Type="http://schemas.openxmlformats.org/officeDocument/2006/relationships/hyperlink" Target="https://support.google.com/notebooklm/answer/16212820?hl=en" TargetMode="External"/><Relationship Id="rId3shhytralhuzpm46uu8ol" Type="http://schemas.openxmlformats.org/officeDocument/2006/relationships/hyperlink" Target="https://docs.cloud.google.com/gemini/docs/codeassist/code-customization" TargetMode="External"/><Relationship Id="rIdk6qd99hns3wv5tfy91uby" Type="http://schemas.openxmlformats.org/officeDocument/2006/relationships/hyperlink" Target="https://developers.google.com/gemini-code-assist/docs/code-review-style-guide" TargetMode="External"/><Relationship Id="rIdznsba5gxxkew_czv_bxg3" Type="http://schemas.openxmlformats.org/officeDocument/2006/relationships/hyperlink" Target="https://cloud.google.com/blog/products/ai-machine-learning/introducing-gemini-enterprise-agent-platform" TargetMode="External"/><Relationship Id="rId1vy-q24l8njx516dc1hj5" Type="http://schemas.openxmlformats.org/officeDocument/2006/relationships/hyperlink" Target="https://cloud.google.com/blog/products/ai-machine-learning/announcing-official-mcp-support-for-google-services" TargetMode="External"/><Relationship Id="rIdbzbbqnmcidvgjz2y224zt" Type="http://schemas.openxmlformats.org/officeDocument/2006/relationships/hyperlink" Target="https://google-gemini.github.io/gemini-cli/docs/tools/mcp-server.html" TargetMode="External"/><Relationship Id="rIdew_crtr1auadoafby8ij0" Type="http://schemas.openxmlformats.org/officeDocument/2006/relationships/hyperlink" Target="https://google-gemini.github.io/gemini-cli/docs/cli/gemini-md.html" TargetMode="External"/><Relationship Id="rId54xsl6zv-kxk5txoyxvpx" Type="http://schemas.openxmlformats.org/officeDocument/2006/relationships/hyperlink" Target="https://agents.md/" TargetMode="External"/><Relationship Id="rIdpx-1e_3pgx2rbgbhfoof0" Type="http://schemas.openxmlformats.org/officeDocument/2006/relationships/hyperlink" Target="https://www.anthropic.com/engineering/equipping-agents-for-the-real-world-with-agent-skills" TargetMode="External"/><Relationship Id="rIdqi8zu2uiydxtphlg9uc6b" Type="http://schemas.openxmlformats.org/officeDocument/2006/relationships/hyperlink" Target="https://simonwillison.net/2025/Oct/16/claude-skills/" TargetMode="External"/><Relationship Id="rIdcc18svifmm0ur5zuyoypf" Type="http://schemas.openxmlformats.org/officeDocument/2006/relationships/hyperlink" Target="https://modelcontextprotocol.io/" TargetMode="External"/><Relationship Id="rId9zzvslzipwfybggyj95lw" Type="http://schemas.openxmlformats.org/officeDocument/2006/relationships/hyperlink" Target="https://www.morphllm.com/cursor-rules-best-practices" TargetMode="External"/><Relationship Id="rId6ylsyqnabh2cmrhnpdxcr" Type="http://schemas.openxmlformats.org/officeDocument/2006/relationships/hyperlink" Target="https://www.digitalapplied.com/blog/mcp-adoption-statistics-2026-model-context-protocol" TargetMode="External"/><Relationship Id="rIdazbu5rfic8t4oxunqo4i_" Type="http://schemas.openxmlformats.org/officeDocument/2006/relationships/hyperlink" Target="https://jduncan.io/blog/2025-11-07-mcp-context-bloat/" TargetMode="External"/><Relationship Id="rIddd_hdiky8v45vd26kxnij" Type="http://schemas.openxmlformats.org/officeDocument/2006/relationships/hyperlink" Target="https://www.bvp.com/atlas/inside-shopifys-ai-first-engineering-playbook" TargetMode="External"/><Relationship Id="rIdv1qh-kjleio34spieghqj" Type="http://schemas.openxmlformats.org/officeDocument/2006/relationships/hyperlink" Target="https://stripe.com/blog/can-ai-agents-build-real-stripe-integrations" TargetMode="External"/><Relationship Id="rId4ejto6w2ziyrbjvzsa6r5" Type="http://schemas.openxmlformats.org/officeDocument/2006/relationships/hyperlink" Target="https://www.swarmia.com/blog/five-levels-ai-agent-autonomy/" TargetMode="External"/><Relationship Id="rIdgv6ltkevt2u9dr8tvwbpo" Type="http://schemas.openxmlformats.org/officeDocument/2006/relationships/hyperlink" Target="https://www.anthropic.com/engineering/demystifying-evals-for-ai-agents" TargetMode="External"/><Relationship Id="rIdwpetjhwidcth0bcs_hg8j" Type="http://schemas.openxmlformats.org/officeDocument/2006/relationships/hyperlink" Target="https://simonwillison.net/guides/agentic-engineering-patterns/anti-patterns/" TargetMode="External"/><Relationship Id="rIdpd-hp1vjksso-ksddtqwk" Type="http://schemas.openxmlformats.org/officeDocument/2006/relationships/hyperlink" Target="https://www.alldevblogs.com/article/simon-willison/a-field-guide-to-sandboxes-for-ai" TargetMode="External"/><Relationship Id="rIdmydnmswe0mli4c8ouuirc" Type="http://schemas.openxmlformats.org/officeDocument/2006/relationships/hyperlink" Target="https://www.braintrust.dev/articles/ai-agent-evaluation-framework" TargetMode="External"/><Relationship Id="rIdaz_8aknm41cy0zozutzd-" Type="http://schemas.openxmlformats.org/officeDocument/2006/relationships/hyperlink" Target="https://www.kinde.com/learn/ai-for-software-engineering/ai-devops/human-in-the-loop-evals-at-scale-golden-sets-review-queues-drift-watch/" TargetMode="External"/><Relationship Id="rIdnttsaujxy5squsum-1xx3" Type="http://schemas.openxmlformats.org/officeDocument/2006/relationships/hyperlink" Target="https://www.strata.io/blog/agentic-identity/practicing-the-human-in-the-loop/" TargetMode="External"/><Relationship Id="rIdmce4p_raoloyeay2hjk08" Type="http://schemas.openxmlformats.org/officeDocument/2006/relationships/hyperlink" Target="https://vercel.com/blog/eval-driven-development-build-better-ai-faster" TargetMode="External"/><Relationship Id="rId8zkewr_-mshcok0nzyxns" Type="http://schemas.openxmlformats.org/officeDocument/2006/relationships/hyperlink" Target="https://newsletter.pragmaticengineer.com/p/how-ai-is-changing-software-engineering"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AI-Native Engineering at Google: A Team Playbook</dc:title>
  <dc:creator>Vikas</dc:creator>
  <cp:lastModifiedBy>Un-named</cp:lastModifiedBy>
  <cp:revision>1</cp:revision>
  <dcterms:created xsi:type="dcterms:W3CDTF">2026-05-23T09:18:31.581Z</dcterms:created>
  <dcterms:modified xsi:type="dcterms:W3CDTF">2026-05-23T09:18:31.581Z</dcterms:modified>
</cp:coreProperties>
</file>

<file path=docProps/custom.xml><?xml version="1.0" encoding="utf-8"?>
<Properties xmlns="http://schemas.openxmlformats.org/officeDocument/2006/custom-properties" xmlns:vt="http://schemas.openxmlformats.org/officeDocument/2006/docPropsVTypes"/>
</file>