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2B"/>
          <w:sz w:val="46"/>
        </w:rPr>
        <w:t>AgriFlow Foods</w:t>
      </w:r>
    </w:p>
    <w:p>
      <w:pPr>
        <w:jc w:val="center"/>
      </w:pPr>
      <w:r>
        <w:rPr>
          <w:sz w:val="22"/>
        </w:rPr>
        <w:t>Power BI Executive Control Tower — Build Reference</w:t>
      </w:r>
    </w:p>
    <w:p>
      <w:pPr>
        <w:pStyle w:val="Heading1"/>
      </w:pPr>
      <w:r>
        <w:t>1. Model</w:t>
      </w:r>
    </w:p>
    <w:p>
      <w:pPr>
        <w:pStyle w:val="ListBullet"/>
      </w:pPr>
      <w:r>
        <w:t>Dimensions: Farms, Products, Warehouses, Carriers, Customers, Date.</w:t>
      </w:r>
    </w:p>
    <w:p>
      <w:pPr>
        <w:pStyle w:val="ListBullet"/>
      </w:pPr>
      <w:r>
        <w:t>Facts: Harvest Lots, Quality Inspections, Inbound Shipments, Inventory Lot Status, Customer Orders, Outbound Shipments, Weather, Market Prices, Procurement Contracts.</w:t>
      </w:r>
    </w:p>
    <w:p>
      <w:pPr>
        <w:pStyle w:val="ListBullet"/>
      </w:pPr>
      <w:r>
        <w:t>Bridge: Lot Allocations connects customer orders back to harvest lots.</w:t>
      </w:r>
    </w:p>
    <w:p>
      <w:pPr>
        <w:pStyle w:val="ListBullet"/>
      </w:pPr>
      <w:r>
        <w:t>Preserve lot_id as a traceability key; do not aggregate it away in the model.</w:t>
      </w:r>
    </w:p>
    <w:p>
      <w:pPr>
        <w:pStyle w:val="Heading1"/>
      </w:pPr>
      <w:r>
        <w:t>2. Page 1 — Executive Control Tower</w:t>
      </w:r>
    </w:p>
    <w:p>
      <w:pPr>
        <w:pStyle w:val="ListBullet"/>
      </w:pPr>
      <w:r>
        <w:t>Cards: procurement spend, quality rejection, inbound loss, spoilage value, fill rate, OTIF, forecast WAPE.</w:t>
      </w:r>
    </w:p>
    <w:p>
      <w:pPr>
        <w:pStyle w:val="ListBullet"/>
      </w:pPr>
      <w:r>
        <w:t>Loss waterfall from source quality through customer rejection.</w:t>
      </w:r>
    </w:p>
    <w:p>
      <w:pPr>
        <w:pStyle w:val="ListBullet"/>
      </w:pPr>
      <w:r>
        <w:t>Monthly trend + top intervention callouts.</w:t>
      </w:r>
    </w:p>
    <w:p>
      <w:pPr>
        <w:pStyle w:val="Heading1"/>
      </w:pPr>
      <w:r>
        <w:t>3. Page 2 — Farm &amp; Supplier Performance</w:t>
      </w:r>
    </w:p>
    <w:p>
      <w:pPr>
        <w:pStyle w:val="ListBullet"/>
      </w:pPr>
      <w:r>
        <w:t>Supplier score, yield attainment, grade/reject rate, pesticide compliance, PPV.</w:t>
      </w:r>
    </w:p>
    <w:p>
      <w:pPr>
        <w:pStyle w:val="ListBullet"/>
      </w:pPr>
      <w:r>
        <w:t>Region/certification/irrigation cuts.</w:t>
      </w:r>
    </w:p>
    <w:p>
      <w:pPr>
        <w:pStyle w:val="ListBullet"/>
      </w:pPr>
      <w:r>
        <w:t>High-spend high-risk supplier table.</w:t>
      </w:r>
    </w:p>
    <w:p>
      <w:pPr>
        <w:pStyle w:val="Heading1"/>
      </w:pPr>
      <w:r>
        <w:t>4. Page 3 — Inbound Logistics &amp; Cold Chain</w:t>
      </w:r>
    </w:p>
    <w:p>
      <w:pPr>
        <w:pStyle w:val="ListBullet"/>
      </w:pPr>
      <w:r>
        <w:t>Carrier score, delay, freight/kg, loss rate and temperature excursion.</w:t>
      </w:r>
    </w:p>
    <w:p>
      <w:pPr>
        <w:pStyle w:val="ListBullet"/>
      </w:pPr>
      <w:r>
        <w:t>Storage-class and carrier drilldowns.</w:t>
      </w:r>
    </w:p>
    <w:p>
      <w:pPr>
        <w:pStyle w:val="Heading1"/>
      </w:pPr>
      <w:r>
        <w:t>5. Page 4 — Inventory / Shelf Life / FEFO</w:t>
      </w:r>
    </w:p>
    <w:p>
      <w:pPr>
        <w:pStyle w:val="ListBullet"/>
      </w:pPr>
      <w:r>
        <w:t>Ageing buckets, days-to-expiry, spoilage value, critical lots.</w:t>
      </w:r>
    </w:p>
    <w:p>
      <w:pPr>
        <w:pStyle w:val="ListBullet"/>
      </w:pPr>
      <w:r>
        <w:t>Warehouse/product exception queue.</w:t>
      </w:r>
    </w:p>
    <w:p>
      <w:pPr>
        <w:pStyle w:val="Heading1"/>
      </w:pPr>
      <w:r>
        <w:t>6. Page 5 — Demand &amp; S&amp;OP</w:t>
      </w:r>
    </w:p>
    <w:p>
      <w:pPr>
        <w:pStyle w:val="ListBullet"/>
      </w:pPr>
      <w:r>
        <w:t>Actual vs forecast, WAPE, safety stock and reorder point.</w:t>
      </w:r>
    </w:p>
    <w:p>
      <w:pPr>
        <w:pStyle w:val="ListBullet"/>
      </w:pPr>
      <w:r>
        <w:t>Overlay perishability/shelf life to avoid overstocking fresh products.</w:t>
      </w:r>
    </w:p>
    <w:p>
      <w:pPr>
        <w:pStyle w:val="Heading1"/>
      </w:pPr>
      <w:r>
        <w:t>7. Page 6 — Customer Service &amp; Margin</w:t>
      </w:r>
    </w:p>
    <w:p>
      <w:pPr>
        <w:pStyle w:val="ListBullet"/>
      </w:pPr>
      <w:r>
        <w:t>Fill, OTIF, customer rejection, unfilled-sales proxy, landed-cost/gross-margin outputs.</w:t>
      </w:r>
    </w:p>
    <w:p>
      <w:pPr>
        <w:pStyle w:val="Heading1"/>
      </w:pPr>
      <w:r>
        <w:t>8. Page 7 — Traceability &amp; Recall</w:t>
      </w:r>
    </w:p>
    <w:p>
      <w:pPr>
        <w:pStyle w:val="ListBullet"/>
      </w:pPr>
      <w:r>
        <w:t>Lot selector → source farm → warehouse → impacted orders/customers.</w:t>
      </w:r>
    </w:p>
    <w:p>
      <w:pPr>
        <w:pStyle w:val="ListBullet"/>
      </w:pPr>
      <w:r>
        <w:t>Recall exposure quantity and sales value.</w:t>
      </w:r>
    </w:p>
    <w:p>
      <w:pPr>
        <w:pStyle w:val="Heading1"/>
      </w:pPr>
      <w:r>
        <w:t>9. DAX Starter Layer</w:t>
      </w:r>
    </w:p>
    <w:p>
      <w:r>
        <w:t>Use `05_PowerBI/01_DAX_Measures.dax` as the starter metric layer. Add a proper Date table before time-intelligence measures and use solution CSV outputs for forecasting/safety-stock pages if you do not rebuild those models inside Power BI.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