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315C2B"/>
          <w:sz w:val="46"/>
        </w:rPr>
        <w:t>AgriFlow Foods</w:t>
      </w:r>
    </w:p>
    <w:p>
      <w:pPr>
        <w:jc w:val="center"/>
      </w:pPr>
      <w:r>
        <w:rPr>
          <w:sz w:val="22"/>
        </w:rPr>
        <w:t>Agricultural Supply Chain Analytics — Instructor Solution Report</w:t>
      </w:r>
    </w:p>
    <w:p>
      <w:pPr>
        <w:pStyle w:val="Heading1"/>
      </w:pPr>
      <w:r>
        <w:t>1. Executive Baseline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315C2B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5112"/>
            <w:shd w:fill="315C2B"/>
          </w:tcPr>
          <w:p>
            <w:r>
              <w:rPr>
                <w:b/>
                <w:color w:val="FFFFFF"/>
              </w:rPr>
              <w:t>Reference Result</w:t>
            </w:r>
          </w:p>
        </w:tc>
      </w:tr>
      <w:tr>
        <w:tc>
          <w:tcPr>
            <w:tcW w:type="dxa" w:w="5112"/>
          </w:tcPr>
          <w:p>
            <w:r>
              <w:t>Procurement spend</w:t>
            </w:r>
          </w:p>
        </w:tc>
        <w:tc>
          <w:tcPr>
            <w:tcW w:type="dxa" w:w="5112"/>
          </w:tcPr>
          <w:p>
            <w:r>
              <w:t>INR 47.6 bn</w:t>
            </w:r>
          </w:p>
        </w:tc>
      </w:tr>
      <w:tr>
        <w:tc>
          <w:tcPr>
            <w:tcW w:type="dxa" w:w="5112"/>
          </w:tcPr>
          <w:p>
            <w:r>
              <w:t>Net sales in customer-order feed</w:t>
            </w:r>
          </w:p>
        </w:tc>
        <w:tc>
          <w:tcPr>
            <w:tcW w:type="dxa" w:w="5112"/>
          </w:tcPr>
          <w:p>
            <w:r>
              <w:t>INR 7.5 bn</w:t>
            </w:r>
          </w:p>
        </w:tc>
      </w:tr>
      <w:tr>
        <w:tc>
          <w:tcPr>
            <w:tcW w:type="dxa" w:w="5112"/>
          </w:tcPr>
          <w:p>
            <w:r>
              <w:t>Average fill rate</w:t>
            </w:r>
          </w:p>
        </w:tc>
        <w:tc>
          <w:tcPr>
            <w:tcW w:type="dxa" w:w="5112"/>
          </w:tcPr>
          <w:p>
            <w:r>
              <w:t>94.1%</w:t>
            </w:r>
          </w:p>
        </w:tc>
      </w:tr>
      <w:tr>
        <w:tc>
          <w:tcPr>
            <w:tcW w:type="dxa" w:w="5112"/>
          </w:tcPr>
          <w:p>
            <w:r>
              <w:t>Strict project OTIF</w:t>
            </w:r>
          </w:p>
        </w:tc>
        <w:tc>
          <w:tcPr>
            <w:tcW w:type="dxa" w:w="5112"/>
          </w:tcPr>
          <w:p>
            <w:r>
              <w:t>10.9%</w:t>
            </w:r>
          </w:p>
        </w:tc>
      </w:tr>
      <w:tr>
        <w:tc>
          <w:tcPr>
            <w:tcW w:type="dxa" w:w="5112"/>
          </w:tcPr>
          <w:p>
            <w:r>
              <w:t>Quality rejection rate</w:t>
            </w:r>
          </w:p>
        </w:tc>
        <w:tc>
          <w:tcPr>
            <w:tcW w:type="dxa" w:w="5112"/>
          </w:tcPr>
          <w:p>
            <w:r>
              <w:t>6.2%</w:t>
            </w:r>
          </w:p>
        </w:tc>
      </w:tr>
      <w:tr>
        <w:tc>
          <w:tcPr>
            <w:tcW w:type="dxa" w:w="5112"/>
          </w:tcPr>
          <w:p>
            <w:r>
              <w:t>Transport loss rate</w:t>
            </w:r>
          </w:p>
        </w:tc>
        <w:tc>
          <w:tcPr>
            <w:tcW w:type="dxa" w:w="5112"/>
          </w:tcPr>
          <w:p>
            <w:r>
              <w:t>5.8%</w:t>
            </w:r>
          </w:p>
        </w:tc>
      </w:tr>
      <w:tr>
        <w:tc>
          <w:tcPr>
            <w:tcW w:type="dxa" w:w="5112"/>
          </w:tcPr>
          <w:p>
            <w:r>
              <w:t>Temperature-excursion rate</w:t>
            </w:r>
          </w:p>
        </w:tc>
        <w:tc>
          <w:tcPr>
            <w:tcW w:type="dxa" w:w="5112"/>
          </w:tcPr>
          <w:p>
            <w:r>
              <w:t>52.9%</w:t>
            </w:r>
          </w:p>
        </w:tc>
      </w:tr>
      <w:tr>
        <w:tc>
          <w:tcPr>
            <w:tcW w:type="dxa" w:w="5112"/>
          </w:tcPr>
          <w:p>
            <w:r>
              <w:t>Current spoilage value</w:t>
            </w:r>
          </w:p>
        </w:tc>
        <w:tc>
          <w:tcPr>
            <w:tcW w:type="dxa" w:w="5112"/>
          </w:tcPr>
          <w:p>
            <w:r>
              <w:t>INR 578.8 m</w:t>
            </w:r>
          </w:p>
        </w:tc>
      </w:tr>
      <w:tr>
        <w:tc>
          <w:tcPr>
            <w:tcW w:type="dxa" w:w="5112"/>
          </w:tcPr>
          <w:p>
            <w:r>
              <w:t>Forecast holdout WAPE</w:t>
            </w:r>
          </w:p>
        </w:tc>
        <w:tc>
          <w:tcPr>
            <w:tcW w:type="dxa" w:w="5112"/>
          </w:tcPr>
          <w:p>
            <w:r>
              <w:t>10.4%</w:t>
            </w:r>
          </w:p>
        </w:tc>
      </w:tr>
      <w:tr>
        <w:tc>
          <w:tcPr>
            <w:tcW w:type="dxa" w:w="5112"/>
          </w:tcPr>
          <w:p>
            <w:r>
              <w:t>Simulated recall lot</w:t>
            </w:r>
          </w:p>
        </w:tc>
        <w:tc>
          <w:tcPr>
            <w:tcW w:type="dxa" w:w="5112"/>
          </w:tcPr>
          <w:p>
            <w:r>
              <w:t>LOT0005168</w:t>
            </w:r>
          </w:p>
        </w:tc>
      </w:tr>
      <w:tr>
        <w:tc>
          <w:tcPr>
            <w:tcW w:type="dxa" w:w="5112"/>
          </w:tcPr>
          <w:p>
            <w:r>
              <w:t>Recall-affected customers</w:t>
            </w:r>
          </w:p>
        </w:tc>
        <w:tc>
          <w:tcPr>
            <w:tcW w:type="dxa" w:w="5112"/>
          </w:tcPr>
          <w:p>
            <w:r>
              <w:t>19</w:t>
            </w:r>
          </w:p>
        </w:tc>
      </w:tr>
    </w:tbl>
    <w:p>
      <w:r>
        <w:t>The OTIF definition in this training case is deliberately strict (in-full and on/before promised date), creating a visibly underperforming baseline that learners must diagnose rather than normalize away.</w:t>
      </w:r>
    </w:p>
    <w:p>
      <w:pPr>
        <w:pStyle w:val="Heading1"/>
      </w:pPr>
      <w:r>
        <w:t>2. Supplier / Procurement Diagnosis</w:t>
      </w:r>
    </w:p>
    <w:p>
      <w:r>
        <w:drawing>
          <wp:inline xmlns:a="http://schemas.openxmlformats.org/drawingml/2006/main" xmlns:pic="http://schemas.openxmlformats.org/drawingml/2006/picture">
            <wp:extent cx="5943600" cy="33432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supplier_risk_spen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Supplier ranking should combine yield attainment, quality acceptance, compliance and procurement price variance. A low farm-gate price is not necessarily a good sourcing decision if it increases reject, delay or loss downstream.</w:t>
      </w:r>
    </w:p>
    <w:p>
      <w:pPr>
        <w:pStyle w:val="Heading1"/>
      </w:pPr>
      <w:r>
        <w:t>3. Cold Chain &amp; Logistics</w:t>
      </w:r>
    </w:p>
    <w:p>
      <w:r>
        <w:drawing>
          <wp:inline xmlns:a="http://schemas.openxmlformats.org/drawingml/2006/main" xmlns:pic="http://schemas.openxmlformats.org/drawingml/2006/picture">
            <wp:extent cx="5943600" cy="35661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arrier_scor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Approximately 52.9% of inbound shipments record more than two hours of temperature excursion in the synthetic baseline. The appropriate response is lane/carrier/product targeting, not blanket cold-chain capex.</w:t>
      </w:r>
    </w:p>
    <w:p>
      <w:pPr>
        <w:pStyle w:val="Heading1"/>
      </w:pPr>
      <w:r>
        <w:t>4. Warehouse / Shelf-Life / Spoilage</w:t>
      </w:r>
    </w:p>
    <w:p>
      <w:r>
        <w:drawing>
          <wp:inline xmlns:a="http://schemas.openxmlformats.org/drawingml/2006/main" xmlns:pic="http://schemas.openxmlformats.org/drawingml/2006/picture">
            <wp:extent cx="5943600" cy="35661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warehouse_spoil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The current residual-stock spoilage value is approximately INR 578.8m. Use warehouse, product, remaining shelf life and temperature history to isolate where FEFO, planning or cold-storage controls have the greatest value.</w:t>
      </w:r>
    </w:p>
    <w:p>
      <w:pPr>
        <w:pStyle w:val="Heading1"/>
      </w:pPr>
      <w:r>
        <w:t>5. Demand Forecasting &amp; Inventory Policy</w:t>
      </w:r>
    </w:p>
    <w:p>
      <w:r>
        <w:drawing>
          <wp:inline xmlns:a="http://schemas.openxmlformats.org/drawingml/2006/main" xmlns:pic="http://schemas.openxmlformats.org/drawingml/2006/picture">
            <wp:extent cx="6035040" cy="30175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forecast_holdou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017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The reference lag-based Random Forest produces a holdout WAPE of 10.4%. Learners should then translate forecast/demand variability and average lead time into product-specific safety stock and reorder points, while considering shelf life for perishable items.</w:t>
      </w:r>
    </w:p>
    <w:p>
      <w:pPr>
        <w:pStyle w:val="Heading1"/>
      </w:pPr>
      <w:r>
        <w:t>6. Traceability / Recall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315C2B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5112"/>
            <w:shd w:fill="315C2B"/>
          </w:tcPr>
          <w:p>
            <w:r>
              <w:rPr>
                <w:b/>
                <w:color w:val="FFFFFF"/>
              </w:rPr>
              <w:t>Reference</w:t>
            </w:r>
          </w:p>
        </w:tc>
      </w:tr>
      <w:tr>
        <w:tc>
          <w:tcPr>
            <w:tcW w:type="dxa" w:w="5112"/>
          </w:tcPr>
          <w:p>
            <w:r>
              <w:t>Suspect lot</w:t>
            </w:r>
          </w:p>
        </w:tc>
        <w:tc>
          <w:tcPr>
            <w:tcW w:type="dxa" w:w="5112"/>
          </w:tcPr>
          <w:p>
            <w:r>
              <w:t>LOT0005168</w:t>
            </w:r>
          </w:p>
        </w:tc>
      </w:tr>
      <w:tr>
        <w:tc>
          <w:tcPr>
            <w:tcW w:type="dxa" w:w="5112"/>
          </w:tcPr>
          <w:p>
            <w:r>
              <w:t>Affected orders</w:t>
            </w:r>
          </w:p>
        </w:tc>
        <w:tc>
          <w:tcPr>
            <w:tcW w:type="dxa" w:w="5112"/>
          </w:tcPr>
          <w:p>
            <w:r>
              <w:t>20</w:t>
            </w:r>
          </w:p>
        </w:tc>
      </w:tr>
      <w:tr>
        <w:tc>
          <w:tcPr>
            <w:tcW w:type="dxa" w:w="5112"/>
          </w:tcPr>
          <w:p>
            <w:r>
              <w:t>Affected customers</w:t>
            </w:r>
          </w:p>
        </w:tc>
        <w:tc>
          <w:tcPr>
            <w:tcW w:type="dxa" w:w="5112"/>
          </w:tcPr>
          <w:p>
            <w:r>
              <w:t>19</w:t>
            </w:r>
          </w:p>
        </w:tc>
      </w:tr>
      <w:tr>
        <w:tc>
          <w:tcPr>
            <w:tcW w:type="dxa" w:w="5112"/>
          </w:tcPr>
          <w:p>
            <w:r>
              <w:t>Allocated quantity kg</w:t>
            </w:r>
          </w:p>
        </w:tc>
        <w:tc>
          <w:tcPr>
            <w:tcW w:type="dxa" w:w="5112"/>
          </w:tcPr>
          <w:p>
            <w:r>
              <w:t>65,071</w:t>
            </w:r>
          </w:p>
        </w:tc>
      </w:tr>
      <w:tr>
        <w:tc>
          <w:tcPr>
            <w:tcW w:type="dxa" w:w="5112"/>
          </w:tcPr>
          <w:p>
            <w:r>
              <w:t>Sales exposure INR</w:t>
            </w:r>
          </w:p>
        </w:tc>
        <w:tc>
          <w:tcPr>
            <w:tcW w:type="dxa" w:w="5112"/>
          </w:tcPr>
          <w:p>
            <w:r>
              <w:t>2,909,163</w:t>
            </w:r>
          </w:p>
        </w:tc>
      </w:tr>
    </w:tbl>
    <w:p>
      <w:r>
        <w:t>The recall exercise is a key differentiator: the learner must start from one lot, identify its farm and warehouse path, and enumerate every downstream order/customer. In a real food business, this is both an analytics and governance requirement.</w:t>
      </w:r>
    </w:p>
    <w:p>
      <w:pPr>
        <w:pStyle w:val="Heading1"/>
      </w:pPr>
      <w:r>
        <w:t>7. Financial Opportunity Sizing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315C2B"/>
          </w:tcPr>
          <w:p>
            <w:r>
              <w:rPr>
                <w:b/>
                <w:color w:val="FFFFFF"/>
              </w:rPr>
              <w:t>Initiative</w:t>
            </w:r>
          </w:p>
        </w:tc>
        <w:tc>
          <w:tcPr>
            <w:tcW w:type="dxa" w:w="2045"/>
            <w:shd w:fill="315C2B"/>
          </w:tcPr>
          <w:p>
            <w:r>
              <w:rPr>
                <w:b/>
                <w:color w:val="FFFFFF"/>
              </w:rPr>
              <w:t>Addressable Pool</w:t>
            </w:r>
          </w:p>
        </w:tc>
        <w:tc>
          <w:tcPr>
            <w:tcW w:type="dxa" w:w="2045"/>
            <w:shd w:fill="315C2B"/>
          </w:tcPr>
          <w:p>
            <w:r>
              <w:rPr>
                <w:b/>
                <w:color w:val="FFFFFF"/>
              </w:rPr>
              <w:t>Low</w:t>
            </w:r>
          </w:p>
        </w:tc>
        <w:tc>
          <w:tcPr>
            <w:tcW w:type="dxa" w:w="2045"/>
            <w:shd w:fill="315C2B"/>
          </w:tcPr>
          <w:p>
            <w:r>
              <w:rPr>
                <w:b/>
                <w:color w:val="FFFFFF"/>
              </w:rPr>
              <w:t>Base</w:t>
            </w:r>
          </w:p>
        </w:tc>
        <w:tc>
          <w:tcPr>
            <w:tcW w:type="dxa" w:w="2045"/>
            <w:shd w:fill="315C2B"/>
          </w:tcPr>
          <w:p>
            <w:r>
              <w:rPr>
                <w:b/>
                <w:color w:val="FFFFFF"/>
              </w:rPr>
              <w:t>High</w:t>
            </w:r>
          </w:p>
        </w:tc>
      </w:tr>
      <w:tr>
        <w:tc>
          <w:tcPr>
            <w:tcW w:type="dxa" w:w="2045"/>
          </w:tcPr>
          <w:p>
            <w:r>
              <w:t>Cold-chain excursion reduction</w:t>
            </w:r>
          </w:p>
        </w:tc>
        <w:tc>
          <w:tcPr>
            <w:tcW w:type="dxa" w:w="2045"/>
          </w:tcPr>
          <w:p>
            <w:r>
              <w:t>INR 420.9m</w:t>
            </w:r>
          </w:p>
        </w:tc>
        <w:tc>
          <w:tcPr>
            <w:tcW w:type="dxa" w:w="2045"/>
          </w:tcPr>
          <w:p>
            <w:r>
              <w:t>8%</w:t>
            </w:r>
          </w:p>
        </w:tc>
        <w:tc>
          <w:tcPr>
            <w:tcW w:type="dxa" w:w="2045"/>
          </w:tcPr>
          <w:p>
            <w:r>
              <w:t>18%</w:t>
            </w:r>
          </w:p>
        </w:tc>
        <w:tc>
          <w:tcPr>
            <w:tcW w:type="dxa" w:w="2045"/>
          </w:tcPr>
          <w:p>
            <w:r>
              <w:t>30%</w:t>
            </w:r>
          </w:p>
        </w:tc>
      </w:tr>
      <w:tr>
        <w:tc>
          <w:tcPr>
            <w:tcW w:type="dxa" w:w="2045"/>
          </w:tcPr>
          <w:p>
            <w:r>
              <w:t>Supplier quality improvement</w:t>
            </w:r>
          </w:p>
        </w:tc>
        <w:tc>
          <w:tcPr>
            <w:tcW w:type="dxa" w:w="2045"/>
          </w:tcPr>
          <w:p>
            <w:r>
              <w:t>INR 3,052.0m</w:t>
            </w:r>
          </w:p>
        </w:tc>
        <w:tc>
          <w:tcPr>
            <w:tcW w:type="dxa" w:w="2045"/>
          </w:tcPr>
          <w:p>
            <w:r>
              <w:t>6%</w:t>
            </w:r>
          </w:p>
        </w:tc>
        <w:tc>
          <w:tcPr>
            <w:tcW w:type="dxa" w:w="2045"/>
          </w:tcPr>
          <w:p>
            <w:r>
              <w:t>12%</w:t>
            </w:r>
          </w:p>
        </w:tc>
        <w:tc>
          <w:tcPr>
            <w:tcW w:type="dxa" w:w="2045"/>
          </w:tcPr>
          <w:p>
            <w:r>
              <w:t>20%</w:t>
            </w:r>
          </w:p>
        </w:tc>
      </w:tr>
      <w:tr>
        <w:tc>
          <w:tcPr>
            <w:tcW w:type="dxa" w:w="2045"/>
          </w:tcPr>
          <w:p>
            <w:r>
              <w:t>Fill-rate recovery</w:t>
            </w:r>
          </w:p>
        </w:tc>
        <w:tc>
          <w:tcPr>
            <w:tcW w:type="dxa" w:w="2045"/>
          </w:tcPr>
          <w:p>
            <w:r>
              <w:t>INR 440.8m</w:t>
            </w:r>
          </w:p>
        </w:tc>
        <w:tc>
          <w:tcPr>
            <w:tcW w:type="dxa" w:w="2045"/>
          </w:tcPr>
          <w:p>
            <w:r>
              <w:t>10%</w:t>
            </w:r>
          </w:p>
        </w:tc>
        <w:tc>
          <w:tcPr>
            <w:tcW w:type="dxa" w:w="2045"/>
          </w:tcPr>
          <w:p>
            <w:r>
              <w:t>25%</w:t>
            </w:r>
          </w:p>
        </w:tc>
        <w:tc>
          <w:tcPr>
            <w:tcW w:type="dxa" w:w="2045"/>
          </w:tcPr>
          <w:p>
            <w:r>
              <w:t>40%</w:t>
            </w:r>
          </w:p>
        </w:tc>
      </w:tr>
      <w:tr>
        <w:tc>
          <w:tcPr>
            <w:tcW w:type="dxa" w:w="2045"/>
          </w:tcPr>
          <w:p>
            <w:r>
              <w:t>Inventory expiry reduction</w:t>
            </w:r>
          </w:p>
        </w:tc>
        <w:tc>
          <w:tcPr>
            <w:tcW w:type="dxa" w:w="2045"/>
          </w:tcPr>
          <w:p>
            <w:r>
              <w:t>INR 578.8m</w:t>
            </w:r>
          </w:p>
        </w:tc>
        <w:tc>
          <w:tcPr>
            <w:tcW w:type="dxa" w:w="2045"/>
          </w:tcPr>
          <w:p>
            <w:r>
              <w:t>5%</w:t>
            </w:r>
          </w:p>
        </w:tc>
        <w:tc>
          <w:tcPr>
            <w:tcW w:type="dxa" w:w="2045"/>
          </w:tcPr>
          <w:p>
            <w:r>
              <w:t>12%</w:t>
            </w:r>
          </w:p>
        </w:tc>
        <w:tc>
          <w:tcPr>
            <w:tcW w:type="dxa" w:w="2045"/>
          </w:tcPr>
          <w:p>
            <w:r>
              <w:t>22%</w:t>
            </w:r>
          </w:p>
        </w:tc>
      </w:tr>
    </w:tbl>
    <w:p>
      <w:r>
        <w:t>The reference base-case capture assumptions imply about INR 621.6m of potential impact. This is a scenario, not a commitment; real investment cost, implementation constraints and causal validation would be required.</w:t>
      </w:r>
    </w:p>
    <w:p>
      <w:pPr>
        <w:pStyle w:val="Heading1"/>
      </w:pPr>
      <w:r>
        <w:t>8. Reference 90-Day Management Agenda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315C2B"/>
          </w:tcPr>
          <w:p>
            <w:r>
              <w:rPr>
                <w:b/>
                <w:color w:val="FFFFFF"/>
              </w:rPr>
              <w:t>Priority</w:t>
            </w:r>
          </w:p>
        </w:tc>
        <w:tc>
          <w:tcPr>
            <w:tcW w:type="dxa" w:w="3408"/>
            <w:shd w:fill="315C2B"/>
          </w:tcPr>
          <w:p>
            <w:r>
              <w:rPr>
                <w:b/>
                <w:color w:val="FFFFFF"/>
              </w:rPr>
              <w:t>Action</w:t>
            </w:r>
          </w:p>
        </w:tc>
        <w:tc>
          <w:tcPr>
            <w:tcW w:type="dxa" w:w="3408"/>
            <w:shd w:fill="315C2B"/>
          </w:tcPr>
          <w:p>
            <w:r>
              <w:rPr>
                <w:b/>
                <w:color w:val="FFFFFF"/>
              </w:rPr>
              <w:t>Primary KPI</w:t>
            </w:r>
          </w:p>
        </w:tc>
      </w:tr>
      <w:tr>
        <w:tc>
          <w:tcPr>
            <w:tcW w:type="dxa" w:w="3408"/>
          </w:tcPr>
          <w:p>
            <w:r>
              <w:t>1</w:t>
            </w:r>
          </w:p>
        </w:tc>
        <w:tc>
          <w:tcPr>
            <w:tcW w:type="dxa" w:w="3408"/>
          </w:tcPr>
          <w:p>
            <w:r>
              <w:t>Carrier/lane cold-chain control tower for high-perishability products</w:t>
            </w:r>
          </w:p>
        </w:tc>
        <w:tc>
          <w:tcPr>
            <w:tcW w:type="dxa" w:w="3408"/>
          </w:tcPr>
          <w:p>
            <w:r>
              <w:t>Excursion rate; transport loss</w:t>
            </w:r>
          </w:p>
        </w:tc>
      </w:tr>
      <w:tr>
        <w:tc>
          <w:tcPr>
            <w:tcW w:type="dxa" w:w="3408"/>
          </w:tcPr>
          <w:p>
            <w:r>
              <w:t>2</w:t>
            </w:r>
          </w:p>
        </w:tc>
        <w:tc>
          <w:tcPr>
            <w:tcW w:type="dxa" w:w="3408"/>
          </w:tcPr>
          <w:p>
            <w:r>
              <w:t>Supplier quality improvement / reallocation for high-spend low-score farms</w:t>
            </w:r>
          </w:p>
        </w:tc>
        <w:tc>
          <w:tcPr>
            <w:tcW w:type="dxa" w:w="3408"/>
          </w:tcPr>
          <w:p>
            <w:r>
              <w:t>Quality rejection; supplier score</w:t>
            </w:r>
          </w:p>
        </w:tc>
      </w:tr>
      <w:tr>
        <w:tc>
          <w:tcPr>
            <w:tcW w:type="dxa" w:w="3408"/>
          </w:tcPr>
          <w:p>
            <w:r>
              <w:t>3</w:t>
            </w:r>
          </w:p>
        </w:tc>
        <w:tc>
          <w:tcPr>
            <w:tcW w:type="dxa" w:w="3408"/>
          </w:tcPr>
          <w:p>
            <w:r>
              <w:t>Shelf-life &amp; FEFO exception queue at high-loss warehouses</w:t>
            </w:r>
          </w:p>
        </w:tc>
        <w:tc>
          <w:tcPr>
            <w:tcW w:type="dxa" w:w="3408"/>
          </w:tcPr>
          <w:p>
            <w:r>
              <w:t>Spoilage value; critical shelf-life inventory</w:t>
            </w:r>
          </w:p>
        </w:tc>
      </w:tr>
      <w:tr>
        <w:tc>
          <w:tcPr>
            <w:tcW w:type="dxa" w:w="3408"/>
          </w:tcPr>
          <w:p>
            <w:r>
              <w:t>4</w:t>
            </w:r>
          </w:p>
        </w:tc>
        <w:tc>
          <w:tcPr>
            <w:tcW w:type="dxa" w:w="3408"/>
          </w:tcPr>
          <w:p>
            <w:r>
              <w:t>Product-level S&amp;OP reset using forecast WAPE, lead time and shelf life</w:t>
            </w:r>
          </w:p>
        </w:tc>
        <w:tc>
          <w:tcPr>
            <w:tcW w:type="dxa" w:w="3408"/>
          </w:tcPr>
          <w:p>
            <w:r>
              <w:t>Fill rate; safety stock; expiry</w:t>
            </w:r>
          </w:p>
        </w:tc>
      </w:tr>
      <w:tr>
        <w:tc>
          <w:tcPr>
            <w:tcW w:type="dxa" w:w="3408"/>
          </w:tcPr>
          <w:p>
            <w:r>
              <w:t>5</w:t>
            </w:r>
          </w:p>
        </w:tc>
        <w:tc>
          <w:tcPr>
            <w:tcW w:type="dxa" w:w="3408"/>
          </w:tcPr>
          <w:p>
            <w:r>
              <w:t>Lot-level recall playbook and traceability dashboard</w:t>
            </w:r>
          </w:p>
        </w:tc>
        <w:tc>
          <w:tcPr>
            <w:tcW w:type="dxa" w:w="3408"/>
          </w:tcPr>
          <w:p>
            <w:r>
              <w:t>Trace completion time; affected orders identified</w:t>
            </w:r>
          </w:p>
        </w:tc>
      </w:tr>
    </w:tbl>
    <w:p>
      <w:pPr>
        <w:pStyle w:val="Heading1"/>
      </w:pPr>
      <w:r>
        <w:t>9. Grading Guidance</w:t>
      </w:r>
    </w:p>
    <w:p>
      <w:pPr>
        <w:pStyle w:val="ListBullet"/>
      </w:pPr>
      <w:r>
        <w:t>Reward correct physical-flow reasoning, not just technically valid code.</w:t>
      </w:r>
    </w:p>
    <w:p>
      <w:pPr>
        <w:pStyle w:val="ListBullet"/>
      </w:pPr>
      <w:r>
        <w:t>Require reconciliation of kilograms and INR before recommendations.</w:t>
      </w:r>
    </w:p>
    <w:p>
      <w:pPr>
        <w:pStyle w:val="ListBullet"/>
      </w:pPr>
      <w:r>
        <w:t>Look for total-delivered-cost thinking rather than cheapest-source logic.</w:t>
      </w:r>
    </w:p>
    <w:p>
      <w:pPr>
        <w:pStyle w:val="ListBullet"/>
      </w:pPr>
      <w:r>
        <w:t>Require forecast validation on a holdout period, not in-sample fit.</w:t>
      </w:r>
    </w:p>
    <w:p>
      <w:pPr>
        <w:pStyle w:val="ListBullet"/>
      </w:pPr>
      <w:r>
        <w:t>Require explicit assumptions in safety stock and opportunity sizing.</w:t>
      </w:r>
    </w:p>
    <w:p>
      <w:pPr>
        <w:pStyle w:val="ListBullet"/>
      </w:pPr>
      <w:r>
        <w:t>The final answer should be a short management agenda supported by evidence, not a tour of every chart.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