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Northstar Cloud</w:t>
      </w:r>
    </w:p>
    <w:p>
      <w:pPr>
        <w:jc w:val="center"/>
      </w:pPr>
      <w:r>
        <w:rPr>
          <w:sz w:val="22"/>
        </w:rPr>
        <w:t>SaaS Subscription Analytics — Learner Project Brief</w:t>
      </w:r>
    </w:p>
    <w:p>
      <w:pPr>
        <w:pStyle w:val="Heading1"/>
      </w:pPr>
      <w:r>
        <w:t>1. Engagement Context</w:t>
      </w:r>
    </w:p>
    <w:p>
      <w:r>
        <w:t>You are the analytics workstream supporting the CEO, CFO, CRO and Chief Customer Officer of a multi-product B2B SaaS company. Leadership wants to know whether ARR growth is durable and where management should act first.</w:t>
      </w:r>
    </w:p>
    <w:p>
      <w:r>
        <w:t>Your job is to build a defensible fact base, diagnose value leakage, size opportunities and recommend a 90-day management agenda. The dashboard is evidence; it is not the final answer.</w:t>
      </w:r>
    </w:p>
    <w:p>
      <w:pPr>
        <w:pStyle w:val="Heading1"/>
      </w:pPr>
      <w:r>
        <w:t>2. Executive Questions</w:t>
      </w:r>
    </w:p>
    <w:p>
      <w:pPr>
        <w:pStyle w:val="ListBullet"/>
      </w:pPr>
      <w:r>
        <w:t>Where is recurring revenue leaking through churn, contraction or discounting?</w:t>
      </w:r>
    </w:p>
    <w:p>
      <w:pPr>
        <w:pStyle w:val="ListBullet"/>
      </w:pPr>
      <w:r>
        <w:t>Which customers are at greatest renewal risk, and why?</w:t>
      </w:r>
    </w:p>
    <w:p>
      <w:pPr>
        <w:pStyle w:val="ListBullet"/>
      </w:pPr>
      <w:r>
        <w:t>Which healthy customers are credible expansion candidates?</w:t>
      </w:r>
    </w:p>
    <w:p>
      <w:pPr>
        <w:pStyle w:val="ListBullet"/>
      </w:pPr>
      <w:r>
        <w:t>Which acquisition channels create durable customers rather than only cheap leads?</w:t>
      </w:r>
    </w:p>
    <w:p>
      <w:pPr>
        <w:pStyle w:val="ListBullet"/>
      </w:pPr>
      <w:r>
        <w:t>Is Customer Success capacity aligned to risk-adjusted ARR?</w:t>
      </w:r>
    </w:p>
    <w:p>
      <w:pPr>
        <w:pStyle w:val="ListBullet"/>
      </w:pPr>
      <w:r>
        <w:t>What 3–5 actions should management prioritize over the next 90 days?</w:t>
      </w:r>
    </w:p>
    <w:p>
      <w:pPr>
        <w:pStyle w:val="Heading1"/>
      </w:pPr>
      <w:r>
        <w:t>3. New Skills</w:t>
      </w:r>
    </w:p>
    <w:p>
      <w:pPr>
        <w:pStyle w:val="ListBullet"/>
      </w:pPr>
      <w:r>
        <w:t>MRR/ARR bridge construction: new, expansion, contraction and churn.</w:t>
      </w:r>
    </w:p>
    <w:p>
      <w:pPr>
        <w:pStyle w:val="ListBullet"/>
      </w:pPr>
      <w:r>
        <w:t>NRR vs GRR and why logo churn alone is incomplete.</w:t>
      </w:r>
    </w:p>
    <w:p>
      <w:pPr>
        <w:pStyle w:val="ListBullet"/>
      </w:pPr>
      <w:r>
        <w:t>Logo and revenue cohort retention by acquisition vintage.</w:t>
      </w:r>
    </w:p>
    <w:p>
      <w:pPr>
        <w:pStyle w:val="ListBullet"/>
      </w:pPr>
      <w:r>
        <w:t>Interpretable customer-health scoring.</w:t>
      </w:r>
    </w:p>
    <w:p>
      <w:pPr>
        <w:pStyle w:val="ListBullet"/>
      </w:pPr>
      <w:r>
        <w:t>Pricing leakage and discount governance.</w:t>
      </w:r>
    </w:p>
    <w:p>
      <w:pPr>
        <w:pStyle w:val="ListBullet"/>
      </w:pPr>
      <w:r>
        <w:t>CAC combined with retained customer quality.</w:t>
      </w:r>
    </w:p>
    <w:p>
      <w:pPr>
        <w:pStyle w:val="ListBullet"/>
      </w:pPr>
      <w:r>
        <w:t>Expansion opportunity sizing.</w:t>
      </w:r>
    </w:p>
    <w:p>
      <w:pPr>
        <w:pStyle w:val="ListBullet"/>
      </w:pPr>
      <w:r>
        <w:t>CSM portfolio capacity and risk-based resource allocation.</w:t>
      </w:r>
    </w:p>
    <w:p>
      <w:pPr>
        <w:pStyle w:val="ListBullet"/>
      </w:pPr>
      <w:r>
        <w:t>Issue trees, hypotheses, KPI trees, opportunity sizing and answer-first storytelling.</w:t>
      </w:r>
    </w:p>
    <w:p>
      <w:pPr>
        <w:pStyle w:val="Heading1"/>
      </w:pPr>
      <w:r>
        <w:t>4. Data Estate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355B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408"/>
            <w:shd w:fill="12355B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3408"/>
            <w:shd w:fill="12355B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Accounts</w:t>
            </w:r>
          </w:p>
        </w:tc>
        <w:tc>
          <w:tcPr>
            <w:tcW w:type="dxa" w:w="3408"/>
            <w:vAlign w:val="center"/>
          </w:tcPr>
          <w:p>
            <w:r>
              <w:t>8,000</w:t>
            </w:r>
          </w:p>
        </w:tc>
        <w:tc>
          <w:tcPr>
            <w:tcW w:type="dxa" w:w="3408"/>
            <w:vAlign w:val="center"/>
          </w:tcPr>
          <w:p>
            <w:r>
              <w:t>Firmographics and customer ownership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Monthly snapshots</w:t>
            </w:r>
          </w:p>
        </w:tc>
        <w:tc>
          <w:tcPr>
            <w:tcW w:type="dxa" w:w="3408"/>
            <w:vAlign w:val="center"/>
          </w:tcPr>
          <w:p>
            <w:r>
              <w:t>145,847</w:t>
            </w:r>
          </w:p>
        </w:tc>
        <w:tc>
          <w:tcPr>
            <w:tcW w:type="dxa" w:w="3408"/>
            <w:vAlign w:val="center"/>
          </w:tcPr>
          <w:p>
            <w:r>
              <w:t>MRR, usage, NPS, movements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Invoices</w:t>
            </w:r>
          </w:p>
        </w:tc>
        <w:tc>
          <w:tcPr>
            <w:tcW w:type="dxa" w:w="3408"/>
            <w:vAlign w:val="center"/>
          </w:tcPr>
          <w:p>
            <w:r>
              <w:t>67,551</w:t>
            </w:r>
          </w:p>
        </w:tc>
        <w:tc>
          <w:tcPr>
            <w:tcW w:type="dxa" w:w="3408"/>
            <w:vAlign w:val="center"/>
          </w:tcPr>
          <w:p>
            <w:r>
              <w:t>Payment behaviour</w:t>
            </w:r>
          </w:p>
        </w:tc>
      </w:tr>
      <w:tr>
        <w:tc>
          <w:tcPr>
            <w:tcW w:type="dxa" w:w="3408"/>
            <w:vAlign w:val="center"/>
          </w:tcPr>
          <w:p>
            <w:r>
              <w:t>Support tickets</w:t>
            </w:r>
          </w:p>
        </w:tc>
        <w:tc>
          <w:tcPr>
            <w:tcW w:type="dxa" w:w="3408"/>
            <w:vAlign w:val="center"/>
          </w:tcPr>
          <w:p>
            <w:r>
              <w:t>36,666</w:t>
            </w:r>
          </w:p>
        </w:tc>
        <w:tc>
          <w:tcPr>
            <w:tcW w:type="dxa" w:w="3408"/>
            <w:vAlign w:val="center"/>
          </w:tcPr>
          <w:p>
            <w:r>
              <w:t>Severity, resolution and CSAT</w:t>
            </w:r>
          </w:p>
        </w:tc>
      </w:tr>
      <w:tr>
        <w:tc>
          <w:tcPr>
            <w:tcW w:type="dxa" w:w="3408"/>
            <w:vAlign w:val="center"/>
          </w:tcPr>
          <w:p>
            <w:r>
              <w:t>NPS surveys</w:t>
            </w:r>
          </w:p>
        </w:tc>
        <w:tc>
          <w:tcPr>
            <w:tcW w:type="dxa" w:w="3408"/>
            <w:vAlign w:val="center"/>
          </w:tcPr>
          <w:p>
            <w:r>
              <w:t>51,307</w:t>
            </w:r>
          </w:p>
        </w:tc>
        <w:tc>
          <w:tcPr>
            <w:tcW w:type="dxa" w:w="3408"/>
            <w:vAlign w:val="center"/>
          </w:tcPr>
          <w:p>
            <w:r>
              <w:t>Customer advocacy</w:t>
            </w:r>
          </w:p>
        </w:tc>
      </w:tr>
      <w:tr>
        <w:tc>
          <w:tcPr>
            <w:tcW w:type="dxa" w:w="3408"/>
            <w:vAlign w:val="center"/>
          </w:tcPr>
          <w:p>
            <w:r>
              <w:t>Marketing spend</w:t>
            </w:r>
          </w:p>
        </w:tc>
        <w:tc>
          <w:tcPr>
            <w:tcW w:type="dxa" w:w="3408"/>
            <w:vAlign w:val="center"/>
          </w:tcPr>
          <w:p>
            <w:r>
              <w:t>270</w:t>
            </w:r>
          </w:p>
        </w:tc>
        <w:tc>
          <w:tcPr>
            <w:tcW w:type="dxa" w:w="3408"/>
            <w:vAlign w:val="center"/>
          </w:tcPr>
          <w:p>
            <w:r>
              <w:t>Channel CAC</w:t>
            </w:r>
          </w:p>
        </w:tc>
      </w:tr>
    </w:tbl>
    <w:p>
      <w:pPr>
        <w:pStyle w:val="Heading1"/>
      </w:pPr>
      <w:r>
        <w:t>5. Required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355B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shd w:fill="12355B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08"/>
            <w:shd w:fill="12355B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t>Frame</w:t>
            </w:r>
          </w:p>
        </w:tc>
        <w:tc>
          <w:tcPr>
            <w:tcW w:type="dxa" w:w="3408"/>
            <w:vAlign w:val="center"/>
          </w:tcPr>
          <w:p>
            <w:r>
              <w:t>What decision must management make?</w:t>
            </w:r>
          </w:p>
        </w:tc>
        <w:tc>
          <w:tcPr>
            <w:tcW w:type="dxa" w:w="3408"/>
            <w:vAlign w:val="center"/>
          </w:tcPr>
          <w:p>
            <w:r>
              <w:t>Issue tree and hypotheses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Validate</w:t>
            </w:r>
          </w:p>
        </w:tc>
        <w:tc>
          <w:tcPr>
            <w:tcW w:type="dxa" w:w="3408"/>
            <w:vAlign w:val="center"/>
          </w:tcPr>
          <w:p>
            <w:r>
              <w:t>Can the data be trusted?</w:t>
            </w:r>
          </w:p>
        </w:tc>
        <w:tc>
          <w:tcPr>
            <w:tcW w:type="dxa" w:w="3408"/>
            <w:vAlign w:val="center"/>
          </w:tcPr>
          <w:p>
            <w:r>
              <w:t>DQ log and cleaned layer</w:t>
            </w:r>
          </w:p>
        </w:tc>
      </w:tr>
      <w:tr>
        <w:tc>
          <w:tcPr>
            <w:tcW w:type="dxa" w:w="3408"/>
            <w:vAlign w:val="center"/>
          </w:tcPr>
          <w:p>
            <w:r>
              <w:t>Metric layer</w:t>
            </w:r>
          </w:p>
        </w:tc>
        <w:tc>
          <w:tcPr>
            <w:tcW w:type="dxa" w:w="3408"/>
            <w:vAlign w:val="center"/>
          </w:tcPr>
          <w:p>
            <w:r>
              <w:t>Are KPI definitions consistent?</w:t>
            </w:r>
          </w:p>
        </w:tc>
        <w:tc>
          <w:tcPr>
            <w:tcW w:type="dxa" w:w="3408"/>
            <w:vAlign w:val="center"/>
          </w:tcPr>
          <w:p>
            <w:r>
              <w:t>Auditable SaaS KPI layer</w:t>
            </w:r>
          </w:p>
        </w:tc>
      </w:tr>
      <w:tr>
        <w:tc>
          <w:tcPr>
            <w:tcW w:type="dxa" w:w="3408"/>
            <w:vAlign w:val="center"/>
          </w:tcPr>
          <w:p>
            <w:r>
              <w:t>Diagnose</w:t>
            </w:r>
          </w:p>
        </w:tc>
        <w:tc>
          <w:tcPr>
            <w:tcW w:type="dxa" w:w="3408"/>
            <w:vAlign w:val="center"/>
          </w:tcPr>
          <w:p>
            <w:r>
              <w:t>What explains the problem?</w:t>
            </w:r>
          </w:p>
        </w:tc>
        <w:tc>
          <w:tcPr>
            <w:tcW w:type="dxa" w:w="3408"/>
            <w:vAlign w:val="center"/>
          </w:tcPr>
          <w:p>
            <w:r>
              <w:t>Cohort/driver fact base</w:t>
            </w:r>
          </w:p>
        </w:tc>
      </w:tr>
      <w:tr>
        <w:tc>
          <w:tcPr>
            <w:tcW w:type="dxa" w:w="3408"/>
            <w:vAlign w:val="center"/>
          </w:tcPr>
          <w:p>
            <w:r>
              <w:t>Size</w:t>
            </w:r>
          </w:p>
        </w:tc>
        <w:tc>
          <w:tcPr>
            <w:tcW w:type="dxa" w:w="3408"/>
            <w:vAlign w:val="center"/>
          </w:tcPr>
          <w:p>
            <w:r>
              <w:t>How large is each opportunity?</w:t>
            </w:r>
          </w:p>
        </w:tc>
        <w:tc>
          <w:tcPr>
            <w:tcW w:type="dxa" w:w="3408"/>
            <w:vAlign w:val="center"/>
          </w:tcPr>
          <w:p>
            <w:r>
              <w:t>Risk, expansion and pricing pools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Prioritize</w:t>
            </w:r>
          </w:p>
        </w:tc>
        <w:tc>
          <w:tcPr>
            <w:tcW w:type="dxa" w:w="3408"/>
            <w:vAlign w:val="center"/>
          </w:tcPr>
          <w:p>
            <w:r>
              <w:t>Where should action start?</w:t>
            </w:r>
          </w:p>
        </w:tc>
        <w:tc>
          <w:tcPr>
            <w:tcW w:type="dxa" w:w="3408"/>
            <w:vAlign w:val="center"/>
          </w:tcPr>
          <w:p>
            <w:r>
              <w:t>Impact × confidence × effort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Recommend</w:t>
            </w:r>
          </w:p>
        </w:tc>
        <w:tc>
          <w:tcPr>
            <w:tcW w:type="dxa" w:w="3408"/>
            <w:vAlign w:val="center"/>
          </w:tcPr>
          <w:p>
            <w:r>
              <w:t>What should happen next?</w:t>
            </w:r>
          </w:p>
        </w:tc>
        <w:tc>
          <w:tcPr>
            <w:tcW w:type="dxa" w:w="3408"/>
            <w:vAlign w:val="center"/>
          </w:tcPr>
          <w:p>
            <w:r>
              <w:t>90-day executive memo</w:t>
            </w:r>
          </w:p>
        </w:tc>
      </w:tr>
    </w:tbl>
    <w:p>
      <w:pPr>
        <w:pStyle w:val="Heading1"/>
      </w:pPr>
      <w:r>
        <w:t>6. Technical Deliverables</w:t>
      </w:r>
    </w:p>
    <w:p>
      <w:pPr>
        <w:pStyle w:val="ListBullet"/>
      </w:pPr>
      <w:r>
        <w:t>PostgreSQL database from raw CSVs.</w:t>
      </w:r>
    </w:p>
    <w:p>
      <w:pPr>
        <w:pStyle w:val="ListBullet"/>
      </w:pPr>
      <w:r>
        <w:t>50 SQL questions with commented answers.</w:t>
      </w:r>
    </w:p>
    <w:p>
      <w:pPr>
        <w:pStyle w:val="ListBullet"/>
      </w:pPr>
      <w:r>
        <w:t>Python EDA with cohorts, health scoring and opportunity sizing.</w:t>
      </w:r>
    </w:p>
    <w:p>
      <w:pPr>
        <w:pStyle w:val="ListBullet"/>
      </w:pPr>
      <w:r>
        <w:t>Power BI semantic model and 7-page executive report.</w:t>
      </w:r>
    </w:p>
    <w:p>
      <w:pPr>
        <w:pStyle w:val="ListBullet"/>
      </w:pPr>
      <w:r>
        <w:t>Account-level retention, expansion, pricing and renewal lists.</w:t>
      </w:r>
    </w:p>
    <w:p>
      <w:pPr>
        <w:pStyle w:val="ListBullet"/>
      </w:pPr>
      <w:r>
        <w:t>Executive memo with low/base/high impact scenarios.</w:t>
      </w:r>
    </w:p>
    <w:p>
      <w:pPr>
        <w:pStyle w:val="Heading1"/>
      </w:pPr>
      <w:r>
        <w:t>7. Mandatory KPIs</w:t>
      </w:r>
    </w:p>
    <w:p>
      <w:r>
        <w:t>MRR, ARR, Active Logos, ARPA, Logo Retention, NRR, GRR, Expansion MRR, Contraction MRR, Churned MRR, Seat Utilization, NPS, Product Attach Rate, CAC, Pricing Leakage, ARR at Risk and CSM Capacity Utilization.</w:t>
      </w:r>
    </w:p>
    <w:p>
      <w:pPr>
        <w:pStyle w:val="Heading1"/>
      </w:pPr>
      <w:r>
        <w:t>8. Submission Standard</w:t>
      </w:r>
    </w:p>
    <w:p>
      <w:r>
        <w:t>Each insight should follow: Evidence → So what → Recommendation → Financial impact. Addressable pools must not be presented as guaranteed forecast value.</w:t>
      </w:r>
    </w:p>
    <w:p>
      <w:r>
        <w:t>The company and records are synthetic. The workflow reflects common consulting and SaaS analytics practices and does not reproduce proprietary methods of EY, Bain, McKinsey, or any other firm.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