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Northstar Cloud</w:t>
      </w:r>
    </w:p>
    <w:p>
      <w:pPr>
        <w:jc w:val="center"/>
      </w:pPr>
      <w:r>
        <w:rPr>
          <w:sz w:val="22"/>
        </w:rPr>
        <w:t>Power BI Executive Dashboard Build Reference</w:t>
      </w:r>
    </w:p>
    <w:p>
      <w:pPr>
        <w:pStyle w:val="Heading1"/>
      </w:pPr>
      <w:r>
        <w:t>1. Semantic Model</w:t>
      </w:r>
    </w:p>
    <w:p>
      <w:pPr>
        <w:pStyle w:val="ListBullet"/>
      </w:pPr>
      <w:r>
        <w:t>Dimensions: Accounts, Plans, Products, Account Managers and Date.</w:t>
      </w:r>
    </w:p>
    <w:p>
      <w:pPr>
        <w:pStyle w:val="ListBullet"/>
      </w:pPr>
      <w:r>
        <w:t>Facts: Monthly Snapshot, Invoices, Support Tickets, NPS, Marketing Spend and Subscriptions.</w:t>
      </w:r>
    </w:p>
    <w:p>
      <w:pPr>
        <w:pStyle w:val="ListBullet"/>
      </w:pPr>
      <w:r>
        <w:t>Bridge: Account Products.</w:t>
      </w:r>
    </w:p>
    <w:p>
      <w:pPr>
        <w:pStyle w:val="ListBullet"/>
      </w:pPr>
      <w:r>
        <w:t>MRR/ARR come from the monthly recurring-revenue fact, not invoice cashflow.</w:t>
      </w:r>
    </w:p>
    <w:p>
      <w:pPr>
        <w:pStyle w:val="Heading1"/>
      </w:pPr>
      <w:r>
        <w:t>2. Page 1 — Executive Growth Quality</w:t>
      </w:r>
    </w:p>
    <w:p>
      <w:pPr>
        <w:pStyle w:val="ListBullet"/>
      </w:pPr>
      <w:r>
        <w:t>Cards: ARR, MRR, NRR, GRR, Active Logos, ARPA, ARR at Risk.</w:t>
      </w:r>
    </w:p>
    <w:p>
      <w:pPr>
        <w:pStyle w:val="ListBullet"/>
      </w:pPr>
      <w:r>
        <w:t>ARR and retention trends.</w:t>
      </w:r>
    </w:p>
    <w:p>
      <w:pPr>
        <w:pStyle w:val="ListBullet"/>
      </w:pPr>
      <w:r>
        <w:t>Segment scorecard.</w:t>
      </w:r>
    </w:p>
    <w:p>
      <w:pPr>
        <w:pStyle w:val="Heading1"/>
      </w:pPr>
      <w:r>
        <w:t>3. Page 2 — ARR Bridge &amp; Retention</w:t>
      </w:r>
    </w:p>
    <w:p>
      <w:pPr>
        <w:pStyle w:val="ListBullet"/>
      </w:pPr>
      <w:r>
        <w:t>MRR waterfall.</w:t>
      </w:r>
    </w:p>
    <w:p>
      <w:pPr>
        <w:pStyle w:val="ListBullet"/>
      </w:pPr>
      <w:r>
        <w:t>Cohort retention heatmap.</w:t>
      </w:r>
    </w:p>
    <w:p>
      <w:pPr>
        <w:pStyle w:val="ListBullet"/>
      </w:pPr>
      <w:r>
        <w:t>Segment / region / billing slicers.</w:t>
      </w:r>
    </w:p>
    <w:p>
      <w:pPr>
        <w:pStyle w:val="Heading1"/>
      </w:pPr>
      <w:r>
        <w:t>4. Page 3 — Customer Health &amp; Renewals</w:t>
      </w:r>
    </w:p>
    <w:p>
      <w:pPr>
        <w:pStyle w:val="ListBullet"/>
      </w:pPr>
      <w:r>
        <w:t>ARR by health band.</w:t>
      </w:r>
    </w:p>
    <w:p>
      <w:pPr>
        <w:pStyle w:val="ListBullet"/>
      </w:pPr>
      <w:r>
        <w:t>At-risk account table.</w:t>
      </w:r>
    </w:p>
    <w:p>
      <w:pPr>
        <w:pStyle w:val="ListBullet"/>
      </w:pPr>
      <w:r>
        <w:t>90-day renewal queue and drill-through.</w:t>
      </w:r>
    </w:p>
    <w:p>
      <w:pPr>
        <w:pStyle w:val="Heading1"/>
      </w:pPr>
      <w:r>
        <w:t>5. Page 4 — Pricing &amp; Monetization</w:t>
      </w:r>
    </w:p>
    <w:p>
      <w:pPr>
        <w:pStyle w:val="ListBullet"/>
      </w:pPr>
      <w:r>
        <w:t>Actual vs standard discount.</w:t>
      </w:r>
    </w:p>
    <w:p>
      <w:pPr>
        <w:pStyle w:val="ListBullet"/>
      </w:pPr>
      <w:r>
        <w:t>Leakage by segment / plan / account.</w:t>
      </w:r>
    </w:p>
    <w:p>
      <w:pPr>
        <w:pStyle w:val="ListBullet"/>
      </w:pPr>
      <w:r>
        <w:t>Top leakage queue.</w:t>
      </w:r>
    </w:p>
    <w:p>
      <w:pPr>
        <w:pStyle w:val="Heading1"/>
      </w:pPr>
      <w:r>
        <w:t>6. Page 5 — Product Adoption &amp; Expansion</w:t>
      </w:r>
    </w:p>
    <w:p>
      <w:pPr>
        <w:pStyle w:val="ListBullet"/>
      </w:pPr>
      <w:r>
        <w:t>Seat utilization.</w:t>
      </w:r>
    </w:p>
    <w:p>
      <w:pPr>
        <w:pStyle w:val="ListBullet"/>
      </w:pPr>
      <w:r>
        <w:t>Add-on attach.</w:t>
      </w:r>
    </w:p>
    <w:p>
      <w:pPr>
        <w:pStyle w:val="ListBullet"/>
      </w:pPr>
      <w:r>
        <w:t>Expansion candidate queue.</w:t>
      </w:r>
    </w:p>
    <w:p>
      <w:pPr>
        <w:pStyle w:val="Heading1"/>
      </w:pPr>
      <w:r>
        <w:t>7. Page 6 — Acquisition Economics</w:t>
      </w:r>
    </w:p>
    <w:p>
      <w:pPr>
        <w:pStyle w:val="ListBullet"/>
      </w:pPr>
      <w:r>
        <w:t>Spend, new logos and CAC.</w:t>
      </w:r>
    </w:p>
    <w:p>
      <w:pPr>
        <w:pStyle w:val="ListBullet"/>
      </w:pPr>
      <w:r>
        <w:t>Compare low CAC with retained quality.</w:t>
      </w:r>
    </w:p>
    <w:p>
      <w:pPr>
        <w:pStyle w:val="Heading1"/>
      </w:pPr>
      <w:r>
        <w:t>8. Page 7 — Customer Success Operating Model</w:t>
      </w:r>
    </w:p>
    <w:p>
      <w:pPr>
        <w:pStyle w:val="ListBullet"/>
      </w:pPr>
      <w:r>
        <w:t>Portfolio ARR vs capacity.</w:t>
      </w:r>
    </w:p>
    <w:p>
      <w:pPr>
        <w:pStyle w:val="ListBullet"/>
      </w:pPr>
      <w:r>
        <w:t>Risk ARR by CSM.</w:t>
      </w:r>
    </w:p>
    <w:p>
      <w:pPr>
        <w:pStyle w:val="ListBullet"/>
      </w:pPr>
      <w:r>
        <w:t>Rebalancing queue.</w:t>
      </w:r>
    </w:p>
    <w:p>
      <w:pPr>
        <w:pStyle w:val="Heading1"/>
      </w:pPr>
      <w:r>
        <w:t>9. DAX Starter Layer</w:t>
      </w:r>
    </w:p>
    <w:p>
      <w:r>
        <w:t>Use `05_PowerBI/01_DAX_Measures.dax` as the starter measure layer and add explicit Date-table context to final NRR/GRR measures.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