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Northstar Cloud</w:t>
      </w:r>
    </w:p>
    <w:p>
      <w:pPr>
        <w:jc w:val="center"/>
      </w:pPr>
      <w:r>
        <w:rPr>
          <w:sz w:val="22"/>
        </w:rPr>
        <w:t>SaaS Subscription Analytics — Instructor Solution Report</w:t>
      </w:r>
    </w:p>
    <w:p>
      <w:pPr>
        <w:pStyle w:val="Heading1"/>
      </w:pPr>
      <w:r>
        <w:t>1. Executive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355B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  <w:shd w:fill="12355B"/>
          </w:tcPr>
          <w:p>
            <w:r>
              <w:rPr>
                <w:b/>
              </w:rPr>
              <w:t>Reference 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t>Latest active ARR</w:t>
            </w:r>
          </w:p>
        </w:tc>
        <w:tc>
          <w:tcPr>
            <w:tcW w:type="dxa" w:w="5112"/>
            <w:vAlign w:val="center"/>
          </w:tcPr>
          <w:p>
            <w:r>
              <w:t>£1,092.6m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Active logos</w:t>
            </w:r>
          </w:p>
        </w:tc>
        <w:tc>
          <w:tcPr>
            <w:tcW w:type="dxa" w:w="5112"/>
            <w:vAlign w:val="center"/>
          </w:tcPr>
          <w:p>
            <w:r>
              <w:t>4,328</w:t>
            </w:r>
          </w:p>
        </w:tc>
      </w:tr>
      <w:tr>
        <w:tc>
          <w:tcPr>
            <w:tcW w:type="dxa" w:w="5112"/>
            <w:vAlign w:val="center"/>
          </w:tcPr>
          <w:p>
            <w:r>
              <w:t>Latest NRR</w:t>
            </w:r>
          </w:p>
        </w:tc>
        <w:tc>
          <w:tcPr>
            <w:tcW w:type="dxa" w:w="5112"/>
            <w:vAlign w:val="center"/>
          </w:tcPr>
          <w:p>
            <w:r>
              <w:t>97.8%</w:t>
            </w:r>
          </w:p>
        </w:tc>
      </w:tr>
      <w:tr>
        <w:tc>
          <w:tcPr>
            <w:tcW w:type="dxa" w:w="5112"/>
            <w:vAlign w:val="center"/>
          </w:tcPr>
          <w:p>
            <w:r>
              <w:t>Latest GRR</w:t>
            </w:r>
          </w:p>
        </w:tc>
        <w:tc>
          <w:tcPr>
            <w:tcW w:type="dxa" w:w="5112"/>
            <w:vAlign w:val="center"/>
          </w:tcPr>
          <w:p>
            <w:r>
              <w:t>95.6%</w:t>
            </w:r>
          </w:p>
        </w:tc>
      </w:tr>
      <w:tr>
        <w:tc>
          <w:tcPr>
            <w:tcW w:type="dxa" w:w="5112"/>
            <w:vAlign w:val="center"/>
          </w:tcPr>
          <w:p>
            <w:r>
              <w:t>Critical / At-Risk active ARR</w:t>
            </w:r>
          </w:p>
        </w:tc>
        <w:tc>
          <w:tcPr>
            <w:tcW w:type="dxa" w:w="5112"/>
            <w:vAlign w:val="center"/>
          </w:tcPr>
          <w:p>
            <w:r>
              <w:t>£47.1m</w:t>
            </w:r>
          </w:p>
        </w:tc>
      </w:tr>
      <w:tr>
        <w:tc>
          <w:tcPr>
            <w:tcW w:type="dxa" w:w="5112"/>
            <w:vAlign w:val="center"/>
          </w:tcPr>
          <w:p>
            <w:r>
              <w:t>Annualized excess-discount leakage</w:t>
            </w:r>
          </w:p>
        </w:tc>
        <w:tc>
          <w:tcPr>
            <w:tcW w:type="dxa" w:w="5112"/>
            <w:vAlign w:val="center"/>
          </w:tcPr>
          <w:p>
            <w:r>
              <w:t>£20.90m</w:t>
            </w:r>
          </w:p>
        </w:tc>
      </w:tr>
      <w:tr>
        <w:tc>
          <w:tcPr>
            <w:tcW w:type="dxa" w:w="5112"/>
            <w:vAlign w:val="center"/>
          </w:tcPr>
          <w:p>
            <w:r>
              <w:t>Healthy + ≥80% utilization ARR pool</w:t>
            </w:r>
          </w:p>
        </w:tc>
        <w:tc>
          <w:tcPr>
            <w:tcW w:type="dxa" w:w="5112"/>
            <w:vAlign w:val="center"/>
          </w:tcPr>
          <w:p>
            <w:r>
              <w:t>£166.9m</w:t>
            </w:r>
          </w:p>
        </w:tc>
      </w:tr>
      <w:tr>
        <w:tc>
          <w:tcPr>
            <w:tcW w:type="dxa" w:w="5112"/>
            <w:vAlign w:val="center"/>
          </w:tcPr>
          <w:p>
            <w:r>
              <w:t>Diagnostic churn-model AUC</w:t>
            </w:r>
          </w:p>
        </w:tc>
        <w:tc>
          <w:tcPr>
            <w:tcW w:type="dxa" w:w="5112"/>
            <w:vAlign w:val="center"/>
          </w:tcPr>
          <w:p>
            <w:r>
              <w:t>0.634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venue_reten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Data Quality Solution</w:t>
      </w:r>
    </w:p>
    <w:p>
      <w:r>
        <w:t>The learner raw layer deliberately includes controlled defects. Fix them before constructing recurring-revenue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2355B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556"/>
            <w:shd w:fill="12355B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  <w:shd w:fill="12355B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556"/>
            <w:shd w:fill="12355B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556"/>
            <w:vAlign w:val="center"/>
          </w:tcPr>
          <w:p>
            <w:r>
              <w:t>dim_accounts</w:t>
            </w:r>
          </w:p>
        </w:tc>
        <w:tc>
          <w:tcPr>
            <w:tcW w:type="dxa" w:w="2556"/>
            <w:vAlign w:val="center"/>
          </w:tcPr>
          <w:p>
            <w:r>
              <w:t>industry</w:t>
            </w:r>
          </w:p>
        </w:tc>
        <w:tc>
          <w:tcPr>
            <w:tcW w:type="dxa" w:w="2556"/>
            <w:vAlign w:val="center"/>
          </w:tcPr>
          <w:p>
            <w:r>
              <w:t>Case inconsistency</w:t>
            </w:r>
          </w:p>
        </w:tc>
        <w:tc>
          <w:tcPr>
            <w:tcW w:type="dxa" w:w="2556"/>
            <w:vAlign w:val="center"/>
          </w:tcPr>
          <w:p>
            <w:r>
              <w:t>Normalize with INITCAP/TRIM</w:t>
            </w:r>
          </w:p>
        </w:tc>
      </w:tr>
      <w:tr>
        <w:tc>
          <w:tcPr>
            <w:tcW w:type="dxa" w:w="2556"/>
            <w:vAlign w:val="center"/>
          </w:tcPr>
          <w:p>
            <w:r>
              <w:t>dim_accounts</w:t>
            </w:r>
          </w:p>
        </w:tc>
        <w:tc>
          <w:tcPr>
            <w:tcW w:type="dxa" w:w="2556"/>
            <w:vAlign w:val="center"/>
          </w:tcPr>
          <w:p>
            <w:r>
              <w:t>region</w:t>
            </w:r>
          </w:p>
        </w:tc>
        <w:tc>
          <w:tcPr>
            <w:tcW w:type="dxa" w:w="2556"/>
            <w:vAlign w:val="center"/>
          </w:tcPr>
          <w:p>
            <w:r>
              <w:t>Category inconsistency</w:t>
            </w:r>
          </w:p>
        </w:tc>
        <w:tc>
          <w:tcPr>
            <w:tcW w:type="dxa" w:w="2556"/>
            <w:vAlign w:val="center"/>
          </w:tcPr>
          <w:p>
            <w:r>
              <w:t>Map to canonical value</w:t>
            </w:r>
          </w:p>
        </w:tc>
      </w:tr>
      <w:tr>
        <w:tc>
          <w:tcPr>
            <w:tcW w:type="dxa" w:w="2556"/>
            <w:vAlign w:val="center"/>
          </w:tcPr>
          <w:p>
            <w:r>
              <w:t>dim_accounts</w:t>
            </w:r>
          </w:p>
        </w:tc>
        <w:tc>
          <w:tcPr>
            <w:tcW w:type="dxa" w:w="2556"/>
            <w:vAlign w:val="center"/>
          </w:tcPr>
          <w:p>
            <w:r>
              <w:t>acquisition_channel</w:t>
            </w:r>
          </w:p>
        </w:tc>
        <w:tc>
          <w:tcPr>
            <w:tcW w:type="dxa" w:w="2556"/>
            <w:vAlign w:val="center"/>
          </w:tcPr>
          <w:p>
            <w:r>
              <w:t>Whitespace</w:t>
            </w:r>
          </w:p>
        </w:tc>
        <w:tc>
          <w:tcPr>
            <w:tcW w:type="dxa" w:w="2556"/>
            <w:vAlign w:val="center"/>
          </w:tcPr>
          <w:p>
            <w:r>
              <w:t>TRIM</w:t>
            </w:r>
          </w:p>
        </w:tc>
      </w:tr>
      <w:tr>
        <w:tc>
          <w:tcPr>
            <w:tcW w:type="dxa" w:w="2556"/>
            <w:vAlign w:val="center"/>
          </w:tcPr>
          <w:p>
            <w:r>
              <w:t>dim_accounts</w:t>
            </w:r>
          </w:p>
        </w:tc>
        <w:tc>
          <w:tcPr>
            <w:tcW w:type="dxa" w:w="2556"/>
            <w:vAlign w:val="center"/>
          </w:tcPr>
          <w:p>
            <w:r>
              <w:t>employee_count</w:t>
            </w:r>
          </w:p>
        </w:tc>
        <w:tc>
          <w:tcPr>
            <w:tcW w:type="dxa" w:w="2556"/>
            <w:vAlign w:val="center"/>
          </w:tcPr>
          <w:p>
            <w:r>
              <w:t>Missing values</w:t>
            </w:r>
          </w:p>
        </w:tc>
        <w:tc>
          <w:tcPr>
            <w:tcW w:type="dxa" w:w="2556"/>
            <w:vAlign w:val="center"/>
          </w:tcPr>
          <w:p>
            <w:r>
              <w:t>Impute/flag based on use case</w:t>
            </w:r>
          </w:p>
        </w:tc>
      </w:tr>
      <w:tr>
        <w:tc>
          <w:tcPr>
            <w:tcW w:type="dxa" w:w="2556"/>
            <w:vAlign w:val="center"/>
          </w:tcPr>
          <w:p>
            <w:r>
              <w:t>fact_monthly_account_snapshot</w:t>
            </w:r>
          </w:p>
        </w:tc>
        <w:tc>
          <w:tcPr>
            <w:tcW w:type="dxa" w:w="2556"/>
            <w:vAlign w:val="center"/>
          </w:tcPr>
          <w:p>
            <w:r>
              <w:t>seat_utilization</w:t>
            </w:r>
          </w:p>
        </w:tc>
        <w:tc>
          <w:tcPr>
            <w:tcW w:type="dxa" w:w="2556"/>
            <w:vAlign w:val="center"/>
          </w:tcPr>
          <w:p>
            <w:r>
              <w:t>Missing values</w:t>
            </w:r>
          </w:p>
        </w:tc>
        <w:tc>
          <w:tcPr>
            <w:tcW w:type="dxa" w:w="2556"/>
            <w:vAlign w:val="center"/>
          </w:tcPr>
          <w:p>
            <w:r>
              <w:t>Recalculate active_users / seats</w:t>
            </w:r>
          </w:p>
        </w:tc>
      </w:tr>
      <w:tr>
        <w:tc>
          <w:tcPr>
            <w:tcW w:type="dxa" w:w="2556"/>
            <w:vAlign w:val="center"/>
          </w:tcPr>
          <w:p>
            <w:r>
              <w:t>fact_monthly_account_snapshot</w:t>
            </w:r>
          </w:p>
        </w:tc>
        <w:tc>
          <w:tcPr>
            <w:tcW w:type="dxa" w:w="2556"/>
            <w:vAlign w:val="center"/>
          </w:tcPr>
          <w:p>
            <w:r>
              <w:t>discount_pct</w:t>
            </w:r>
          </w:p>
        </w:tc>
        <w:tc>
          <w:tcPr>
            <w:tcW w:type="dxa" w:w="2556"/>
            <w:vAlign w:val="center"/>
          </w:tcPr>
          <w:p>
            <w:r>
              <w:t>Scale error</w:t>
            </w:r>
          </w:p>
        </w:tc>
        <w:tc>
          <w:tcPr>
            <w:tcW w:type="dxa" w:w="2556"/>
            <w:vAlign w:val="center"/>
          </w:tcPr>
          <w:p>
            <w:r>
              <w:t>If &gt;1 divide by 100</w:t>
            </w:r>
          </w:p>
        </w:tc>
      </w:tr>
      <w:tr>
        <w:tc>
          <w:tcPr>
            <w:tcW w:type="dxa" w:w="2556"/>
            <w:vAlign w:val="center"/>
          </w:tcPr>
          <w:p>
            <w:r>
              <w:t>fact_monthly_account_snapshot</w:t>
            </w:r>
          </w:p>
        </w:tc>
        <w:tc>
          <w:tcPr>
            <w:tcW w:type="dxa" w:w="2556"/>
            <w:vAlign w:val="center"/>
          </w:tcPr>
          <w:p>
            <w:r>
              <w:t>nps_score</w:t>
            </w:r>
          </w:p>
        </w:tc>
        <w:tc>
          <w:tcPr>
            <w:tcW w:type="dxa" w:w="2556"/>
            <w:vAlign w:val="center"/>
          </w:tcPr>
          <w:p>
            <w:r>
              <w:t>Invalid range</w:t>
            </w:r>
          </w:p>
        </w:tc>
        <w:tc>
          <w:tcPr>
            <w:tcW w:type="dxa" w:w="2556"/>
            <w:vAlign w:val="center"/>
          </w:tcPr>
          <w:p>
            <w:r>
              <w:t>Set outside 0–10 to NULL</w:t>
            </w:r>
          </w:p>
        </w:tc>
      </w:tr>
      <w:tr>
        <w:tc>
          <w:tcPr>
            <w:tcW w:type="dxa" w:w="2556"/>
            <w:vAlign w:val="center"/>
          </w:tcPr>
          <w:p>
            <w:r>
              <w:t>fact_invoices</w:t>
            </w:r>
          </w:p>
        </w:tc>
        <w:tc>
          <w:tcPr>
            <w:tcW w:type="dxa" w:w="2556"/>
            <w:vAlign w:val="center"/>
          </w:tcPr>
          <w:p>
            <w:r>
              <w:t>invoice_id</w:t>
            </w:r>
          </w:p>
        </w:tc>
        <w:tc>
          <w:tcPr>
            <w:tcW w:type="dxa" w:w="2556"/>
            <w:vAlign w:val="center"/>
          </w:tcPr>
          <w:p>
            <w:r>
              <w:t>Duplicate rows</w:t>
            </w:r>
          </w:p>
        </w:tc>
        <w:tc>
          <w:tcPr>
            <w:tcW w:type="dxa" w:w="2556"/>
            <w:vAlign w:val="center"/>
          </w:tcPr>
          <w:p>
            <w:r>
              <w:t>Deduplicate on invoice_id</w:t>
            </w:r>
          </w:p>
        </w:tc>
      </w:tr>
      <w:tr>
        <w:tc>
          <w:tcPr>
            <w:tcW w:type="dxa" w:w="2556"/>
            <w:vAlign w:val="center"/>
          </w:tcPr>
          <w:p>
            <w:r>
              <w:t>fact_invoices</w:t>
            </w:r>
          </w:p>
        </w:tc>
        <w:tc>
          <w:tcPr>
            <w:tcW w:type="dxa" w:w="2556"/>
            <w:vAlign w:val="center"/>
          </w:tcPr>
          <w:p>
            <w:r>
              <w:t>payment_status</w:t>
            </w:r>
          </w:p>
        </w:tc>
        <w:tc>
          <w:tcPr>
            <w:tcW w:type="dxa" w:w="2556"/>
            <w:vAlign w:val="center"/>
          </w:tcPr>
          <w:p>
            <w:r>
              <w:t>Case inconsistency</w:t>
            </w:r>
          </w:p>
        </w:tc>
        <w:tc>
          <w:tcPr>
            <w:tcW w:type="dxa" w:w="2556"/>
            <w:vAlign w:val="center"/>
          </w:tcPr>
          <w:p>
            <w:r>
              <w:t>INITCAP/TRIM</w:t>
            </w:r>
          </w:p>
        </w:tc>
      </w:tr>
      <w:tr>
        <w:tc>
          <w:tcPr>
            <w:tcW w:type="dxa" w:w="2556"/>
            <w:vAlign w:val="center"/>
          </w:tcPr>
          <w:p>
            <w:r>
              <w:t>fact_support_tickets</w:t>
            </w:r>
          </w:p>
        </w:tc>
        <w:tc>
          <w:tcPr>
            <w:tcW w:type="dxa" w:w="2556"/>
            <w:vAlign w:val="center"/>
          </w:tcPr>
          <w:p>
            <w:r>
              <w:t>ticket_type</w:t>
            </w:r>
          </w:p>
        </w:tc>
        <w:tc>
          <w:tcPr>
            <w:tcW w:type="dxa" w:w="2556"/>
            <w:vAlign w:val="center"/>
          </w:tcPr>
          <w:p>
            <w:r>
              <w:t>Case inconsistency</w:t>
            </w:r>
          </w:p>
        </w:tc>
        <w:tc>
          <w:tcPr>
            <w:tcW w:type="dxa" w:w="2556"/>
            <w:vAlign w:val="center"/>
          </w:tcPr>
          <w:p>
            <w:r>
              <w:t>Canonical mapping</w:t>
            </w:r>
          </w:p>
        </w:tc>
      </w:tr>
    </w:tbl>
    <w:p>
      <w:pPr>
        <w:pStyle w:val="Heading1"/>
      </w:pPr>
      <w:r>
        <w:t>3. Revenue Retention</w:t>
      </w:r>
    </w:p>
    <w:p>
      <w:r>
        <w:t>Latest NRR is 97.8% while GRR is 95.6%. Expansion offsets part of gross leakage, but the installed base is not fully self-compounding. Retention, contraction and expansion therefore need separate management actions.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r_by_seg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Customer Health</w:t>
      </w:r>
    </w:p>
    <w:p>
      <w:r>
        <w:t>Reference health weights: 35% usage, 20% NPS, 18% support, 12% payment behaviour and 15% revenue trend. The score is a prioritization heuristic, not a causal claim.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r_by_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2355B"/>
          </w:tcPr>
          <w:p>
            <w:r>
              <w:rPr>
                <w:b/>
              </w:rPr>
              <w:t>Health Band</w:t>
            </w:r>
          </w:p>
        </w:tc>
        <w:tc>
          <w:tcPr>
            <w:tcW w:type="dxa" w:w="3408"/>
            <w:shd w:fill="12355B"/>
          </w:tcPr>
          <w:p>
            <w:r>
              <w:rPr>
                <w:b/>
              </w:rPr>
              <w:t>Accounts</w:t>
            </w:r>
          </w:p>
        </w:tc>
        <w:tc>
          <w:tcPr>
            <w:tcW w:type="dxa" w:w="3408"/>
            <w:shd w:fill="12355B"/>
          </w:tcPr>
          <w:p>
            <w:r>
              <w:rPr>
                <w:b/>
              </w:rPr>
              <w:t>ARR (£m)</w:t>
            </w:r>
          </w:p>
        </w:tc>
      </w:tr>
      <w:tr>
        <w:tc>
          <w:tcPr>
            <w:tcW w:type="dxa" w:w="3408"/>
            <w:vAlign w:val="center"/>
          </w:tcPr>
          <w:p>
            <w:r>
              <w:t>At Risk</w:t>
            </w:r>
          </w:p>
        </w:tc>
        <w:tc>
          <w:tcPr>
            <w:tcW w:type="dxa" w:w="3408"/>
            <w:vAlign w:val="center"/>
          </w:tcPr>
          <w:p>
            <w:r>
              <w:t>257</w:t>
            </w:r>
          </w:p>
        </w:tc>
        <w:tc>
          <w:tcPr>
            <w:tcW w:type="dxa" w:w="3408"/>
            <w:vAlign w:val="center"/>
          </w:tcPr>
          <w:p>
            <w:r>
              <w:t>47.1</w:t>
            </w:r>
          </w:p>
        </w:tc>
      </w:tr>
      <w:tr>
        <w:tc>
          <w:tcPr>
            <w:tcW w:type="dxa" w:w="3408"/>
            <w:vAlign w:val="center"/>
          </w:tcPr>
          <w:p>
            <w:r>
              <w:t>Healthy</w:t>
            </w:r>
          </w:p>
        </w:tc>
        <w:tc>
          <w:tcPr>
            <w:tcW w:type="dxa" w:w="3408"/>
            <w:vAlign w:val="center"/>
          </w:tcPr>
          <w:p>
            <w:r>
              <w:t>1202</w:t>
            </w:r>
          </w:p>
        </w:tc>
        <w:tc>
          <w:tcPr>
            <w:tcW w:type="dxa" w:w="3408"/>
            <w:vAlign w:val="center"/>
          </w:tcPr>
          <w:p>
            <w:r>
              <w:t>337.2</w:t>
            </w:r>
          </w:p>
        </w:tc>
      </w:tr>
      <w:tr>
        <w:tc>
          <w:tcPr>
            <w:tcW w:type="dxa" w:w="3408"/>
            <w:vAlign w:val="center"/>
          </w:tcPr>
          <w:p>
            <w:r>
              <w:t>Watch</w:t>
            </w:r>
          </w:p>
        </w:tc>
        <w:tc>
          <w:tcPr>
            <w:tcW w:type="dxa" w:w="3408"/>
            <w:vAlign w:val="center"/>
          </w:tcPr>
          <w:p>
            <w:r>
              <w:t>2869</w:t>
            </w:r>
          </w:p>
        </w:tc>
        <w:tc>
          <w:tcPr>
            <w:tcW w:type="dxa" w:w="3408"/>
            <w:vAlign w:val="center"/>
          </w:tcPr>
          <w:p>
            <w:r>
              <w:t>708.2</w:t>
            </w:r>
          </w:p>
        </w:tc>
      </w:tr>
    </w:tbl>
    <w:p>
      <w:pPr>
        <w:pStyle w:val="Heading1"/>
      </w:pPr>
      <w:r>
        <w:t>5. Pricing &amp; Monetization</w:t>
      </w:r>
    </w:p>
    <w:p>
      <w:r>
        <w:t>Excess discounting represents approximately £20.90m annualized leakage. Treat this as an addressable pool and apply a realistic capture rate.</w:t>
      </w:r>
    </w:p>
    <w:p>
      <w:r>
        <w:drawing>
          <wp:inline xmlns:a="http://schemas.openxmlformats.org/drawingml/2006/main" xmlns:pic="http://schemas.openxmlformats.org/drawingml/2006/picture">
            <wp:extent cx="5852160" cy="325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op_discount_lea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Expansion &amp; Renewal Prioritization</w:t>
      </w:r>
    </w:p>
    <w:p>
      <w:pPr>
        <w:pStyle w:val="ListBullet"/>
      </w:pPr>
      <w:r>
        <w:t>Healthy, ≥80% utilized accounts represent £166.9m of active ARR suitable for targeted expansion analysis.</w:t>
      </w:r>
    </w:p>
    <w:p>
      <w:pPr>
        <w:pStyle w:val="ListBullet"/>
      </w:pPr>
      <w:r>
        <w:t>The 90-day renewal queue contains 1,558 current active accounts.</w:t>
      </w:r>
    </w:p>
    <w:p>
      <w:pPr>
        <w:pStyle w:val="ListBullet"/>
      </w:pPr>
      <w:r>
        <w:t>Use account drill-through to validate usage, NPS, critical support events and payments before action.</w:t>
      </w:r>
    </w:p>
    <w:p>
      <w:pPr>
        <w:pStyle w:val="Heading1"/>
      </w:pPr>
      <w:r>
        <w:t>7. CSM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2355B"/>
          </w:tcPr>
          <w:p>
            <w:r>
              <w:rPr>
                <w:b/>
              </w:rPr>
              <w:t>CSM</w:t>
            </w:r>
          </w:p>
        </w:tc>
        <w:tc>
          <w:tcPr>
            <w:tcW w:type="dxa" w:w="2045"/>
            <w:shd w:fill="12355B"/>
          </w:tcPr>
          <w:p>
            <w:r>
              <w:rPr>
                <w:b/>
              </w:rPr>
              <w:t>Accounts</w:t>
            </w:r>
          </w:p>
        </w:tc>
        <w:tc>
          <w:tcPr>
            <w:tcW w:type="dxa" w:w="2045"/>
            <w:shd w:fill="12355B"/>
          </w:tcPr>
          <w:p>
            <w:r>
              <w:rPr>
                <w:b/>
              </w:rPr>
              <w:t>Portfolio ARR £m</w:t>
            </w:r>
          </w:p>
        </w:tc>
        <w:tc>
          <w:tcPr>
            <w:tcW w:type="dxa" w:w="2045"/>
            <w:shd w:fill="12355B"/>
          </w:tcPr>
          <w:p>
            <w:r>
              <w:rPr>
                <w:b/>
              </w:rPr>
              <w:t>Risk ARR £m</w:t>
            </w:r>
          </w:p>
        </w:tc>
        <w:tc>
          <w:tcPr>
            <w:tcW w:type="dxa" w:w="2045"/>
            <w:shd w:fill="12355B"/>
          </w:tcPr>
          <w:p>
            <w:r>
              <w:rPr>
                <w:b/>
              </w:rPr>
              <w:t>Capacity</w:t>
            </w:r>
          </w:p>
        </w:tc>
      </w:tr>
      <w:tr>
        <w:tc>
          <w:tcPr>
            <w:tcW w:type="dxa" w:w="2045"/>
            <w:vAlign w:val="center"/>
          </w:tcPr>
          <w:p>
            <w:r>
              <w:t>AM027</w:t>
            </w:r>
          </w:p>
        </w:tc>
        <w:tc>
          <w:tcPr>
            <w:tcW w:type="dxa" w:w="2045"/>
            <w:vAlign w:val="center"/>
          </w:tcPr>
          <w:p>
            <w:r>
              <w:t>116</w:t>
            </w:r>
          </w:p>
        </w:tc>
        <w:tc>
          <w:tcPr>
            <w:tcW w:type="dxa" w:w="2045"/>
            <w:vAlign w:val="center"/>
          </w:tcPr>
          <w:p>
            <w:r>
              <w:t>32.2</w:t>
            </w:r>
          </w:p>
        </w:tc>
        <w:tc>
          <w:tcPr>
            <w:tcW w:type="dxa" w:w="2045"/>
            <w:vAlign w:val="center"/>
          </w:tcPr>
          <w:p>
            <w:r>
              <w:t>5.8</w:t>
            </w:r>
          </w:p>
        </w:tc>
        <w:tc>
          <w:tcPr>
            <w:tcW w:type="dxa" w:w="2045"/>
            <w:vAlign w:val="center"/>
          </w:tcPr>
          <w:p>
            <w:r>
              <w:t>194.4%</w:t>
            </w:r>
          </w:p>
        </w:tc>
      </w:tr>
      <w:tr>
        <w:tc>
          <w:tcPr>
            <w:tcW w:type="dxa" w:w="2045"/>
            <w:vAlign w:val="center"/>
          </w:tcPr>
          <w:p>
            <w:r>
              <w:t>AM006</w:t>
            </w:r>
          </w:p>
        </w:tc>
        <w:tc>
          <w:tcPr>
            <w:tcW w:type="dxa" w:w="2045"/>
            <w:vAlign w:val="center"/>
          </w:tcPr>
          <w:p>
            <w:r>
              <w:t>118</w:t>
            </w:r>
          </w:p>
        </w:tc>
        <w:tc>
          <w:tcPr>
            <w:tcW w:type="dxa" w:w="2045"/>
            <w:vAlign w:val="center"/>
          </w:tcPr>
          <w:p>
            <w:r>
              <w:t>29.1</w:t>
            </w:r>
          </w:p>
        </w:tc>
        <w:tc>
          <w:tcPr>
            <w:tcW w:type="dxa" w:w="2045"/>
            <w:vAlign w:val="center"/>
          </w:tcPr>
          <w:p>
            <w:r>
              <w:t>4.0</w:t>
            </w:r>
          </w:p>
        </w:tc>
        <w:tc>
          <w:tcPr>
            <w:tcW w:type="dxa" w:w="2045"/>
            <w:vAlign w:val="center"/>
          </w:tcPr>
          <w:p>
            <w:r>
              <w:t>97.9%</w:t>
            </w:r>
          </w:p>
        </w:tc>
      </w:tr>
      <w:tr>
        <w:tc>
          <w:tcPr>
            <w:tcW w:type="dxa" w:w="2045"/>
            <w:vAlign w:val="center"/>
          </w:tcPr>
          <w:p>
            <w:r>
              <w:t>AM023</w:t>
            </w:r>
          </w:p>
        </w:tc>
        <w:tc>
          <w:tcPr>
            <w:tcW w:type="dxa" w:w="2045"/>
            <w:vAlign w:val="center"/>
          </w:tcPr>
          <w:p>
            <w:r>
              <w:t>103</w:t>
            </w:r>
          </w:p>
        </w:tc>
        <w:tc>
          <w:tcPr>
            <w:tcW w:type="dxa" w:w="2045"/>
            <w:vAlign w:val="center"/>
          </w:tcPr>
          <w:p>
            <w:r>
              <w:t>27.8</w:t>
            </w:r>
          </w:p>
        </w:tc>
        <w:tc>
          <w:tcPr>
            <w:tcW w:type="dxa" w:w="2045"/>
            <w:vAlign w:val="center"/>
          </w:tcPr>
          <w:p>
            <w:r>
              <w:t>2.8</w:t>
            </w:r>
          </w:p>
        </w:tc>
        <w:tc>
          <w:tcPr>
            <w:tcW w:type="dxa" w:w="2045"/>
            <w:vAlign w:val="center"/>
          </w:tcPr>
          <w:p>
            <w:r>
              <w:t>106.2%</w:t>
            </w:r>
          </w:p>
        </w:tc>
      </w:tr>
      <w:tr>
        <w:tc>
          <w:tcPr>
            <w:tcW w:type="dxa" w:w="2045"/>
            <w:vAlign w:val="center"/>
          </w:tcPr>
          <w:p>
            <w:r>
              <w:t>AM039</w:t>
            </w:r>
          </w:p>
        </w:tc>
        <w:tc>
          <w:tcPr>
            <w:tcW w:type="dxa" w:w="2045"/>
            <w:vAlign w:val="center"/>
          </w:tcPr>
          <w:p>
            <w:r>
              <w:t>135</w:t>
            </w:r>
          </w:p>
        </w:tc>
        <w:tc>
          <w:tcPr>
            <w:tcW w:type="dxa" w:w="2045"/>
            <w:vAlign w:val="center"/>
          </w:tcPr>
          <w:p>
            <w:r>
              <w:t>33.4</w:t>
            </w:r>
          </w:p>
        </w:tc>
        <w:tc>
          <w:tcPr>
            <w:tcW w:type="dxa" w:w="2045"/>
            <w:vAlign w:val="center"/>
          </w:tcPr>
          <w:p>
            <w:r>
              <w:t>2.5</w:t>
            </w:r>
          </w:p>
        </w:tc>
        <w:tc>
          <w:tcPr>
            <w:tcW w:type="dxa" w:w="2045"/>
            <w:vAlign w:val="center"/>
          </w:tcPr>
          <w:p>
            <w:r>
              <w:t>185.4%</w:t>
            </w:r>
          </w:p>
        </w:tc>
      </w:tr>
      <w:tr>
        <w:tc>
          <w:tcPr>
            <w:tcW w:type="dxa" w:w="2045"/>
            <w:vAlign w:val="center"/>
          </w:tcPr>
          <w:p>
            <w:r>
              <w:t>AM009</w:t>
            </w:r>
          </w:p>
        </w:tc>
        <w:tc>
          <w:tcPr>
            <w:tcW w:type="dxa" w:w="2045"/>
            <w:vAlign w:val="center"/>
          </w:tcPr>
          <w:p>
            <w:r>
              <w:t>128</w:t>
            </w:r>
          </w:p>
        </w:tc>
        <w:tc>
          <w:tcPr>
            <w:tcW w:type="dxa" w:w="2045"/>
            <w:vAlign w:val="center"/>
          </w:tcPr>
          <w:p>
            <w:r>
              <w:t>41.0</w:t>
            </w:r>
          </w:p>
        </w:tc>
        <w:tc>
          <w:tcPr>
            <w:tcW w:type="dxa" w:w="2045"/>
            <w:vAlign w:val="center"/>
          </w:tcPr>
          <w:p>
            <w:r>
              <w:t>2.3</w:t>
            </w:r>
          </w:p>
        </w:tc>
        <w:tc>
          <w:tcPr>
            <w:tcW w:type="dxa" w:w="2045"/>
            <w:vAlign w:val="center"/>
          </w:tcPr>
          <w:p>
            <w:r>
              <w:t>163.4%</w:t>
            </w:r>
          </w:p>
        </w:tc>
      </w:tr>
      <w:tr>
        <w:tc>
          <w:tcPr>
            <w:tcW w:type="dxa" w:w="2045"/>
            <w:vAlign w:val="center"/>
          </w:tcPr>
          <w:p>
            <w:r>
              <w:t>AM030</w:t>
            </w:r>
          </w:p>
        </w:tc>
        <w:tc>
          <w:tcPr>
            <w:tcW w:type="dxa" w:w="2045"/>
            <w:vAlign w:val="center"/>
          </w:tcPr>
          <w:p>
            <w:r>
              <w:t>112</w:t>
            </w:r>
          </w:p>
        </w:tc>
        <w:tc>
          <w:tcPr>
            <w:tcW w:type="dxa" w:w="2045"/>
            <w:vAlign w:val="center"/>
          </w:tcPr>
          <w:p>
            <w:r>
              <w:t>23.6</w:t>
            </w:r>
          </w:p>
        </w:tc>
        <w:tc>
          <w:tcPr>
            <w:tcW w:type="dxa" w:w="2045"/>
            <w:vAlign w:val="center"/>
          </w:tcPr>
          <w:p>
            <w:r>
              <w:t>2.3</w:t>
            </w:r>
          </w:p>
        </w:tc>
        <w:tc>
          <w:tcPr>
            <w:tcW w:type="dxa" w:w="2045"/>
            <w:vAlign w:val="center"/>
          </w:tcPr>
          <w:p>
            <w:r>
              <w:t>123.8%</w:t>
            </w:r>
          </w:p>
        </w:tc>
      </w:tr>
      <w:tr>
        <w:tc>
          <w:tcPr>
            <w:tcW w:type="dxa" w:w="2045"/>
            <w:vAlign w:val="center"/>
          </w:tcPr>
          <w:p>
            <w:r>
              <w:t>AM021</w:t>
            </w:r>
          </w:p>
        </w:tc>
        <w:tc>
          <w:tcPr>
            <w:tcW w:type="dxa" w:w="2045"/>
            <w:vAlign w:val="center"/>
          </w:tcPr>
          <w:p>
            <w:r>
              <w:t>104</w:t>
            </w:r>
          </w:p>
        </w:tc>
        <w:tc>
          <w:tcPr>
            <w:tcW w:type="dxa" w:w="2045"/>
            <w:vAlign w:val="center"/>
          </w:tcPr>
          <w:p>
            <w:r>
              <w:t>26.8</w:t>
            </w:r>
          </w:p>
        </w:tc>
        <w:tc>
          <w:tcPr>
            <w:tcW w:type="dxa" w:w="2045"/>
            <w:vAlign w:val="center"/>
          </w:tcPr>
          <w:p>
            <w:r>
              <w:t>2.1</w:t>
            </w:r>
          </w:p>
        </w:tc>
        <w:tc>
          <w:tcPr>
            <w:tcW w:type="dxa" w:w="2045"/>
            <w:vAlign w:val="center"/>
          </w:tcPr>
          <w:p>
            <w:r>
              <w:t>184.8%</w:t>
            </w:r>
          </w:p>
        </w:tc>
      </w:tr>
      <w:tr>
        <w:tc>
          <w:tcPr>
            <w:tcW w:type="dxa" w:w="2045"/>
            <w:vAlign w:val="center"/>
          </w:tcPr>
          <w:p>
            <w:r>
              <w:t>AM025</w:t>
            </w:r>
          </w:p>
        </w:tc>
        <w:tc>
          <w:tcPr>
            <w:tcW w:type="dxa" w:w="2045"/>
            <w:vAlign w:val="center"/>
          </w:tcPr>
          <w:p>
            <w:r>
              <w:t>122</w:t>
            </w:r>
          </w:p>
        </w:tc>
        <w:tc>
          <w:tcPr>
            <w:tcW w:type="dxa" w:w="2045"/>
            <w:vAlign w:val="center"/>
          </w:tcPr>
          <w:p>
            <w:r>
              <w:t>37.0</w:t>
            </w:r>
          </w:p>
        </w:tc>
        <w:tc>
          <w:tcPr>
            <w:tcW w:type="dxa" w:w="2045"/>
            <w:vAlign w:val="center"/>
          </w:tcPr>
          <w:p>
            <w:r>
              <w:t>2.0</w:t>
            </w:r>
          </w:p>
        </w:tc>
        <w:tc>
          <w:tcPr>
            <w:tcW w:type="dxa" w:w="2045"/>
            <w:vAlign w:val="center"/>
          </w:tcPr>
          <w:p>
            <w:r>
              <w:t>112.4%</w:t>
            </w:r>
          </w:p>
        </w:tc>
      </w:tr>
      <w:tr>
        <w:tc>
          <w:tcPr>
            <w:tcW w:type="dxa" w:w="2045"/>
            <w:vAlign w:val="center"/>
          </w:tcPr>
          <w:p>
            <w:r>
              <w:t>AM034</w:t>
            </w:r>
          </w:p>
        </w:tc>
        <w:tc>
          <w:tcPr>
            <w:tcW w:type="dxa" w:w="2045"/>
            <w:vAlign w:val="center"/>
          </w:tcPr>
          <w:p>
            <w:r>
              <w:t>115</w:t>
            </w:r>
          </w:p>
        </w:tc>
        <w:tc>
          <w:tcPr>
            <w:tcW w:type="dxa" w:w="2045"/>
            <w:vAlign w:val="center"/>
          </w:tcPr>
          <w:p>
            <w:r>
              <w:t>19.1</w:t>
            </w:r>
          </w:p>
        </w:tc>
        <w:tc>
          <w:tcPr>
            <w:tcW w:type="dxa" w:w="2045"/>
            <w:vAlign w:val="center"/>
          </w:tcPr>
          <w:p>
            <w:r>
              <w:t>1.8</w:t>
            </w:r>
          </w:p>
        </w:tc>
        <w:tc>
          <w:tcPr>
            <w:tcW w:type="dxa" w:w="2045"/>
            <w:vAlign w:val="center"/>
          </w:tcPr>
          <w:p>
            <w:r>
              <w:t>56.1%</w:t>
            </w:r>
          </w:p>
        </w:tc>
      </w:tr>
      <w:tr>
        <w:tc>
          <w:tcPr>
            <w:tcW w:type="dxa" w:w="2045"/>
            <w:vAlign w:val="center"/>
          </w:tcPr>
          <w:p>
            <w:r>
              <w:t>AM003</w:t>
            </w:r>
          </w:p>
        </w:tc>
        <w:tc>
          <w:tcPr>
            <w:tcW w:type="dxa" w:w="2045"/>
            <w:vAlign w:val="center"/>
          </w:tcPr>
          <w:p>
            <w:r>
              <w:t>93</w:t>
            </w:r>
          </w:p>
        </w:tc>
        <w:tc>
          <w:tcPr>
            <w:tcW w:type="dxa" w:w="2045"/>
            <w:vAlign w:val="center"/>
          </w:tcPr>
          <w:p>
            <w:r>
              <w:t>22.1</w:t>
            </w:r>
          </w:p>
        </w:tc>
        <w:tc>
          <w:tcPr>
            <w:tcW w:type="dxa" w:w="2045"/>
            <w:vAlign w:val="center"/>
          </w:tcPr>
          <w:p>
            <w:r>
              <w:t>1.7</w:t>
            </w:r>
          </w:p>
        </w:tc>
        <w:tc>
          <w:tcPr>
            <w:tcW w:type="dxa" w:w="2045"/>
            <w:vAlign w:val="center"/>
          </w:tcPr>
          <w:p>
            <w:r>
              <w:t>66.3%</w:t>
            </w:r>
          </w:p>
        </w:tc>
      </w:tr>
    </w:tbl>
    <w:p>
      <w:pPr>
        <w:pStyle w:val="Heading1"/>
      </w:pPr>
      <w:r>
        <w:t>8. Reference 90-Day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2355B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  <w:shd w:fill="12355B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556"/>
            <w:shd w:fill="12355B"/>
          </w:tcPr>
          <w:p>
            <w:r>
              <w:rPr>
                <w:b/>
              </w:rPr>
              <w:t>Why</w:t>
            </w:r>
          </w:p>
        </w:tc>
        <w:tc>
          <w:tcPr>
            <w:tcW w:type="dxa" w:w="2556"/>
            <w:shd w:fill="12355B"/>
          </w:tcPr>
          <w:p>
            <w:r>
              <w:rPr>
                <w:b/>
              </w:rPr>
              <w:t>KPI</w:t>
            </w:r>
          </w:p>
        </w:tc>
      </w:tr>
      <w:tr>
        <w:tc>
          <w:tcPr>
            <w:tcW w:type="dxa" w:w="2556"/>
            <w:vAlign w:val="center"/>
          </w:tcPr>
          <w:p>
            <w:r>
              <w:t>1</w:t>
            </w:r>
          </w:p>
        </w:tc>
        <w:tc>
          <w:tcPr>
            <w:tcW w:type="dxa" w:w="2556"/>
            <w:vAlign w:val="center"/>
          </w:tcPr>
          <w:p>
            <w:r>
              <w:t>Retention command center</w:t>
            </w:r>
          </w:p>
        </w:tc>
        <w:tc>
          <w:tcPr>
            <w:tcW w:type="dxa" w:w="2556"/>
            <w:vAlign w:val="center"/>
          </w:tcPr>
          <w:p>
            <w:r>
              <w:t>Protect high-value ARR before renewal</w:t>
            </w:r>
          </w:p>
        </w:tc>
        <w:tc>
          <w:tcPr>
            <w:tcW w:type="dxa" w:w="2556"/>
            <w:vAlign w:val="center"/>
          </w:tcPr>
          <w:p>
            <w:r>
              <w:t>ARR at risk; GRR</w:t>
            </w:r>
          </w:p>
        </w:tc>
      </w:tr>
      <w:tr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Adoption rescue</w:t>
            </w:r>
          </w:p>
        </w:tc>
        <w:tc>
          <w:tcPr>
            <w:tcW w:type="dxa" w:w="2556"/>
            <w:vAlign w:val="center"/>
          </w:tcPr>
          <w:p>
            <w:r>
              <w:t>Low utilization is actionable before churn</w:t>
            </w:r>
          </w:p>
        </w:tc>
        <w:tc>
          <w:tcPr>
            <w:tcW w:type="dxa" w:w="2556"/>
            <w:vAlign w:val="center"/>
          </w:tcPr>
          <w:p>
            <w:r>
              <w:t>Seat utilization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3</w:t>
            </w:r>
          </w:p>
        </w:tc>
        <w:tc>
          <w:tcPr>
            <w:tcW w:type="dxa" w:w="2556"/>
            <w:vAlign w:val="center"/>
          </w:tcPr>
          <w:p>
            <w:r>
              <w:t>Discount governance</w:t>
            </w:r>
          </w:p>
        </w:tc>
        <w:tc>
          <w:tcPr>
            <w:tcW w:type="dxa" w:w="2556"/>
            <w:vAlign w:val="center"/>
          </w:tcPr>
          <w:p>
            <w:r>
              <w:t>Recover value without acquiring logos</w:t>
            </w:r>
          </w:p>
        </w:tc>
        <w:tc>
          <w:tcPr>
            <w:tcW w:type="dxa" w:w="2556"/>
            <w:vAlign w:val="center"/>
          </w:tcPr>
          <w:p>
            <w:r>
              <w:t>Pricing leakage</w:t>
            </w:r>
          </w:p>
        </w:tc>
      </w:tr>
      <w:tr>
        <w:tc>
          <w:tcPr>
            <w:tcW w:type="dxa" w:w="2556"/>
            <w:vAlign w:val="center"/>
          </w:tcPr>
          <w:p>
            <w:r>
              <w:t>4</w:t>
            </w:r>
          </w:p>
        </w:tc>
        <w:tc>
          <w:tcPr>
            <w:tcW w:type="dxa" w:w="2556"/>
            <w:vAlign w:val="center"/>
          </w:tcPr>
          <w:p>
            <w:r>
              <w:t>Targeted expansion</w:t>
            </w:r>
          </w:p>
        </w:tc>
        <w:tc>
          <w:tcPr>
            <w:tcW w:type="dxa" w:w="2556"/>
            <w:vAlign w:val="center"/>
          </w:tcPr>
          <w:p>
            <w:r>
              <w:t>Healthy/high-use accounts are credible upsell targets</w:t>
            </w:r>
          </w:p>
        </w:tc>
        <w:tc>
          <w:tcPr>
            <w:tcW w:type="dxa" w:w="2556"/>
            <w:vAlign w:val="center"/>
          </w:tcPr>
          <w:p>
            <w:r>
              <w:t>Expansion MRR; NRR</w:t>
            </w:r>
          </w:p>
        </w:tc>
      </w:tr>
      <w:tr>
        <w:tc>
          <w:tcPr>
            <w:tcW w:type="dxa" w:w="2556"/>
            <w:vAlign w:val="center"/>
          </w:tcPr>
          <w:p>
            <w:r>
              <w:t>5</w:t>
            </w:r>
          </w:p>
        </w:tc>
        <w:tc>
          <w:tcPr>
            <w:tcW w:type="dxa" w:w="2556"/>
            <w:vAlign w:val="center"/>
          </w:tcPr>
          <w:p>
            <w:r>
              <w:t>CSM rebalance</w:t>
            </w:r>
          </w:p>
        </w:tc>
        <w:tc>
          <w:tcPr>
            <w:tcW w:type="dxa" w:w="2556"/>
            <w:vAlign w:val="center"/>
          </w:tcPr>
          <w:p>
            <w:r>
              <w:t>Coverage should follow value and risk</w:t>
            </w:r>
          </w:p>
        </w:tc>
        <w:tc>
          <w:tcPr>
            <w:tcW w:type="dxa" w:w="2556"/>
            <w:vAlign w:val="center"/>
          </w:tcPr>
          <w:p>
            <w:r>
              <w:t>Risk ARR per CSM</w:t>
            </w:r>
          </w:p>
        </w:tc>
      </w:tr>
    </w:tbl>
    <w:p>
      <w:pPr>
        <w:pStyle w:val="Heading1"/>
      </w:pPr>
      <w:r>
        <w:t>9. Consulting Interpretation</w:t>
      </w:r>
    </w:p>
    <w:p>
      <w:r>
        <w:t>The solution should end with a small number of quantified actions, not a list of charts. Opportunity pools must be converted to low/base/high impact using explicit capture assumptions.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