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E4E0" w14:textId="4AA002CF" w:rsidR="004870BE" w:rsidRPr="0004264F" w:rsidRDefault="009B64E5" w:rsidP="00922560">
      <w:pPr>
        <w:jc w:val="center"/>
        <w:rPr>
          <w:rFonts w:eastAsiaTheme="majorEastAsia" w:cstheme="majorBidi"/>
          <w:b/>
          <w:bCs/>
          <w:spacing w:val="-7"/>
          <w:sz w:val="32"/>
          <w:szCs w:val="32"/>
        </w:rPr>
      </w:pPr>
      <w:r w:rsidRPr="0004264F">
        <w:rPr>
          <w:rFonts w:eastAsiaTheme="majorEastAsia" w:cstheme="majorBidi"/>
          <w:b/>
          <w:bCs/>
          <w:spacing w:val="-7"/>
          <w:sz w:val="32"/>
          <w:szCs w:val="32"/>
        </w:rPr>
        <w:t>Early-Life Economic Conditions and Old-Age Mortality: Evidence from Historical County-Level Bank Deposit Data</w:t>
      </w:r>
      <w:r w:rsidR="00D30D9C" w:rsidRPr="0004264F">
        <w:rPr>
          <w:rStyle w:val="FootnoteReference"/>
          <w:rFonts w:eastAsiaTheme="majorEastAsia" w:cstheme="majorBidi"/>
          <w:b/>
          <w:bCs/>
          <w:spacing w:val="-7"/>
          <w:sz w:val="32"/>
          <w:szCs w:val="32"/>
        </w:rPr>
        <w:footnoteReference w:id="1"/>
      </w:r>
    </w:p>
    <w:p w14:paraId="3B469647" w14:textId="77777777" w:rsidR="00A27290" w:rsidRPr="0004264F" w:rsidRDefault="00A27290" w:rsidP="008311D5">
      <w:pPr>
        <w:rPr>
          <w:rFonts w:cstheme="majorBidi"/>
          <w:sz w:val="28"/>
          <w:szCs w:val="24"/>
        </w:rPr>
      </w:pPr>
    </w:p>
    <w:p w14:paraId="19A14A97" w14:textId="77777777" w:rsidR="002A4AA5" w:rsidRPr="0004264F" w:rsidRDefault="002A4AA5" w:rsidP="002A4AA5">
      <w:pPr>
        <w:spacing w:after="0" w:line="360" w:lineRule="auto"/>
        <w:jc w:val="center"/>
        <w:rPr>
          <w:rFonts w:cstheme="majorBidi"/>
          <w:sz w:val="28"/>
          <w:szCs w:val="28"/>
        </w:rPr>
      </w:pPr>
      <w:r w:rsidRPr="0004264F">
        <w:rPr>
          <w:rFonts w:cstheme="majorBidi"/>
          <w:sz w:val="28"/>
          <w:szCs w:val="28"/>
        </w:rPr>
        <w:t>Valentina Duque</w:t>
      </w:r>
      <w:r w:rsidRPr="0004264F">
        <w:rPr>
          <w:rStyle w:val="FootnoteReference"/>
          <w:rFonts w:cstheme="majorBidi"/>
          <w:sz w:val="28"/>
          <w:szCs w:val="28"/>
        </w:rPr>
        <w:footnoteReference w:id="2"/>
      </w:r>
      <w:r w:rsidRPr="0004264F">
        <w:rPr>
          <w:rFonts w:cstheme="majorBidi"/>
          <w:sz w:val="28"/>
          <w:szCs w:val="28"/>
        </w:rPr>
        <w:t xml:space="preserve"> </w:t>
      </w:r>
    </w:p>
    <w:p w14:paraId="089CDFFC" w14:textId="77777777" w:rsidR="002A4AA5" w:rsidRPr="0004264F" w:rsidRDefault="002A4AA5" w:rsidP="002A4AA5">
      <w:pPr>
        <w:spacing w:after="0" w:line="360" w:lineRule="auto"/>
        <w:jc w:val="center"/>
        <w:rPr>
          <w:rFonts w:cstheme="majorBidi"/>
          <w:sz w:val="28"/>
          <w:szCs w:val="28"/>
        </w:rPr>
      </w:pPr>
      <w:r w:rsidRPr="0004264F">
        <w:rPr>
          <w:rFonts w:cstheme="majorBidi"/>
          <w:sz w:val="28"/>
          <w:szCs w:val="28"/>
        </w:rPr>
        <w:t>Jason Fletcher</w:t>
      </w:r>
      <w:r w:rsidRPr="0004264F">
        <w:rPr>
          <w:rStyle w:val="FootnoteReference"/>
          <w:rFonts w:cstheme="majorBidi"/>
          <w:sz w:val="28"/>
          <w:szCs w:val="28"/>
        </w:rPr>
        <w:footnoteReference w:id="3"/>
      </w:r>
      <w:r w:rsidRPr="0004264F">
        <w:rPr>
          <w:rFonts w:cstheme="majorBidi"/>
          <w:sz w:val="28"/>
          <w:szCs w:val="28"/>
        </w:rPr>
        <w:t xml:space="preserve"> </w:t>
      </w:r>
    </w:p>
    <w:p w14:paraId="53A4A3B7" w14:textId="4CE2C54F" w:rsidR="002A4AA5" w:rsidRDefault="002A4AA5" w:rsidP="002A4AA5">
      <w:pPr>
        <w:spacing w:after="0" w:line="360" w:lineRule="auto"/>
        <w:jc w:val="center"/>
        <w:rPr>
          <w:rFonts w:cstheme="majorBidi"/>
          <w:sz w:val="28"/>
          <w:szCs w:val="28"/>
        </w:rPr>
      </w:pPr>
      <w:r w:rsidRPr="0004264F">
        <w:rPr>
          <w:rFonts w:cstheme="majorBidi"/>
          <w:sz w:val="28"/>
          <w:szCs w:val="28"/>
        </w:rPr>
        <w:t>Vikas Gawai</w:t>
      </w:r>
      <w:r w:rsidRPr="0004264F">
        <w:rPr>
          <w:rStyle w:val="FootnoteReference"/>
          <w:rFonts w:cstheme="majorBidi"/>
          <w:sz w:val="28"/>
          <w:szCs w:val="28"/>
        </w:rPr>
        <w:footnoteReference w:id="4"/>
      </w:r>
    </w:p>
    <w:p w14:paraId="76E2FC98" w14:textId="1098DEB6" w:rsidR="009B64E5" w:rsidRPr="0004264F" w:rsidRDefault="00A16CE5" w:rsidP="009B64E5">
      <w:pPr>
        <w:spacing w:after="0" w:line="360" w:lineRule="auto"/>
        <w:jc w:val="center"/>
        <w:rPr>
          <w:rFonts w:cstheme="majorBidi"/>
          <w:sz w:val="28"/>
          <w:szCs w:val="28"/>
        </w:rPr>
      </w:pPr>
      <w:r w:rsidRPr="0004264F">
        <w:rPr>
          <w:rFonts w:cstheme="majorBidi"/>
          <w:sz w:val="28"/>
          <w:szCs w:val="28"/>
        </w:rPr>
        <w:t xml:space="preserve">Hamid </w:t>
      </w:r>
      <w:proofErr w:type="spellStart"/>
      <w:r w:rsidRPr="0004264F">
        <w:rPr>
          <w:rFonts w:cstheme="majorBidi"/>
          <w:sz w:val="28"/>
          <w:szCs w:val="28"/>
        </w:rPr>
        <w:t>Noghanibehambari</w:t>
      </w:r>
      <w:proofErr w:type="spellEnd"/>
      <w:r w:rsidRPr="0004264F">
        <w:rPr>
          <w:rStyle w:val="FootnoteReference"/>
          <w:rFonts w:cstheme="majorBidi"/>
          <w:sz w:val="28"/>
          <w:szCs w:val="28"/>
        </w:rPr>
        <w:footnoteReference w:id="5"/>
      </w:r>
      <w:r w:rsidR="009B64E5" w:rsidRPr="0004264F">
        <w:rPr>
          <w:rFonts w:cstheme="majorBidi"/>
          <w:sz w:val="28"/>
          <w:szCs w:val="28"/>
        </w:rPr>
        <w:t xml:space="preserve"> </w:t>
      </w:r>
    </w:p>
    <w:p w14:paraId="0E9462B8" w14:textId="77777777" w:rsidR="009B64E5" w:rsidRPr="0004264F" w:rsidRDefault="004A049F" w:rsidP="009B64E5">
      <w:pPr>
        <w:spacing w:after="0" w:line="360" w:lineRule="auto"/>
        <w:jc w:val="center"/>
        <w:rPr>
          <w:rFonts w:cstheme="majorBidi"/>
          <w:sz w:val="28"/>
          <w:szCs w:val="28"/>
        </w:rPr>
      </w:pPr>
      <w:r w:rsidRPr="0004264F">
        <w:rPr>
          <w:rFonts w:cstheme="majorBidi"/>
          <w:sz w:val="28"/>
          <w:szCs w:val="28"/>
        </w:rPr>
        <w:t>Lauren Schmitz</w:t>
      </w:r>
      <w:r w:rsidR="00B420C4" w:rsidRPr="0004264F">
        <w:rPr>
          <w:rStyle w:val="FootnoteReference"/>
          <w:rFonts w:cstheme="majorBidi"/>
          <w:sz w:val="28"/>
          <w:szCs w:val="28"/>
        </w:rPr>
        <w:footnoteReference w:id="6"/>
      </w:r>
      <w:r w:rsidR="009B64E5" w:rsidRPr="0004264F">
        <w:rPr>
          <w:rFonts w:cstheme="majorBidi"/>
          <w:sz w:val="28"/>
          <w:szCs w:val="28"/>
        </w:rPr>
        <w:t xml:space="preserve"> </w:t>
      </w:r>
    </w:p>
    <w:p w14:paraId="6A5FAF86" w14:textId="0BD40B12" w:rsidR="00571743" w:rsidRPr="0004264F" w:rsidRDefault="00571743" w:rsidP="008311D5">
      <w:pPr>
        <w:jc w:val="center"/>
        <w:rPr>
          <w:rFonts w:cstheme="majorBidi"/>
        </w:rPr>
      </w:pPr>
    </w:p>
    <w:p w14:paraId="032F95B9" w14:textId="77777777" w:rsidR="004870BE" w:rsidRPr="0004264F" w:rsidRDefault="004870BE" w:rsidP="008311D5">
      <w:pPr>
        <w:jc w:val="center"/>
        <w:rPr>
          <w:rFonts w:cstheme="majorBidi"/>
        </w:rPr>
      </w:pPr>
      <w:r w:rsidRPr="0004264F">
        <w:rPr>
          <w:rFonts w:cstheme="majorBidi"/>
          <w:b/>
          <w:bCs/>
        </w:rPr>
        <w:t>Abstract</w:t>
      </w:r>
    </w:p>
    <w:p w14:paraId="0D330B3F" w14:textId="4BA93C8F" w:rsidR="002F67E5" w:rsidRPr="0004264F" w:rsidRDefault="00735542" w:rsidP="00D304D8">
      <w:pPr>
        <w:spacing w:before="120" w:after="120" w:line="360" w:lineRule="auto"/>
        <w:ind w:left="720" w:right="720"/>
        <w:jc w:val="both"/>
        <w:rPr>
          <w:rFonts w:eastAsiaTheme="minorEastAsia" w:cstheme="majorBidi"/>
          <w:sz w:val="22"/>
        </w:rPr>
      </w:pPr>
      <w:r w:rsidRPr="0004264F">
        <w:rPr>
          <w:rFonts w:eastAsiaTheme="minorEastAsia" w:cstheme="majorBidi"/>
          <w:sz w:val="22"/>
        </w:rPr>
        <w:t>This paper s</w:t>
      </w:r>
      <w:r w:rsidR="001C6514" w:rsidRPr="0004264F">
        <w:rPr>
          <w:rFonts w:eastAsiaTheme="minorEastAsia" w:cstheme="majorBidi"/>
          <w:sz w:val="22"/>
        </w:rPr>
        <w:t xml:space="preserve">tudies the long-run </w:t>
      </w:r>
      <w:r w:rsidR="002F67E5" w:rsidRPr="0004264F">
        <w:rPr>
          <w:rFonts w:eastAsiaTheme="minorEastAsia" w:cstheme="majorBidi"/>
          <w:sz w:val="22"/>
        </w:rPr>
        <w:t>mortality effects of in-utero and early-life economic conditions. We examine how</w:t>
      </w:r>
      <w:r w:rsidR="0021531D" w:rsidRPr="0004264F">
        <w:rPr>
          <w:rFonts w:eastAsiaTheme="minorEastAsia" w:cstheme="majorBidi"/>
          <w:sz w:val="22"/>
        </w:rPr>
        <w:t xml:space="preserve"> local economic conditions</w:t>
      </w:r>
      <w:r w:rsidR="00487F06" w:rsidRPr="0004264F">
        <w:rPr>
          <w:rFonts w:eastAsiaTheme="minorEastAsia" w:cstheme="majorBidi"/>
          <w:sz w:val="22"/>
        </w:rPr>
        <w:t xml:space="preserve"> experienced in the Great Depression</w:t>
      </w:r>
      <w:r w:rsidR="0021531D" w:rsidRPr="0004264F">
        <w:rPr>
          <w:rFonts w:eastAsiaTheme="minorEastAsia" w:cstheme="majorBidi"/>
          <w:sz w:val="22"/>
        </w:rPr>
        <w:t>, proxied by</w:t>
      </w:r>
      <w:r w:rsidR="002F67E5" w:rsidRPr="0004264F">
        <w:rPr>
          <w:rFonts w:eastAsiaTheme="minorEastAsia" w:cstheme="majorBidi"/>
          <w:sz w:val="22"/>
        </w:rPr>
        <w:t xml:space="preserve"> </w:t>
      </w:r>
      <w:r w:rsidR="00922E74" w:rsidRPr="0004264F">
        <w:rPr>
          <w:rFonts w:eastAsiaTheme="minorEastAsia" w:cstheme="majorBidi"/>
          <w:sz w:val="22"/>
        </w:rPr>
        <w:t xml:space="preserve">county level </w:t>
      </w:r>
      <w:r w:rsidR="002F67E5" w:rsidRPr="0004264F">
        <w:rPr>
          <w:rFonts w:eastAsiaTheme="minorEastAsia" w:cstheme="majorBidi"/>
          <w:sz w:val="22"/>
        </w:rPr>
        <w:t>banking deposits</w:t>
      </w:r>
      <w:r w:rsidR="00DE28B0" w:rsidRPr="0004264F">
        <w:rPr>
          <w:rFonts w:eastAsiaTheme="minorEastAsia" w:cstheme="majorBidi"/>
          <w:sz w:val="22"/>
        </w:rPr>
        <w:t xml:space="preserve"> </w:t>
      </w:r>
      <w:r w:rsidR="00080075" w:rsidRPr="0004264F">
        <w:rPr>
          <w:rFonts w:eastAsiaTheme="minorEastAsia" w:cstheme="majorBidi"/>
          <w:sz w:val="22"/>
        </w:rPr>
        <w:t>during in-utero and first years of life</w:t>
      </w:r>
      <w:r w:rsidR="00CA5B9D" w:rsidRPr="0004264F">
        <w:rPr>
          <w:rFonts w:eastAsiaTheme="minorEastAsia" w:cstheme="majorBidi"/>
          <w:sz w:val="22"/>
        </w:rPr>
        <w:t>,</w:t>
      </w:r>
      <w:r w:rsidR="00080075" w:rsidRPr="0004264F">
        <w:rPr>
          <w:rFonts w:eastAsiaTheme="minorEastAsia" w:cstheme="majorBidi"/>
          <w:sz w:val="22"/>
        </w:rPr>
        <w:t xml:space="preserve"> </w:t>
      </w:r>
      <w:r w:rsidR="002F67E5" w:rsidRPr="0004264F">
        <w:rPr>
          <w:rFonts w:eastAsiaTheme="minorEastAsia" w:cstheme="majorBidi"/>
          <w:sz w:val="22"/>
        </w:rPr>
        <w:t xml:space="preserve">can influence old-age longevity. We find that a one-standard-deviation rise in per capita bank deposits is associated with </w:t>
      </w:r>
      <w:r w:rsidR="005A4179" w:rsidRPr="0004264F">
        <w:rPr>
          <w:rFonts w:eastAsiaTheme="minorEastAsia" w:cstheme="majorBidi"/>
          <w:sz w:val="22"/>
        </w:rPr>
        <w:t xml:space="preserve">an approximately </w:t>
      </w:r>
      <w:r w:rsidR="00BA2069" w:rsidRPr="0004264F">
        <w:rPr>
          <w:rFonts w:eastAsiaTheme="minorEastAsia" w:cstheme="majorBidi"/>
          <w:sz w:val="22"/>
        </w:rPr>
        <w:t>1.7</w:t>
      </w:r>
      <w:r w:rsidR="002F67E5" w:rsidRPr="0004264F">
        <w:rPr>
          <w:rFonts w:eastAsiaTheme="minorEastAsia" w:cstheme="majorBidi"/>
          <w:sz w:val="22"/>
        </w:rPr>
        <w:t xml:space="preserve"> months </w:t>
      </w:r>
      <w:r w:rsidR="005A4179" w:rsidRPr="0004264F">
        <w:rPr>
          <w:rFonts w:eastAsiaTheme="minorEastAsia" w:cstheme="majorBidi"/>
          <w:sz w:val="22"/>
        </w:rPr>
        <w:t>increase in longevity at</w:t>
      </w:r>
      <w:r w:rsidR="002F67E5" w:rsidRPr="0004264F">
        <w:rPr>
          <w:rFonts w:eastAsiaTheme="minorEastAsia" w:cstheme="majorBidi"/>
          <w:sz w:val="22"/>
        </w:rPr>
        <w:t xml:space="preserve"> old </w:t>
      </w:r>
      <w:r w:rsidR="00CA5B9D" w:rsidRPr="0004264F">
        <w:rPr>
          <w:rFonts w:eastAsiaTheme="minorEastAsia" w:cstheme="majorBidi"/>
          <w:sz w:val="22"/>
        </w:rPr>
        <w:t>age.</w:t>
      </w:r>
      <w:r w:rsidR="002F67E5" w:rsidRPr="0004264F">
        <w:rPr>
          <w:rFonts w:eastAsiaTheme="minorEastAsia" w:cstheme="majorBidi"/>
          <w:sz w:val="22"/>
        </w:rPr>
        <w:t xml:space="preserve"> </w:t>
      </w:r>
      <w:r w:rsidR="00CA1DCB" w:rsidRPr="0004264F">
        <w:rPr>
          <w:rFonts w:eastAsiaTheme="minorEastAsia" w:cstheme="majorBidi"/>
          <w:sz w:val="22"/>
        </w:rPr>
        <w:t xml:space="preserve">The effects are </w:t>
      </w:r>
      <w:r w:rsidR="002F67E5" w:rsidRPr="0004264F">
        <w:rPr>
          <w:rFonts w:eastAsiaTheme="minorEastAsia" w:cstheme="majorBidi"/>
          <w:sz w:val="22"/>
        </w:rPr>
        <w:t>robust across a wide array of specification checks.</w:t>
      </w:r>
      <w:r w:rsidR="008265DA" w:rsidRPr="0004264F">
        <w:rPr>
          <w:rFonts w:eastAsiaTheme="minorEastAsia" w:cstheme="majorBidi"/>
          <w:sz w:val="22"/>
        </w:rPr>
        <w:t xml:space="preserve"> </w:t>
      </w:r>
      <w:r w:rsidR="00CA1DCB" w:rsidRPr="0004264F">
        <w:rPr>
          <w:rFonts w:eastAsiaTheme="minorEastAsia" w:cstheme="majorBidi"/>
          <w:sz w:val="22"/>
        </w:rPr>
        <w:t xml:space="preserve">Additional analyses </w:t>
      </w:r>
      <w:r w:rsidR="00922E74" w:rsidRPr="0004264F">
        <w:rPr>
          <w:rFonts w:eastAsiaTheme="minorEastAsia" w:cstheme="majorBidi"/>
          <w:sz w:val="22"/>
        </w:rPr>
        <w:t xml:space="preserve">comparing </w:t>
      </w:r>
      <w:r w:rsidR="00CA1DCB" w:rsidRPr="0004264F">
        <w:rPr>
          <w:rFonts w:eastAsiaTheme="minorEastAsia" w:cstheme="majorBidi"/>
          <w:sz w:val="22"/>
        </w:rPr>
        <w:t xml:space="preserve">state-level versus county-level economic measures provide insight on the importance of </w:t>
      </w:r>
      <w:r w:rsidR="0022218C" w:rsidRPr="0004264F">
        <w:rPr>
          <w:rFonts w:eastAsiaTheme="minorEastAsia" w:cstheme="majorBidi"/>
          <w:sz w:val="22"/>
        </w:rPr>
        <w:t xml:space="preserve">controlling for local-level confounders and </w:t>
      </w:r>
      <w:r w:rsidR="00CA1DCB" w:rsidRPr="0004264F">
        <w:rPr>
          <w:rFonts w:eastAsiaTheme="minorEastAsia" w:cstheme="majorBidi"/>
          <w:sz w:val="22"/>
        </w:rPr>
        <w:t xml:space="preserve">exploiting more granular </w:t>
      </w:r>
      <w:r w:rsidR="00CA1DCB" w:rsidRPr="0004264F">
        <w:rPr>
          <w:rFonts w:eastAsiaTheme="minorEastAsia" w:cstheme="majorBidi"/>
          <w:sz w:val="22"/>
        </w:rPr>
        <w:lastRenderedPageBreak/>
        <w:t>measures in exploring</w:t>
      </w:r>
      <w:r w:rsidR="00032101" w:rsidRPr="0004264F">
        <w:rPr>
          <w:rFonts w:eastAsiaTheme="minorEastAsia" w:cstheme="majorBidi"/>
          <w:sz w:val="22"/>
        </w:rPr>
        <w:t xml:space="preserve"> the relationship between</w:t>
      </w:r>
      <w:r w:rsidR="00CA1DCB" w:rsidRPr="0004264F">
        <w:rPr>
          <w:rFonts w:eastAsiaTheme="minorEastAsia" w:cstheme="majorBidi"/>
          <w:sz w:val="22"/>
        </w:rPr>
        <w:t xml:space="preserve"> early-life condition</w:t>
      </w:r>
      <w:r w:rsidR="00032101" w:rsidRPr="0004264F">
        <w:rPr>
          <w:rFonts w:eastAsiaTheme="minorEastAsia" w:cstheme="majorBidi"/>
          <w:sz w:val="22"/>
        </w:rPr>
        <w:t>s</w:t>
      </w:r>
      <w:r w:rsidR="00CA1DCB" w:rsidRPr="0004264F">
        <w:rPr>
          <w:rFonts w:eastAsiaTheme="minorEastAsia" w:cstheme="majorBidi"/>
          <w:sz w:val="22"/>
        </w:rPr>
        <w:t xml:space="preserve"> and later-life mortality.</w:t>
      </w:r>
    </w:p>
    <w:p w14:paraId="46EED9F3" w14:textId="6B8E46B0" w:rsidR="004870BE" w:rsidRPr="0004264F" w:rsidRDefault="004870BE" w:rsidP="00813FD6">
      <w:pPr>
        <w:spacing w:before="120" w:after="120"/>
        <w:rPr>
          <w:rFonts w:cstheme="majorBidi"/>
          <w:szCs w:val="24"/>
        </w:rPr>
      </w:pPr>
      <w:r w:rsidRPr="0004264F">
        <w:rPr>
          <w:rFonts w:cstheme="majorBidi"/>
          <w:b/>
          <w:bCs/>
          <w:szCs w:val="24"/>
        </w:rPr>
        <w:t>Keywords</w:t>
      </w:r>
      <w:r w:rsidRPr="0004264F">
        <w:rPr>
          <w:rFonts w:cstheme="majorBidi"/>
          <w:szCs w:val="24"/>
        </w:rPr>
        <w:t xml:space="preserve">: </w:t>
      </w:r>
      <w:r w:rsidR="00813FD6" w:rsidRPr="0004264F">
        <w:rPr>
          <w:rFonts w:cstheme="majorBidi"/>
          <w:szCs w:val="24"/>
        </w:rPr>
        <w:t xml:space="preserve">Mortality, Longevity, </w:t>
      </w:r>
      <w:r w:rsidR="0095065C" w:rsidRPr="0004264F">
        <w:rPr>
          <w:rFonts w:cstheme="majorBidi"/>
          <w:szCs w:val="24"/>
        </w:rPr>
        <w:t>Great Depression</w:t>
      </w:r>
      <w:r w:rsidR="00813FD6" w:rsidRPr="0004264F">
        <w:rPr>
          <w:rFonts w:cstheme="majorBidi"/>
          <w:szCs w:val="24"/>
        </w:rPr>
        <w:t xml:space="preserve">, </w:t>
      </w:r>
      <w:r w:rsidR="00650495" w:rsidRPr="0004264F">
        <w:rPr>
          <w:rFonts w:cstheme="majorBidi"/>
          <w:szCs w:val="24"/>
        </w:rPr>
        <w:t>Historical Data</w:t>
      </w:r>
    </w:p>
    <w:p w14:paraId="2C673454" w14:textId="5CD54F9D" w:rsidR="004759D4" w:rsidRPr="0004264F" w:rsidRDefault="004870BE" w:rsidP="00B24F42">
      <w:pPr>
        <w:spacing w:before="120" w:after="120"/>
        <w:rPr>
          <w:rFonts w:cstheme="majorBidi"/>
          <w:szCs w:val="24"/>
        </w:rPr>
      </w:pPr>
      <w:r w:rsidRPr="0004264F">
        <w:rPr>
          <w:rFonts w:cstheme="majorBidi"/>
          <w:b/>
          <w:bCs/>
          <w:szCs w:val="24"/>
        </w:rPr>
        <w:t>JEL Codes</w:t>
      </w:r>
      <w:r w:rsidRPr="0004264F">
        <w:rPr>
          <w:rFonts w:cstheme="majorBidi"/>
          <w:szCs w:val="24"/>
        </w:rPr>
        <w:t xml:space="preserve">: </w:t>
      </w:r>
      <w:r w:rsidR="00B24F42" w:rsidRPr="0004264F">
        <w:rPr>
          <w:rFonts w:cstheme="majorBidi"/>
          <w:szCs w:val="24"/>
        </w:rPr>
        <w:t xml:space="preserve">H75, I12, I18, J18   </w:t>
      </w:r>
    </w:p>
    <w:p w14:paraId="3840F94A" w14:textId="2229F67F" w:rsidR="0090761F" w:rsidRPr="0004264F" w:rsidRDefault="004759D4" w:rsidP="00650495">
      <w:pPr>
        <w:spacing w:before="120" w:after="120"/>
        <w:rPr>
          <w:rFonts w:cstheme="majorBidi"/>
        </w:rPr>
        <w:sectPr w:rsidR="0090761F" w:rsidRPr="0004264F" w:rsidSect="00847BB4">
          <w:footerReference w:type="default" r:id="rId12"/>
          <w:footnotePr>
            <w:numFmt w:val="chicago"/>
          </w:footnotePr>
          <w:pgSz w:w="12240" w:h="15840"/>
          <w:pgMar w:top="1440" w:right="1440" w:bottom="1440" w:left="1440" w:header="720" w:footer="720" w:gutter="0"/>
          <w:cols w:space="720"/>
          <w:docGrid w:linePitch="360"/>
        </w:sectPr>
      </w:pPr>
      <w:r w:rsidRPr="0004264F">
        <w:rPr>
          <w:rFonts w:cstheme="majorBidi"/>
          <w:szCs w:val="24"/>
        </w:rPr>
        <w:t xml:space="preserve">     </w:t>
      </w:r>
    </w:p>
    <w:p w14:paraId="67A556F5" w14:textId="6882736B" w:rsidR="004870BE" w:rsidRPr="0004264F" w:rsidRDefault="004870BE" w:rsidP="009B353A">
      <w:pPr>
        <w:pStyle w:val="Heading1"/>
        <w:rPr>
          <w:rFonts w:asciiTheme="majorBidi" w:hAnsiTheme="majorBidi"/>
        </w:rPr>
      </w:pPr>
      <w:bookmarkStart w:id="0" w:name="_Ref100352065"/>
      <w:r w:rsidRPr="0004264F">
        <w:rPr>
          <w:rFonts w:asciiTheme="majorBidi" w:hAnsiTheme="majorBidi"/>
        </w:rPr>
        <w:lastRenderedPageBreak/>
        <w:t>Introductio</w:t>
      </w:r>
      <w:r w:rsidR="004A4956" w:rsidRPr="0004264F">
        <w:rPr>
          <w:rFonts w:asciiTheme="majorBidi" w:hAnsiTheme="majorBidi"/>
        </w:rPr>
        <w:t>n</w:t>
      </w:r>
      <w:bookmarkEnd w:id="0"/>
    </w:p>
    <w:p w14:paraId="3E594191" w14:textId="3AEDB06F" w:rsidR="00580FD3" w:rsidRPr="0004264F" w:rsidRDefault="00580FD3" w:rsidP="0095065C">
      <w:pPr>
        <w:spacing w:after="120" w:line="480" w:lineRule="auto"/>
        <w:ind w:firstLine="720"/>
        <w:jc w:val="both"/>
        <w:rPr>
          <w:rFonts w:cstheme="majorBidi"/>
          <w:color w:val="000000" w:themeColor="text1"/>
          <w:szCs w:val="24"/>
        </w:rPr>
      </w:pPr>
      <w:r w:rsidRPr="0004264F">
        <w:rPr>
          <w:rFonts w:cstheme="majorBidi"/>
          <w:color w:val="000000" w:themeColor="text1"/>
          <w:szCs w:val="24"/>
        </w:rPr>
        <w:t xml:space="preserve">Increases in life expectancy have been one of the most significant improvements in households’ welfare over the last century </w:t>
      </w:r>
      <w:r w:rsidR="0095065C" w:rsidRPr="0004264F">
        <w:rPr>
          <w:rFonts w:cstheme="majorBidi"/>
          <w:color w:val="000000" w:themeColor="text1"/>
          <w:szCs w:val="24"/>
        </w:rPr>
        <w:fldChar w:fldCharType="begin" w:fldLock="1"/>
      </w:r>
      <w:r w:rsidR="0095065C" w:rsidRPr="0004264F">
        <w:rPr>
          <w:rFonts w:cstheme="majorBidi"/>
          <w:color w:val="000000" w:themeColor="text1"/>
          <w:szCs w:val="24"/>
        </w:rPr>
        <w:instrText>ADDIN CSL_CITATION {"citationItems":[{"id":"ITEM-1","itemData":{"ISBN":"9780691165622","author":[{"dropping-particle":"","family":"Deaton","given":"Angus","non-dropping-particle":"","parse-names":false,"suffix":""}],"id":"ITEM-1","issued":{"date-parts":[["2003"]]},"publisher":"Prinncenton University Press","title":"The great escape.Health, wealth, and the oringins os inequality","type":"book"},"uris":["http://www.mendeley.com/documents/?uuid=0f961ff3-ad09-35c5-8669-b6335ba3ee9c"]},{"id":"ITEM-2","itemData":{"DOI":"10.1257/JEP.20.3.97","ISSN":"0895-3309","author":[{"dropping-particle":"","family":"Cutler","given":"David","non-dropping-particle":"","parse-names":false,"suffix":""},{"dropping-particle":"","family":"Deaton","given":"Angus","non-dropping-particle":"","parse-names":false,"suffix":""},{"dropping-particle":"","family":"Lleras-Muney","given":"Adriana","non-dropping-particle":"","parse-names":false,"suffix":""}],"container-title":"Journal of Economic Perspectives","id":"ITEM-2","issue":"3","issued":{"date-parts":[["2006","6"]]},"page":"97-120","title":"The Determinants of Mortality","type":"article-journal","volume":"20"},"uris":["http://www.mendeley.com/documents/?uuid=0c9b8b00-f44b-3b9c-9770-32bf30b5dac9"]}],"mendeley":{"formattedCitation":"(D. Cutler et al., 2006; Deaton, 2003)","manualFormatting":"(Cutler et al., 2006; Deaton, 2003)","plainTextFormattedCitation":"(D. Cutler et al., 2006; Deaton, 2003)","previouslyFormattedCitation":"(D. Cutler et al., 2006; Deaton, 2003)"},"properties":{"noteIndex":0},"schema":"https://github.com/citation-style-language/schema/raw/master/csl-citation.json"}</w:instrText>
      </w:r>
      <w:r w:rsidR="0095065C" w:rsidRPr="0004264F">
        <w:rPr>
          <w:rFonts w:cstheme="majorBidi"/>
          <w:color w:val="000000" w:themeColor="text1"/>
          <w:szCs w:val="24"/>
        </w:rPr>
        <w:fldChar w:fldCharType="separate"/>
      </w:r>
      <w:r w:rsidR="0095065C" w:rsidRPr="0004264F">
        <w:rPr>
          <w:rFonts w:cstheme="majorBidi"/>
          <w:noProof/>
          <w:color w:val="000000" w:themeColor="text1"/>
          <w:szCs w:val="24"/>
        </w:rPr>
        <w:t>(Cutler et al., 2006; Deaton, 2003)</w:t>
      </w:r>
      <w:r w:rsidR="0095065C" w:rsidRPr="0004264F">
        <w:rPr>
          <w:rFonts w:cstheme="majorBidi"/>
          <w:color w:val="000000" w:themeColor="text1"/>
          <w:szCs w:val="24"/>
        </w:rPr>
        <w:fldChar w:fldCharType="end"/>
      </w:r>
      <w:r w:rsidRPr="0004264F">
        <w:rPr>
          <w:rFonts w:cstheme="majorBidi"/>
          <w:color w:val="000000" w:themeColor="text1"/>
          <w:szCs w:val="24"/>
        </w:rPr>
        <w:t>.</w:t>
      </w:r>
      <w:r w:rsidRPr="0004264F">
        <w:rPr>
          <w:rStyle w:val="FootnoteReference"/>
          <w:rFonts w:cstheme="majorBidi"/>
          <w:color w:val="000000" w:themeColor="text1"/>
          <w:szCs w:val="24"/>
        </w:rPr>
        <w:footnoteReference w:id="7"/>
      </w:r>
      <w:r w:rsidRPr="0004264F">
        <w:rPr>
          <w:rFonts w:cstheme="majorBidi"/>
          <w:color w:val="000000" w:themeColor="text1"/>
          <w:szCs w:val="24"/>
        </w:rPr>
        <w:t xml:space="preserve"> In the past 100 years, Americans have enjoyed an overall gain of approximately 25 years in life expectancy at birth. Motivated by the growing body of research showing that conditions experienced in utero and early childhood are key determinants of health and human capital outcomes later in life</w:t>
      </w:r>
      <w:r w:rsidR="0095065C" w:rsidRPr="0004264F">
        <w:rPr>
          <w:rFonts w:cstheme="majorBidi"/>
          <w:color w:val="000000" w:themeColor="text1"/>
          <w:szCs w:val="24"/>
        </w:rPr>
        <w:t xml:space="preserve"> </w:t>
      </w:r>
      <w:r w:rsidR="0095065C" w:rsidRPr="0004264F">
        <w:rPr>
          <w:rFonts w:cstheme="majorBidi"/>
          <w:color w:val="000000" w:themeColor="text1"/>
          <w:szCs w:val="24"/>
        </w:rPr>
        <w:fldChar w:fldCharType="begin" w:fldLock="1"/>
      </w:r>
      <w:r w:rsidR="00075E74" w:rsidRPr="0004264F">
        <w:rPr>
          <w:rFonts w:cstheme="majorBidi"/>
          <w:color w:val="000000" w:themeColor="text1"/>
          <w:szCs w:val="24"/>
        </w:rPr>
        <w:instrText>ADDIN CSL_CITATION {"citationItems":[{"id":"ITEM-1","itemData":{"author":[{"dropping-particle":"","family":"Barker","given":"D. J.P.","non-dropping-particle":"","parse-names":false,"suffix":""}],"container-title":"BMJ: British Medical Journal","id":"ITEM-1","issue":"6761","issued":{"date-parts":[["1990"]]},"page":"1111","publisher":"BMJ Publishing Group","title":"The fetal and infant origins of adult disease.","type":"article-journal","volume":"301"},"uris":["http://www.mendeley.com/documents/?uuid=451c968e-dfad-3a76-9d19-3e9b835a1e6a"]},{"id":"ITEM-2","itemData":{"DOI":"10.1257/JEP.25.3.153","ISSN":"0895-3309","PMID":"25152565","author":[{"dropping-particle":"","family":"Almond","given":"Douglas","non-dropping-particle":"","parse-names":false,"suffix":""},{"dropping-particle":"","family":"Currie","given":"Janet","non-dropping-particle":"","parse-names":false,"suffix":""}],"container-title":"Journal of Economic Perspectives","id":"ITEM-2","issue":"3","issued":{"date-parts":[["2011","6"]]},"page":"153-72","title":"Killing Me Softly: The Fetal Origins Hypothesis","type":"article-journal","volume":"25"},"uris":["http://www.mendeley.com/documents/?uuid=dd7836ff-f738-3d30-a5e5-0e38e24c934e"]},{"id":"ITEM-3","itemData":{"author":[{"dropping-particle":"","family":"Almond","given":"Douglas","non-dropping-particle":"","parse-names":false,"suffix":""},{"dropping-particle":"","family":"Currie","given":"Janet","non-dropping-particle":"","parse-names":false,"suffix":""},{"dropping-particle":"","family":"Duque","given":"Valentina","non-dropping-particle":"","parse-names":false,"suffix":""}],"container-title":"Journal of Economic Literature","id":"ITEM-3","issue":"4","issued":{"date-parts":[["2018"]]},"page":"1360-1446","title":"Childhood circumstances and adult outcomes: Act II","type":"article-journal","volume":"56"},"uris":["http://www.mendeley.com/documents/?uuid=c43c66ef-32da-4fae-a135-723fd3f32eea"]}],"mendeley":{"formattedCitation":"(Almond et al., 2018; Almond &amp; Currie, 2011; Barker, 1990)","plainTextFormattedCitation":"(Almond et al., 2018; Almond &amp; Currie, 2011; Barker, 1990)","previouslyFormattedCitation":"(Almond et al., 2018; Almond &amp; Currie, 2011; Barker, 1990)"},"properties":{"noteIndex":0},"schema":"https://github.com/citation-style-language/schema/raw/master/csl-citation.json"}</w:instrText>
      </w:r>
      <w:r w:rsidR="0095065C" w:rsidRPr="0004264F">
        <w:rPr>
          <w:rFonts w:cstheme="majorBidi"/>
          <w:color w:val="000000" w:themeColor="text1"/>
          <w:szCs w:val="24"/>
        </w:rPr>
        <w:fldChar w:fldCharType="separate"/>
      </w:r>
      <w:r w:rsidR="0095065C" w:rsidRPr="0004264F">
        <w:rPr>
          <w:rFonts w:cstheme="majorBidi"/>
          <w:noProof/>
          <w:color w:val="000000" w:themeColor="text1"/>
          <w:szCs w:val="24"/>
        </w:rPr>
        <w:t>(Almond et al., 2018; Almond &amp; Currie, 2011; Barker, 1990)</w:t>
      </w:r>
      <w:r w:rsidR="0095065C" w:rsidRPr="0004264F">
        <w:rPr>
          <w:rFonts w:cstheme="majorBidi"/>
          <w:color w:val="000000" w:themeColor="text1"/>
          <w:szCs w:val="24"/>
        </w:rPr>
        <w:fldChar w:fldCharType="end"/>
      </w:r>
      <w:r w:rsidRPr="0004264F">
        <w:rPr>
          <w:rFonts w:cstheme="majorBidi"/>
          <w:color w:val="000000" w:themeColor="text1"/>
          <w:szCs w:val="24"/>
        </w:rPr>
        <w:t xml:space="preserve">, we provide new evidence on the relationship between early-life </w:t>
      </w:r>
      <w:r w:rsidR="00CA5B9D" w:rsidRPr="0004264F">
        <w:rPr>
          <w:rFonts w:cstheme="majorBidi"/>
          <w:color w:val="000000" w:themeColor="text1"/>
          <w:szCs w:val="24"/>
        </w:rPr>
        <w:t xml:space="preserve">economic conditions </w:t>
      </w:r>
      <w:r w:rsidRPr="0004264F">
        <w:rPr>
          <w:rFonts w:cstheme="majorBidi"/>
          <w:color w:val="000000" w:themeColor="text1"/>
          <w:szCs w:val="24"/>
        </w:rPr>
        <w:t xml:space="preserve">and </w:t>
      </w:r>
      <w:r w:rsidR="00CA5B9D" w:rsidRPr="0004264F">
        <w:rPr>
          <w:rFonts w:cstheme="majorBidi"/>
          <w:color w:val="000000" w:themeColor="text1"/>
          <w:szCs w:val="24"/>
        </w:rPr>
        <w:t>old age mortality</w:t>
      </w:r>
      <w:r w:rsidRPr="0004264F">
        <w:rPr>
          <w:rFonts w:cstheme="majorBidi"/>
          <w:color w:val="000000" w:themeColor="text1"/>
          <w:szCs w:val="24"/>
        </w:rPr>
        <w:t xml:space="preserve">, by focusing on the most severe economic recession in American history, the Great Depression. </w:t>
      </w:r>
    </w:p>
    <w:p w14:paraId="1DDE1BA4" w14:textId="7E8D1177" w:rsidR="00580FD3" w:rsidRPr="0004264F" w:rsidRDefault="00580FD3" w:rsidP="0095065C">
      <w:pPr>
        <w:spacing w:after="120" w:line="480" w:lineRule="auto"/>
        <w:ind w:firstLine="720"/>
        <w:jc w:val="both"/>
        <w:rPr>
          <w:rFonts w:cstheme="majorBidi"/>
          <w:color w:val="000000" w:themeColor="text1"/>
          <w:szCs w:val="24"/>
        </w:rPr>
      </w:pPr>
      <w:r w:rsidRPr="0004264F">
        <w:rPr>
          <w:rFonts w:cstheme="majorBidi"/>
          <w:color w:val="000000" w:themeColor="text1"/>
          <w:szCs w:val="24"/>
        </w:rPr>
        <w:t xml:space="preserve">Using micro-level data on the universe of deaths from </w:t>
      </w:r>
      <w:r w:rsidR="0095065C" w:rsidRPr="0004264F">
        <w:rPr>
          <w:rFonts w:cstheme="majorBidi"/>
          <w:color w:val="000000" w:themeColor="text1"/>
          <w:szCs w:val="24"/>
        </w:rPr>
        <w:t>1975</w:t>
      </w:r>
      <w:r w:rsidRPr="0004264F">
        <w:rPr>
          <w:rFonts w:cstheme="majorBidi"/>
          <w:color w:val="000000" w:themeColor="text1"/>
          <w:szCs w:val="24"/>
        </w:rPr>
        <w:t xml:space="preserve"> and </w:t>
      </w:r>
      <w:r w:rsidR="0095065C" w:rsidRPr="0004264F">
        <w:rPr>
          <w:rFonts w:cstheme="majorBidi"/>
          <w:color w:val="000000" w:themeColor="text1"/>
          <w:szCs w:val="24"/>
        </w:rPr>
        <w:t>2005</w:t>
      </w:r>
      <w:r w:rsidRPr="0004264F">
        <w:rPr>
          <w:rFonts w:cstheme="majorBidi"/>
          <w:color w:val="000000" w:themeColor="text1"/>
          <w:szCs w:val="24"/>
        </w:rPr>
        <w:t xml:space="preserve"> obtained from the Social Security Administration death records and linked with the 1940 U.S. Complete Count Census, this paper analyzes how individual </w:t>
      </w:r>
      <w:r w:rsidR="00E2387A" w:rsidRPr="0004264F">
        <w:rPr>
          <w:rFonts w:cstheme="majorBidi"/>
          <w:color w:val="000000" w:themeColor="text1"/>
          <w:szCs w:val="24"/>
        </w:rPr>
        <w:t>longevity</w:t>
      </w:r>
      <w:r w:rsidRPr="0004264F">
        <w:rPr>
          <w:rFonts w:cstheme="majorBidi"/>
          <w:color w:val="000000" w:themeColor="text1"/>
          <w:szCs w:val="24"/>
        </w:rPr>
        <w:t xml:space="preserve"> is affected by local economic shocks before birth and during the first years of life. We proxy local economic conditions with annual, county-level per capita bank deposits.</w:t>
      </w:r>
      <w:r w:rsidRPr="0004264F">
        <w:rPr>
          <w:rStyle w:val="FootnoteReference"/>
          <w:rFonts w:cstheme="majorBidi"/>
          <w:color w:val="000000" w:themeColor="text1"/>
          <w:szCs w:val="24"/>
        </w:rPr>
        <w:footnoteReference w:id="8"/>
      </w:r>
      <w:r w:rsidRPr="0004264F">
        <w:rPr>
          <w:rFonts w:cstheme="majorBidi"/>
          <w:color w:val="000000" w:themeColor="text1"/>
          <w:szCs w:val="24"/>
        </w:rPr>
        <w:t xml:space="preserve"> </w:t>
      </w:r>
      <w:r w:rsidRPr="0004264F">
        <w:rPr>
          <w:rFonts w:cstheme="majorBidi"/>
        </w:rPr>
        <w:t>We focus on this measure because financial distress in the banking system played a major role in propagating the contraction of economic activity and employment during the Great Depression</w:t>
      </w:r>
      <w:r w:rsidR="00EA6E35" w:rsidRPr="0004264F">
        <w:rPr>
          <w:rFonts w:cstheme="majorBidi"/>
        </w:rPr>
        <w:t xml:space="preserve"> </w:t>
      </w:r>
      <w:r w:rsidR="00EA6E35" w:rsidRPr="0004264F">
        <w:rPr>
          <w:rFonts w:cstheme="majorBidi"/>
        </w:rPr>
        <w:fldChar w:fldCharType="begin" w:fldLock="1"/>
      </w:r>
      <w:r w:rsidR="00BA7965" w:rsidRPr="0004264F">
        <w:rPr>
          <w:rFonts w:cstheme="majorBidi"/>
        </w:rPr>
        <w:instrText>ADDIN CSL_CITATION {"citationItems":[{"id":"ITEM-1","itemData":{"DOI":"10.2307/1907327","ISSN":"00129682","abstract":"IN Booms and Depressions, I have developed, theoretically and statistically, what may be called a debt-deflation theory of great depressions. In the preface, I stated that the results \"seem largely new,\" I spoke thus cautiously because of my unfamiliarity with the vast literature on the subject. Since the book was published its special conclusions have been widely accepted and, so far as I know, no one has yet found them anticipated by previous writers, though several, including myself, have zealously sought to find such anticipations. Two of the best-read authorities in this field assure me that those conclusions are, in the words of one of them, \"both new and important.\" Partly to specify what some of these special conclusions are which are believed to be new and partly to fit them into the conclusions of other students in this field, I am offering this paper as embodying, in brief, my present \"creed\" on the whole subject of so-called \"cycle theory.\" My \"creed\" consists of 49 \"articles\" some of which are old and some new. I say \"creed\" because, for brevity, it is purposely expressed dogmatically and without proof. But it is not a creed in the sense that my faith in it does not rest on evidence and that I am not ready to modify it on presentation of new evidence. On the contrary, it is quite tentative. It may serve as a challenge to others and as raw material to help them work out a better product. Meanwhile the following is a list of my 49 tentative conclusions.","author":[{"dropping-particle":"","family":"Fisher","given":"Irving","non-dropping-particle":"","parse-names":false,"suffix":""}],"container-title":"Econometrica","id":"ITEM-1","issue":"4","issued":{"date-parts":[["1933","10"]]},"page":"337","publisher":"JSTOR","title":"The Debt-Deflation Theory of Great Depressions","type":"article-journal","volume":"1"},"uris":["http://www.mendeley.com/documents/?uuid=d12822c4-2453-3e7a-885a-3aab97cd852f"]},{"id":"ITEM-2","itemData":{"author":[{"dropping-particle":"","family":"Friedman","given":"Milton","non-dropping-particle":"","parse-names":false,"suffix":""},{"dropping-particle":"","family":"Schwartz","given":"Anna Jacobson","non-dropping-particle":"","parse-names":false,"suffix":""}],"id":"ITEM-2","issued":{"date-parts":[["1963"]]},"publisher":"Princeton University Press","title":"A monetary history of the United States, 1867-1960","type":"book","volume":"16"},"uris":["http://www.mendeley.com/documents/?uuid=6e44eaa0-ee76-40f2-aef8-f4379de4d70c"]},{"id":"ITEM-3","itemData":{"author":[{"dropping-particle":"","family":"Bernanke","given":"Ben S","non-dropping-particle":"","parse-names":false,"suffix":""}],"id":"ITEM-3","issued":{"date-parts":[["1983"]]},"title":"Non-monetary effects of the financial crisis in the propagation of the Great Depression","type":"report"},"uris":["http://www.mendeley.com/documents/?uuid=95f12624-c648-4abe-9591-3881251e43d3"]}],"mendeley":{"formattedCitation":"(Bernanke, 1983; Fisher, 1933; Friedman &amp; Schwartz, 1963)","plainTextFormattedCitation":"(Bernanke, 1983; Fisher, 1933; Friedman &amp; Schwartz, 1963)","previouslyFormattedCitation":"(Bernanke, 1983; Fisher, 1933; Friedman &amp; Schwartz, 1963)"},"properties":{"noteIndex":0},"schema":"https://github.com/citation-style-language/schema/raw/master/csl-citation.json"}</w:instrText>
      </w:r>
      <w:r w:rsidR="00EA6E35" w:rsidRPr="0004264F">
        <w:rPr>
          <w:rFonts w:cstheme="majorBidi"/>
        </w:rPr>
        <w:fldChar w:fldCharType="separate"/>
      </w:r>
      <w:r w:rsidR="00EA6E35" w:rsidRPr="0004264F">
        <w:rPr>
          <w:rFonts w:cstheme="majorBidi"/>
          <w:noProof/>
        </w:rPr>
        <w:t>(Bernanke, 1983; Fisher, 1933; Friedman &amp; Schwartz, 1963)</w:t>
      </w:r>
      <w:r w:rsidR="00EA6E35" w:rsidRPr="0004264F">
        <w:rPr>
          <w:rFonts w:cstheme="majorBidi"/>
        </w:rPr>
        <w:fldChar w:fldCharType="end"/>
      </w:r>
      <w:r w:rsidRPr="0004264F">
        <w:rPr>
          <w:rFonts w:cstheme="majorBidi"/>
        </w:rPr>
        <w:t xml:space="preserve">. Therefore, our measure captures the severity of the economic shock experienced by households </w:t>
      </w:r>
      <w:r w:rsidRPr="0004264F">
        <w:rPr>
          <w:rFonts w:cstheme="majorBidi"/>
        </w:rPr>
        <w:lastRenderedPageBreak/>
        <w:t>across different regions while</w:t>
      </w:r>
      <w:r w:rsidR="002C6141" w:rsidRPr="0004264F">
        <w:rPr>
          <w:rFonts w:cstheme="majorBidi"/>
        </w:rPr>
        <w:t>, unlike all other measures of economic conditions used in the literature,</w:t>
      </w:r>
      <w:r w:rsidRPr="0004264F">
        <w:rPr>
          <w:rFonts w:cstheme="majorBidi"/>
        </w:rPr>
        <w:t xml:space="preserve"> having the advantage of being available at the county and year level prior to 1929.</w:t>
      </w:r>
      <w:r w:rsidRPr="0004264F">
        <w:rPr>
          <w:rFonts w:cstheme="majorBidi"/>
          <w:color w:val="000000" w:themeColor="text1"/>
          <w:szCs w:val="24"/>
        </w:rPr>
        <w:t xml:space="preserve"> </w:t>
      </w:r>
    </w:p>
    <w:p w14:paraId="5BB879E7" w14:textId="7D23D3D4" w:rsidR="00580FD3" w:rsidRPr="0004264F" w:rsidRDefault="00580FD3" w:rsidP="00EA6E35">
      <w:pPr>
        <w:spacing w:after="120" w:line="480" w:lineRule="auto"/>
        <w:ind w:firstLine="720"/>
        <w:jc w:val="both"/>
        <w:rPr>
          <w:rFonts w:cstheme="majorBidi"/>
          <w:color w:val="000000" w:themeColor="text1"/>
          <w:szCs w:val="24"/>
        </w:rPr>
      </w:pPr>
      <w:r w:rsidRPr="0004264F">
        <w:rPr>
          <w:rFonts w:cstheme="majorBidi"/>
          <w:color w:val="000000" w:themeColor="text1"/>
          <w:szCs w:val="24"/>
        </w:rPr>
        <w:t xml:space="preserve">Our empirical model uses a two-way fixed effects strategy that compares the </w:t>
      </w:r>
      <w:r w:rsidR="00E2387A" w:rsidRPr="0004264F">
        <w:rPr>
          <w:rFonts w:cstheme="majorBidi"/>
          <w:color w:val="000000" w:themeColor="text1"/>
          <w:szCs w:val="24"/>
        </w:rPr>
        <w:t xml:space="preserve">longevity </w:t>
      </w:r>
      <w:r w:rsidRPr="0004264F">
        <w:rPr>
          <w:rFonts w:cstheme="majorBidi"/>
          <w:color w:val="000000" w:themeColor="text1"/>
          <w:szCs w:val="24"/>
        </w:rPr>
        <w:t xml:space="preserve">of cohorts born before, during, and after the Great Depression and who were differentially exposed to local economic shocks around the time of birth, controlling for county-level time-invariant characteristics, temporal shocks, and </w:t>
      </w:r>
      <w:r w:rsidR="00A57EB6" w:rsidRPr="0004264F">
        <w:rPr>
          <w:rFonts w:cstheme="majorBidi"/>
          <w:color w:val="000000" w:themeColor="text1"/>
          <w:szCs w:val="24"/>
        </w:rPr>
        <w:t>within-state county-group</w:t>
      </w:r>
      <w:r w:rsidRPr="0004264F">
        <w:rPr>
          <w:rFonts w:cstheme="majorBidi"/>
          <w:color w:val="000000" w:themeColor="text1"/>
          <w:szCs w:val="24"/>
        </w:rPr>
        <w:t xml:space="preserve">-by-year fixed effects. Our findings suggest that a one-standard-deviation increase in bank deposits during the in-utero period, which is equivalent to </w:t>
      </w:r>
      <w:r w:rsidR="002C6A2E" w:rsidRPr="0004264F">
        <w:rPr>
          <w:rFonts w:cstheme="majorBidi"/>
          <w:color w:val="000000" w:themeColor="text1"/>
          <w:szCs w:val="24"/>
        </w:rPr>
        <w:t xml:space="preserve">roughly </w:t>
      </w:r>
      <w:r w:rsidR="007F04C7" w:rsidRPr="0004264F">
        <w:rPr>
          <w:rFonts w:cstheme="majorBidi"/>
          <w:color w:val="000000" w:themeColor="text1"/>
          <w:szCs w:val="24"/>
        </w:rPr>
        <w:t>4</w:t>
      </w:r>
      <w:r w:rsidR="002C6A2E" w:rsidRPr="0004264F">
        <w:rPr>
          <w:rFonts w:cstheme="majorBidi"/>
          <w:color w:val="000000" w:themeColor="text1"/>
          <w:szCs w:val="24"/>
        </w:rPr>
        <w:t xml:space="preserve"> times the drop in deposits between the years 192</w:t>
      </w:r>
      <w:r w:rsidR="007F04C7" w:rsidRPr="0004264F">
        <w:rPr>
          <w:rFonts w:cstheme="majorBidi"/>
          <w:color w:val="000000" w:themeColor="text1"/>
          <w:szCs w:val="24"/>
        </w:rPr>
        <w:t>9</w:t>
      </w:r>
      <w:r w:rsidR="002C6A2E" w:rsidRPr="0004264F">
        <w:rPr>
          <w:rFonts w:cstheme="majorBidi"/>
          <w:color w:val="000000" w:themeColor="text1"/>
          <w:szCs w:val="24"/>
        </w:rPr>
        <w:t>-1933</w:t>
      </w:r>
      <w:r w:rsidR="007F04C7" w:rsidRPr="0004264F">
        <w:rPr>
          <w:rFonts w:cstheme="majorBidi"/>
          <w:color w:val="000000" w:themeColor="text1"/>
          <w:szCs w:val="24"/>
        </w:rPr>
        <w:t xml:space="preserve"> (peak-to-trough of the Great </w:t>
      </w:r>
      <w:r w:rsidR="00166685" w:rsidRPr="0004264F">
        <w:rPr>
          <w:rFonts w:cstheme="majorBidi"/>
          <w:color w:val="000000" w:themeColor="text1"/>
          <w:szCs w:val="24"/>
        </w:rPr>
        <w:t>Depression</w:t>
      </w:r>
      <w:r w:rsidR="007F04C7" w:rsidRPr="0004264F">
        <w:rPr>
          <w:rFonts w:cstheme="majorBidi"/>
          <w:color w:val="000000" w:themeColor="text1"/>
          <w:szCs w:val="24"/>
        </w:rPr>
        <w:t>)</w:t>
      </w:r>
      <w:r w:rsidRPr="0004264F">
        <w:rPr>
          <w:rFonts w:cstheme="majorBidi"/>
          <w:color w:val="000000" w:themeColor="text1"/>
          <w:szCs w:val="24"/>
        </w:rPr>
        <w:t xml:space="preserve">, is correlated with </w:t>
      </w:r>
      <w:r w:rsidR="00D56B77" w:rsidRPr="0004264F">
        <w:rPr>
          <w:rFonts w:cstheme="majorBidi"/>
          <w:color w:val="000000" w:themeColor="text1"/>
          <w:szCs w:val="24"/>
        </w:rPr>
        <w:t xml:space="preserve">a </w:t>
      </w:r>
      <w:r w:rsidRPr="0004264F">
        <w:rPr>
          <w:rFonts w:cstheme="majorBidi"/>
          <w:color w:val="000000" w:themeColor="text1"/>
          <w:szCs w:val="24"/>
        </w:rPr>
        <w:t xml:space="preserve">roughly </w:t>
      </w:r>
      <w:r w:rsidR="007F04C7" w:rsidRPr="0004264F">
        <w:rPr>
          <w:rFonts w:cstheme="majorBidi"/>
          <w:color w:val="000000" w:themeColor="text1"/>
          <w:szCs w:val="24"/>
        </w:rPr>
        <w:t>1.7</w:t>
      </w:r>
      <w:r w:rsidRPr="0004264F">
        <w:rPr>
          <w:rFonts w:cstheme="majorBidi"/>
          <w:color w:val="000000" w:themeColor="text1"/>
          <w:szCs w:val="24"/>
        </w:rPr>
        <w:t xml:space="preserve"> months higher age at death in old age</w:t>
      </w:r>
      <w:r w:rsidR="00D56B77" w:rsidRPr="0004264F">
        <w:rPr>
          <w:rFonts w:cstheme="majorBidi"/>
          <w:color w:val="000000" w:themeColor="text1"/>
          <w:szCs w:val="24"/>
        </w:rPr>
        <w:t>.</w:t>
      </w:r>
      <w:r w:rsidRPr="0004264F">
        <w:rPr>
          <w:rFonts w:cstheme="majorBidi"/>
          <w:color w:val="000000" w:themeColor="text1"/>
          <w:szCs w:val="24"/>
        </w:rPr>
        <w:t xml:space="preserve"> The effect is quite robust across a wide array of specifications. To assess whether these relationships are an artifact of overall trends in health improvements/disruptions, we implement a placebo test and show that the effects become indistinguishable from zero for deposits at pre-prenatal ages. We also argue that these effects are not driven by endogenous demographic changes in the sample due to changes in fertility, early-life survival, or migration. Additional analys</w:t>
      </w:r>
      <w:r w:rsidR="00BA7965" w:rsidRPr="0004264F">
        <w:rPr>
          <w:rFonts w:cstheme="majorBidi"/>
          <w:color w:val="000000" w:themeColor="text1"/>
          <w:szCs w:val="24"/>
        </w:rPr>
        <w:t>i</w:t>
      </w:r>
      <w:r w:rsidRPr="0004264F">
        <w:rPr>
          <w:rFonts w:cstheme="majorBidi"/>
          <w:color w:val="000000" w:themeColor="text1"/>
          <w:szCs w:val="24"/>
        </w:rPr>
        <w:t xml:space="preserve">s suggests that improvements in educational attainments and income in adulthood are potential mechanism channels. However, using estimates from previous studies, we posit that these channels only partially reflect the pathways. </w:t>
      </w:r>
    </w:p>
    <w:p w14:paraId="58785670" w14:textId="040AE123" w:rsidR="00580FD3" w:rsidRPr="0004264F" w:rsidRDefault="00580FD3" w:rsidP="00580FD3">
      <w:pPr>
        <w:spacing w:after="120" w:line="480" w:lineRule="auto"/>
        <w:ind w:firstLine="720"/>
        <w:jc w:val="both"/>
        <w:rPr>
          <w:rFonts w:cstheme="majorBidi"/>
          <w:color w:val="000000" w:themeColor="text1"/>
          <w:szCs w:val="24"/>
        </w:rPr>
      </w:pPr>
      <w:r w:rsidRPr="0004264F">
        <w:rPr>
          <w:rFonts w:cstheme="majorBidi"/>
          <w:color w:val="000000" w:themeColor="text1"/>
          <w:szCs w:val="24"/>
        </w:rPr>
        <w:t xml:space="preserve">The motivation of the current study stems from the limited evidence of in-utero economic conditions and later-life longevity. </w:t>
      </w:r>
      <w:r w:rsidR="00BA7965" w:rsidRPr="0004264F">
        <w:rPr>
          <w:rFonts w:cstheme="majorBidi"/>
          <w:color w:val="000000" w:themeColor="text1"/>
          <w:szCs w:val="24"/>
        </w:rPr>
        <w:fldChar w:fldCharType="begin" w:fldLock="1"/>
      </w:r>
      <w:r w:rsidR="005C14B0" w:rsidRPr="0004264F">
        <w:rPr>
          <w:rFonts w:cstheme="majorBidi"/>
          <w:color w:val="000000" w:themeColor="text1"/>
          <w:szCs w:val="24"/>
        </w:rPr>
        <w:instrText>ADDIN CSL_CITATION {"citationItems":[{"id":"ITEM-1","itemData":{"DOI":"10.1257/000282806776157740","ISSN":"0002-8282","PMID":"29125729","author":[{"dropping-particle":"","family":"Berg","given":"Gerard J.","non-dropping-particle":"Van Den","parse-names":false,"suffix":""},{"dropping-particle":"","family":"Lindeboom","given":"Maarten","non-dropping-particle":"","parse-names":false,"suffix":""},{"dropping-particle":"","family":"Portrait","given":"France","non-dropping-particle":"","parse-names":false,"suffix":""},{"dropping-particle":"Van Den","family":"Berg","given":"Gerard J","non-dropping-particle":"","parse-names":false,"suffix":""},{"dropping-particle":"","family":"Lindeboom","given":"Maarten","non-dropping-particle":"","parse-names":false,"suffix":""},{"dropping-particle":"","family":"Portrait","given":"France","non-dropping-particle":"","parse-names":false,"suffix":""},{"dropping-particle":"","family":"Berg","given":"Gerard J","non-dropping-particle":"den","parse-names":false,"suffix":""},{"dropping-particle":"","family":"Lindeboom","given":"Maarten","non-dropping-particle":"","parse-names":false,"suffix":""},{"dropping-particle":"","family":"Portrait","given":"France","non-dropping-particle":"","parse-names":false,"suffix":""}],"container-title":"American Economic Review","id":"ITEM-1","issue":"1","issued":{"date-parts":[["2006","3"]]},"page":"290-302","title":"Economic Conditions Early in Life and Individual Mortality","type":"article-journal","volume":"96"},"uris":["http://www.mendeley.com/documents/?uuid=0105bfac-dc1c-4461-8420-c607f410acf3"]}],"mendeley":{"formattedCitation":"(Van Den Berg et al., 2006)","manualFormatting":"Van Den Berg et al. (2006)","plainTextFormattedCitation":"(Van Den Berg et al., 2006)","previouslyFormattedCitation":"(Van Den Berg et al., 2006)"},"properties":{"noteIndex":0},"schema":"https://github.com/citation-style-language/schema/raw/master/csl-citation.json"}</w:instrText>
      </w:r>
      <w:r w:rsidR="00BA7965" w:rsidRPr="0004264F">
        <w:rPr>
          <w:rFonts w:cstheme="majorBidi"/>
          <w:color w:val="000000" w:themeColor="text1"/>
          <w:szCs w:val="24"/>
        </w:rPr>
        <w:fldChar w:fldCharType="separate"/>
      </w:r>
      <w:r w:rsidR="00BA7965" w:rsidRPr="0004264F">
        <w:rPr>
          <w:rFonts w:cstheme="majorBidi"/>
          <w:noProof/>
          <w:color w:val="000000" w:themeColor="text1"/>
          <w:szCs w:val="24"/>
        </w:rPr>
        <w:t>Van Den Berg et al. (2006)</w:t>
      </w:r>
      <w:r w:rsidR="00BA7965" w:rsidRPr="0004264F">
        <w:rPr>
          <w:rFonts w:cstheme="majorBidi"/>
          <w:color w:val="000000" w:themeColor="text1"/>
          <w:szCs w:val="24"/>
        </w:rPr>
        <w:fldChar w:fldCharType="end"/>
      </w:r>
      <w:r w:rsidRPr="0004264F">
        <w:rPr>
          <w:rFonts w:cstheme="majorBidi"/>
          <w:color w:val="000000" w:themeColor="text1"/>
          <w:szCs w:val="24"/>
        </w:rPr>
        <w:t xml:space="preserve"> were the first to document the adverse effects of </w:t>
      </w:r>
      <w:r w:rsidR="001378DC" w:rsidRPr="0004264F">
        <w:rPr>
          <w:rFonts w:cstheme="majorBidi"/>
          <w:color w:val="000000" w:themeColor="text1"/>
          <w:szCs w:val="24"/>
        </w:rPr>
        <w:t xml:space="preserve">national </w:t>
      </w:r>
      <w:r w:rsidRPr="0004264F">
        <w:rPr>
          <w:rFonts w:cstheme="majorBidi"/>
          <w:color w:val="000000" w:themeColor="text1"/>
          <w:szCs w:val="24"/>
        </w:rPr>
        <w:t>economic conditions around birth on life expectancy using historical data for the Netherlands. The authors found that cohorts born during an economic boom live</w:t>
      </w:r>
      <w:r w:rsidR="00300CAF" w:rsidRPr="0004264F">
        <w:rPr>
          <w:rFonts w:cstheme="majorBidi"/>
          <w:color w:val="000000" w:themeColor="text1"/>
          <w:szCs w:val="24"/>
        </w:rPr>
        <w:t>d</w:t>
      </w:r>
      <w:r w:rsidRPr="0004264F">
        <w:rPr>
          <w:rFonts w:cstheme="majorBidi"/>
          <w:color w:val="000000" w:themeColor="text1"/>
          <w:szCs w:val="24"/>
        </w:rPr>
        <w:t xml:space="preserve"> 1.6 years longer (or 4 percent longer relative to the life expectancy of 39 years) than those born during economic recessions. No effects were found when booms were experienced </w:t>
      </w:r>
      <w:r w:rsidR="00300CAF" w:rsidRPr="0004264F">
        <w:rPr>
          <w:rFonts w:cstheme="majorBidi"/>
          <w:color w:val="000000" w:themeColor="text1"/>
          <w:szCs w:val="24"/>
        </w:rPr>
        <w:t xml:space="preserve">during early </w:t>
      </w:r>
      <w:r w:rsidR="00300CAF" w:rsidRPr="0004264F">
        <w:rPr>
          <w:rFonts w:cstheme="majorBidi"/>
          <w:color w:val="000000" w:themeColor="text1"/>
          <w:szCs w:val="24"/>
        </w:rPr>
        <w:lastRenderedPageBreak/>
        <w:t>childhood</w:t>
      </w:r>
      <w:r w:rsidRPr="0004264F">
        <w:rPr>
          <w:rFonts w:cstheme="majorBidi"/>
          <w:color w:val="000000" w:themeColor="text1"/>
          <w:szCs w:val="24"/>
        </w:rPr>
        <w:t xml:space="preserve">. Similarly, </w:t>
      </w:r>
      <w:r w:rsidR="005C14B0" w:rsidRPr="0004264F">
        <w:rPr>
          <w:rFonts w:cstheme="majorBidi"/>
          <w:color w:val="000000" w:themeColor="text1"/>
          <w:szCs w:val="24"/>
        </w:rPr>
        <w:fldChar w:fldCharType="begin" w:fldLock="1"/>
      </w:r>
      <w:r w:rsidR="00075E74" w:rsidRPr="0004264F">
        <w:rPr>
          <w:rFonts w:cstheme="majorBidi"/>
          <w:color w:val="000000" w:themeColor="text1"/>
          <w:szCs w:val="24"/>
        </w:rPr>
        <w:instrText>ADDIN CSL_CITATION {"citationItems":[{"id":"ITEM-1","itemData":{"DOI":"10.1016/J.JHEALECO.2010.06.001","ISSN":"0167-6296","PMID":"20663577","abstract":"Nutritional conditions in utero and during infancy may causally affect health and mortality during childhood, adulthood, and at old ages. This paper investigates whether exposure to a nutritional shock in early life negatively affects survival at older ages, using individual data. Nutritional conditions are captured by exposure to the Potato famine in the Netherlands in 1846-1847, and by regional and temporal variation in market prices of potato and rye. The data cover the lifetimes of a random sample of Dutch individuals born between 1812 and 1902 and provide individual information on life events and demographic and socioeconomic characteristics. First we non-parametrically compare the total and residual lifetimes of individuals exposed and not exposed to the famine in utero and/or until age 1. Next, we estimate survival models in which we control for individual characteristics and additional (early life) determinants of mortality. We find strong evidence for long-run effects of exposure to the Potato famine. The results are stronger for boys than for girls. Boys and girls lose on average 4, respectively 2.5 years of life after age 50 after exposure at birth to the Potato famine. Lower social classes appear to be more affected by early life exposure to the Potato famine than higher social classes. These results confirm the mechanism linking early life (nutritional) conditions to old-age mortality. Finally, higher food prices at birth appear to reduce later life mortality of children of farmers from higher social classes. We interpret this as an income effect. © 2010 Elsevier B.V.","author":[{"dropping-particle":"","family":"Lindeboom","given":"Maarten","non-dropping-particle":"","parse-names":false,"suffix":""},{"dropping-particle":"","family":"Portrait","given":"France","non-dropping-particle":"","parse-names":false,"suffix":""},{"dropping-particle":"","family":"Berg","given":"Gerard J.","non-dropping-particle":"Van Den","parse-names":false,"suffix":""}],"container-title":"Journal of Health Economics","id":"ITEM-1","issue":"5","issued":{"date-parts":[["2010","9","1"]]},"page":"617-629","publisher":"North-Holland","title":"Long-run effects on longevity of a nutritional shock early in life: The Dutch Potato famine of 1846–1847","type":"article-journal","volume":"29"},"uris":["http://www.mendeley.com/documents/?uuid=bc1e0aaf-dbed-30a3-816c-f8351b7d44f2"]}],"mendeley":{"formattedCitation":"(Lindeboom et al., 2010)","manualFormatting":"Lindeboom et al. (2010)","plainTextFormattedCitation":"(Lindeboom et al., 2010)","previouslyFormattedCitation":"(Lindeboom et al., 2010)"},"properties":{"noteIndex":0},"schema":"https://github.com/citation-style-language/schema/raw/master/csl-citation.json"}</w:instrText>
      </w:r>
      <w:r w:rsidR="005C14B0" w:rsidRPr="0004264F">
        <w:rPr>
          <w:rFonts w:cstheme="majorBidi"/>
          <w:color w:val="000000" w:themeColor="text1"/>
          <w:szCs w:val="24"/>
        </w:rPr>
        <w:fldChar w:fldCharType="separate"/>
      </w:r>
      <w:r w:rsidR="005C14B0" w:rsidRPr="0004264F">
        <w:rPr>
          <w:rFonts w:cstheme="majorBidi"/>
          <w:noProof/>
          <w:color w:val="000000" w:themeColor="text1"/>
          <w:szCs w:val="24"/>
        </w:rPr>
        <w:t>Lindeboom et al. (2010)</w:t>
      </w:r>
      <w:r w:rsidR="005C14B0" w:rsidRPr="0004264F">
        <w:rPr>
          <w:rFonts w:cstheme="majorBidi"/>
          <w:color w:val="000000" w:themeColor="text1"/>
          <w:szCs w:val="24"/>
        </w:rPr>
        <w:fldChar w:fldCharType="end"/>
      </w:r>
      <w:r w:rsidR="00CD2F55" w:rsidRPr="0004264F">
        <w:rPr>
          <w:rFonts w:cstheme="majorBidi"/>
          <w:color w:val="000000" w:themeColor="text1"/>
          <w:szCs w:val="24"/>
        </w:rPr>
        <w:t>,</w:t>
      </w:r>
      <w:r w:rsidRPr="0004264F">
        <w:rPr>
          <w:rFonts w:cstheme="majorBidi"/>
          <w:color w:val="000000" w:themeColor="text1"/>
          <w:szCs w:val="24"/>
        </w:rPr>
        <w:t xml:space="preserve"> </w:t>
      </w:r>
      <w:r w:rsidR="00CD2F55" w:rsidRPr="0004264F">
        <w:rPr>
          <w:rFonts w:cstheme="majorBidi"/>
          <w:color w:val="000000" w:themeColor="text1"/>
          <w:szCs w:val="24"/>
        </w:rPr>
        <w:t xml:space="preserve">also </w:t>
      </w:r>
      <w:r w:rsidRPr="0004264F">
        <w:rPr>
          <w:rFonts w:cstheme="majorBidi"/>
          <w:color w:val="000000" w:themeColor="text1"/>
          <w:szCs w:val="24"/>
        </w:rPr>
        <w:t xml:space="preserve">using data </w:t>
      </w:r>
      <w:r w:rsidR="00CD2F55" w:rsidRPr="0004264F">
        <w:rPr>
          <w:rFonts w:cstheme="majorBidi"/>
          <w:color w:val="000000" w:themeColor="text1"/>
          <w:szCs w:val="24"/>
        </w:rPr>
        <w:t xml:space="preserve">from </w:t>
      </w:r>
      <w:r w:rsidRPr="0004264F">
        <w:rPr>
          <w:rFonts w:cstheme="majorBidi"/>
          <w:color w:val="000000" w:themeColor="text1"/>
          <w:szCs w:val="24"/>
        </w:rPr>
        <w:t xml:space="preserve">the Netherlands, showed that children born during the Potato famine of the mid-nineteen hundreds lived </w:t>
      </w:r>
      <w:r w:rsidR="005C14B0" w:rsidRPr="0004264F">
        <w:rPr>
          <w:rFonts w:cstheme="majorBidi"/>
          <w:color w:val="000000" w:themeColor="text1"/>
          <w:szCs w:val="24"/>
        </w:rPr>
        <w:t xml:space="preserve">2.5-4 </w:t>
      </w:r>
      <w:r w:rsidR="00CD2F55" w:rsidRPr="0004264F">
        <w:rPr>
          <w:rFonts w:cstheme="majorBidi"/>
          <w:color w:val="000000" w:themeColor="text1"/>
          <w:szCs w:val="24"/>
        </w:rPr>
        <w:t xml:space="preserve">fewer </w:t>
      </w:r>
      <w:r w:rsidRPr="0004264F">
        <w:rPr>
          <w:rFonts w:cstheme="majorBidi"/>
          <w:color w:val="000000" w:themeColor="text1"/>
          <w:szCs w:val="24"/>
        </w:rPr>
        <w:t xml:space="preserve">years as adults compared to those born before the nutritional shock and with more pronounced impacts for children from lower class families. </w:t>
      </w:r>
    </w:p>
    <w:p w14:paraId="4ECA0F3B" w14:textId="0B44A656" w:rsidR="00580FD3" w:rsidRPr="0004264F" w:rsidRDefault="00580FD3" w:rsidP="00580FD3">
      <w:pPr>
        <w:spacing w:after="120" w:line="480" w:lineRule="auto"/>
        <w:ind w:firstLine="720"/>
        <w:jc w:val="both"/>
        <w:rPr>
          <w:rFonts w:cstheme="majorBidi"/>
          <w:color w:val="000000" w:themeColor="text1"/>
          <w:szCs w:val="24"/>
        </w:rPr>
      </w:pPr>
      <w:r w:rsidRPr="0004264F">
        <w:rPr>
          <w:rFonts w:cstheme="majorBidi"/>
          <w:color w:val="000000" w:themeColor="text1"/>
          <w:szCs w:val="24"/>
        </w:rPr>
        <w:t xml:space="preserve">We contribute to the literature in several ways. First, we contribute to a small literature that analyzes the link between economic conditions and mortality in the context of the Great Depression that has found mixed results. While </w:t>
      </w:r>
      <w:r w:rsidR="00166685" w:rsidRPr="0004264F">
        <w:rPr>
          <w:rFonts w:cstheme="majorBidi"/>
          <w:color w:val="000000" w:themeColor="text1"/>
          <w:szCs w:val="24"/>
        </w:rPr>
        <w:fldChar w:fldCharType="begin" w:fldLock="1"/>
      </w:r>
      <w:r w:rsidR="00A426E4" w:rsidRPr="0004264F">
        <w:rPr>
          <w:rFonts w:cstheme="majorBidi"/>
          <w:color w:val="000000" w:themeColor="text1"/>
          <w:szCs w:val="24"/>
        </w:rPr>
        <w:instrText>ADDIN CSL_CITATION {"citationItems":[{"id":"ITEM-1","itemData":{"DOI":"10.1073/pnas.0904491106","ISSN":"00278424","PMID":"19805076","abstract":"Recent events highlight the importance of examining the impact of economic downturns on population health. The Great Depression of the 1930s was the most important economic downturn in the U.S. in the twentieth century. We used historical life expectancy and mortality data to examine associations of economic growth with population health for the period 1920-1940. We conducted descriptive analyses of trends and examined associations between annual changes in health indicators and annual changes in economic activity using correlations and regression models. Population health did not decline and indeed generally improved during the 4 years of the Great Depression, 1930-1933, with mortality decreasing for almost all ages, and life expectancy increasing by several years in males, females, whites, and nonwhites. For most age groups, mortality tended to peak during years of strong economic expansion (such as 1923, 1926, 1929, and 1936-1937). In contrast, the recessions of 1921, 1930-1933, and 1938 coincided with declines in mortality and gains in life expectancy. The only exception was suicide mortality which increased during the Great Depression, but accounted for less than 2% of deaths. Correlation and regression analyses confirmed a significant negative effect of economic expansions on health gains. The evolution of population health during the years 1920-1940 confirms the counterintuitive hypothesis that, as in other historical periods and market economies, population health tends to evolve better during recessions than in expansions.","author":[{"dropping-particle":"","family":"Granados","given":"José A Tapia","non-dropping-particle":"","parse-names":false,"suffix":""},{"dropping-particle":"","family":"Roux","given":"Ana V Diez","non-dropping-particle":"","parse-names":false,"suffix":""},{"dropping-particle":"","family":"Tapia Granados","given":"José A","non-dropping-particle":"","parse-names":false,"suffix":""},{"dropping-particle":"V","family":"Diez Roux","given":"Ana","non-dropping-particle":"","parse-names":false,"suffix":""}],"container-title":"Proceedings of the National Academy of Sciences of the United States of America","id":"ITEM-1","issue":"41","issued":{"date-parts":[["2009"]]},"page":"17290-17295","publisher":"National Academy of Sciences","title":"Life and death during the Great Depression","type":"article-journal","volume":"106"},"uris":["http://www.mendeley.com/documents/?uuid=8b85d987-979f-4b98-a695-6941b74d2204"]}],"mendeley":{"formattedCitation":"(Granados et al., 2009)","manualFormatting":"Granados et al (2009)","plainTextFormattedCitation":"(Granados et al., 2009)","previouslyFormattedCitation":"(Granados et al., 2009)"},"properties":{"noteIndex":0},"schema":"https://github.com/citation-style-language/schema/raw/master/csl-citation.json"}</w:instrText>
      </w:r>
      <w:r w:rsidR="00166685" w:rsidRPr="0004264F">
        <w:rPr>
          <w:rFonts w:cstheme="majorBidi"/>
          <w:color w:val="000000" w:themeColor="text1"/>
          <w:szCs w:val="24"/>
        </w:rPr>
        <w:fldChar w:fldCharType="separate"/>
      </w:r>
      <w:r w:rsidR="00166685" w:rsidRPr="0004264F">
        <w:rPr>
          <w:rFonts w:cstheme="majorBidi"/>
          <w:noProof/>
          <w:color w:val="000000" w:themeColor="text1"/>
          <w:szCs w:val="24"/>
        </w:rPr>
        <w:t>Granados et al (2009)</w:t>
      </w:r>
      <w:r w:rsidR="00166685" w:rsidRPr="0004264F">
        <w:rPr>
          <w:rFonts w:cstheme="majorBidi"/>
          <w:color w:val="000000" w:themeColor="text1"/>
          <w:szCs w:val="24"/>
        </w:rPr>
        <w:fldChar w:fldCharType="end"/>
      </w:r>
      <w:r w:rsidR="00166685" w:rsidRPr="0004264F">
        <w:rPr>
          <w:rFonts w:cstheme="majorBidi"/>
          <w:color w:val="000000" w:themeColor="text1"/>
          <w:szCs w:val="24"/>
        </w:rPr>
        <w:t xml:space="preserve"> </w:t>
      </w:r>
      <w:r w:rsidRPr="0004264F">
        <w:rPr>
          <w:rFonts w:cstheme="majorBidi"/>
          <w:color w:val="000000" w:themeColor="text1"/>
          <w:szCs w:val="24"/>
        </w:rPr>
        <w:t xml:space="preserve">showed a negative correlation between the GDP per capita and the national mortality rate, </w:t>
      </w:r>
      <w:r w:rsidR="009F20BF" w:rsidRPr="0004264F">
        <w:rPr>
          <w:rFonts w:cstheme="majorBidi"/>
          <w:color w:val="000000"/>
        </w:rPr>
        <w:fldChar w:fldCharType="begin" w:fldLock="1"/>
      </w:r>
      <w:r w:rsidR="009F20BF" w:rsidRPr="0004264F">
        <w:rPr>
          <w:rFonts w:cstheme="majorBidi"/>
          <w:color w:val="000000"/>
        </w:rPr>
        <w:instrText>ADDIN CSL_CITATION {"citationItems":[{"id":"ITEM-1","itemData":{"DOI":"10.1136/JECH.2010.121376","ISSN":"0143-005X","PMID":"21441177","abstract":"Background Previous research suggests that the Great Depression led to improvements in public health. However, these studies rely on highly aggregated national data (using fewer than 25 data points) and potentially biased measures of the Great Depression. The authors assess the effects of the Great Depression using city-level estimates of US mortality and an underlying measure of economic crisis, bank suspensions, at the state level.\n\nMethods Cause-specific mortalities covering 114 US cities in 36 states between 1929 and 1937 were regressed against bank suspensions and income data from the Federal Deposit Insurance Corporation Database, using dynamic fixed-effects models and adjustments for potential confounding variables.\n\nResults Reductions in all-cause mortalities were mainly attributable to declines in death rates owing to pneumonia (26.4% of total), flu (13.1% of total) and respiratory tuberculosis (11.2% of total), while death rates increased from heart disease (19.4% of total), cancer (8.1% of total) and diabetes (2.9%). Only heart disease can plausibly relate to the contemporaneous economic shocks. The authors found that a higher rate of bank suspensions was significantly associated with higher suicide rates (β=0.32, 95% CI 0.24 to 0.41) but lower death rates from motor-vehicle accidents (β=−0.18, 95% CI −0.29 to −0.07); no significant effects were observed for 30 other causes of death or with a time lag.\n\nConclusion In contrast with existing research, the authors find that many of the changes in deaths from different causes during the Great Depression were unrelated to economic shocks. Further research is needed to understand the causes of the marked variations in mortality change across cities and states, including the effects of the New Deal and Prohibition.","author":[{"dropping-particle":"","family":"Stuckler","given":"David","non-dropping-particle":"","parse-names":false,"suffix":""},{"dropping-particle":"","family":"Meissner","given":"Christopher","non-dropping-particle":"","parse-names":false,"suffix":""},{"dropping-particle":"","family":"Fishback","given":"Price","non-dropping-particle":"","parse-names":false,"suffix":""},{"dropping-particle":"","family":"Basu","given":"Sanjay","non-dropping-particle":"","parse-names":false,"suffix":""},{"dropping-particle":"","family":"McKee","given":"Martin","non-dropping-particle":"","parse-names":false,"suffix":""}],"container-title":"J Epidemiol Community Health","id":"ITEM-1","issue":"5","issued":{"date-parts":[["2012","5","1"]]},"page":"410-419","publisher":"BMJ Publishing Group Ltd","title":"Banking crises and mortality during the Great Depression: evidence from US urban populations, 1929–1937","type":"article-journal","volume":"66"},"uris":["http://www.mendeley.com/documents/?uuid=6273afbb-dbe1-3bd8-a02f-6ca616beb7b4"]}],"mendeley":{"formattedCitation":"(Stuckler et al., 2012)","manualFormatting":"Stuckler et al. (2012)","plainTextFormattedCitation":"(Stuckler et al., 2012)","previouslyFormattedCitation":"(Stuckler et al., 2012)"},"properties":{"noteIndex":0},"schema":"https://github.com/citation-style-language/schema/raw/master/csl-citation.json"}</w:instrText>
      </w:r>
      <w:r w:rsidR="009F20BF" w:rsidRPr="0004264F">
        <w:rPr>
          <w:rFonts w:cstheme="majorBidi"/>
          <w:color w:val="000000"/>
        </w:rPr>
        <w:fldChar w:fldCharType="separate"/>
      </w:r>
      <w:r w:rsidR="009F20BF" w:rsidRPr="0004264F">
        <w:rPr>
          <w:rFonts w:cstheme="majorBidi"/>
          <w:noProof/>
          <w:color w:val="000000"/>
        </w:rPr>
        <w:t>Stuckler et al. (2012)</w:t>
      </w:r>
      <w:r w:rsidR="009F20BF" w:rsidRPr="0004264F">
        <w:rPr>
          <w:rFonts w:cstheme="majorBidi"/>
          <w:color w:val="000000"/>
        </w:rPr>
        <w:fldChar w:fldCharType="end"/>
      </w:r>
      <w:r w:rsidR="009F20BF" w:rsidRPr="0004264F">
        <w:rPr>
          <w:rFonts w:cstheme="majorBidi"/>
          <w:color w:val="000000"/>
        </w:rPr>
        <w:t xml:space="preserve"> </w:t>
      </w:r>
      <w:r w:rsidRPr="0004264F">
        <w:rPr>
          <w:rFonts w:cstheme="majorBidi"/>
          <w:color w:val="000000"/>
        </w:rPr>
        <w:t xml:space="preserve">found no effect between changes in bank suspensions and changes in mortality except for an increase in suicide rates. </w:t>
      </w:r>
      <w:r w:rsidR="009F20BF" w:rsidRPr="0004264F">
        <w:rPr>
          <w:rFonts w:cstheme="majorBidi"/>
          <w:color w:val="000000"/>
        </w:rPr>
        <w:fldChar w:fldCharType="begin" w:fldLock="1"/>
      </w:r>
      <w:r w:rsidR="009F20BF" w:rsidRPr="0004264F">
        <w:rPr>
          <w:rFonts w:cstheme="majorBidi"/>
          <w:color w:val="000000"/>
        </w:rPr>
        <w:instrText>ADDIN CSL_CITATION {"citationItems":[{"id":"ITEM-1","itemData":{"DOI":"10.1162/REST.89.1.1","ISSN":"0034-6535","abstract":"The article examines the impact of New Deal relief programs on infant mortality, non-infant mortality, and general fertility rates in major U.S. cities between 1929 and 1940. Effects are estimated using a variety of specifications and techniques for a panel of 114 cities that reported information on relief spending between 1929 and 1940. The significant rise in relief spending during the New Deal contributed to reductions in infant mortality, suicide rates, and some other causes of death, while contributing to increases in the general fertility rate. Similar to Ruhm's (2000) findings for the modern United States, the article finds that many types of death rates were pro-cyclical during the 1930s. Estimates of the relief costs associated with saving a life (adjusted for inflation) are similar to those found in studies of modern social insurance programs. © 2007 by the President and Fellows of Harvard College and the Massachusetts Institute of Technology.","author":[{"dropping-particle":"V.","family":"Fishback","given":"Price","non-dropping-particle":"","parse-names":false,"suffix":""},{"dropping-particle":"","family":"Haines","given":"Michael R.","non-dropping-particle":"","parse-names":false,"suffix":""},{"dropping-particle":"","family":"Kantor","given":"Shawn","non-dropping-particle":"","parse-names":false,"suffix":""}],"container-title":"The Review of Economics and Statistics","id":"ITEM-1","issue":"1","issued":{"date-parts":[["2007","2","1"]]},"page":"1-14","publisher":"MIT Press","title":"Births, Deaths, and New Deal Relief during the Great Depression","type":"article-journal","volume":"89"},"uris":["http://www.mendeley.com/documents/?uuid=7af75157-3dc7-37af-bcd8-5ffcdd4156a4"]}],"mendeley":{"formattedCitation":"(Fishback et al., 2007)","manualFormatting":"Fishback et al. (2007)","plainTextFormattedCitation":"(Fishback et al., 2007)","previouslyFormattedCitation":"(Fishback et al., 2007)"},"properties":{"noteIndex":0},"schema":"https://github.com/citation-style-language/schema/raw/master/csl-citation.json"}</w:instrText>
      </w:r>
      <w:r w:rsidR="009F20BF" w:rsidRPr="0004264F">
        <w:rPr>
          <w:rFonts w:cstheme="majorBidi"/>
          <w:color w:val="000000"/>
        </w:rPr>
        <w:fldChar w:fldCharType="separate"/>
      </w:r>
      <w:r w:rsidR="009F20BF" w:rsidRPr="0004264F">
        <w:rPr>
          <w:rFonts w:cstheme="majorBidi"/>
          <w:noProof/>
          <w:color w:val="000000"/>
        </w:rPr>
        <w:t>Fishback et al. (2007)</w:t>
      </w:r>
      <w:r w:rsidR="009F20BF" w:rsidRPr="0004264F">
        <w:rPr>
          <w:rFonts w:cstheme="majorBidi"/>
          <w:color w:val="000000"/>
        </w:rPr>
        <w:fldChar w:fldCharType="end"/>
      </w:r>
      <w:r w:rsidRPr="0004264F">
        <w:rPr>
          <w:rFonts w:cstheme="majorBidi"/>
          <w:color w:val="000000"/>
        </w:rPr>
        <w:t xml:space="preserve"> in contrast, showed a small decline in death rates during the 1930s due to increases in New Deal spending</w:t>
      </w:r>
      <w:r w:rsidR="009F20BF" w:rsidRPr="0004264F">
        <w:rPr>
          <w:rFonts w:cstheme="majorBidi"/>
          <w:color w:val="000000"/>
        </w:rPr>
        <w:t xml:space="preserve">. </w:t>
      </w:r>
      <w:r w:rsidR="009F20BF" w:rsidRPr="0004264F">
        <w:rPr>
          <w:rFonts w:cstheme="majorBidi"/>
          <w:color w:val="000000" w:themeColor="text1"/>
          <w:szCs w:val="24"/>
        </w:rPr>
        <w:fldChar w:fldCharType="begin" w:fldLock="1"/>
      </w:r>
      <w:r w:rsidR="00BD1209" w:rsidRPr="0004264F">
        <w:rPr>
          <w:rFonts w:cstheme="majorBidi"/>
          <w:color w:val="000000" w:themeColor="text1"/>
          <w:szCs w:val="24"/>
        </w:rPr>
        <w:instrText>ADDIN CSL_CITATION {"citationItems":[{"id":"ITEM-1","itemData":{"author":[{"dropping-particle":"","family":"Cutler","given":"David M","non-dropping-particle":"","parse-names":false,"suffix":""},{"dropping-particle":"","family":"Miller","given":"Grant","non-dropping-particle":"","parse-names":false,"suffix":""},{"dropping-particle":"","family":"Norton","given":"Douglas M","non-dropping-particle":"","parse-names":false,"suffix":""}],"container-title":"Proceedings of the National Academy of Sciences","id":"ITEM-1","issue":"33","issued":{"date-parts":[["2007"]]},"page":"13244-13249","publisher":"National Acad Sciences","title":"Evidence on early-life income and late-life health from America's Dust Bowl era","type":"article-journal","volume":"104"},"uris":["http://www.mendeley.com/documents/?uuid=9820c928-a2cc-3459-bec8-0945e0c6e7de"]}],"mendeley":{"formattedCitation":"(D. M. Cutler et al., 2007)","manualFormatting":"Cutler et al. (2007)","plainTextFormattedCitation":"(D. M. Cutler et al., 2007)","previouslyFormattedCitation":"(D. M. Cutler et al., 2007)"},"properties":{"noteIndex":0},"schema":"https://github.com/citation-style-language/schema/raw/master/csl-citation.json"}</w:instrText>
      </w:r>
      <w:r w:rsidR="009F20BF" w:rsidRPr="0004264F">
        <w:rPr>
          <w:rFonts w:cstheme="majorBidi"/>
          <w:color w:val="000000" w:themeColor="text1"/>
          <w:szCs w:val="24"/>
        </w:rPr>
        <w:fldChar w:fldCharType="separate"/>
      </w:r>
      <w:r w:rsidR="009F20BF" w:rsidRPr="0004264F">
        <w:rPr>
          <w:rFonts w:cstheme="majorBidi"/>
          <w:noProof/>
          <w:color w:val="000000" w:themeColor="text1"/>
          <w:szCs w:val="24"/>
        </w:rPr>
        <w:t>Cutler et al. (2007)</w:t>
      </w:r>
      <w:r w:rsidR="009F20BF" w:rsidRPr="0004264F">
        <w:rPr>
          <w:rFonts w:cstheme="majorBidi"/>
          <w:color w:val="000000" w:themeColor="text1"/>
          <w:szCs w:val="24"/>
        </w:rPr>
        <w:fldChar w:fldCharType="end"/>
      </w:r>
      <w:r w:rsidRPr="0004264F">
        <w:rPr>
          <w:rFonts w:cstheme="majorBidi"/>
          <w:color w:val="000000" w:themeColor="text1"/>
          <w:szCs w:val="24"/>
        </w:rPr>
        <w:t xml:space="preserve"> found little evidence that early life exposure to the Depression affected long-term health (including mortality) using longitudinal data from the Health and Retirement Study (HRS) linked to regional-level macroeconomic data. More recently, however, </w:t>
      </w:r>
      <w:r w:rsidR="00BD1209" w:rsidRPr="0004264F">
        <w:rPr>
          <w:rFonts w:cstheme="majorBidi"/>
          <w:color w:val="000000" w:themeColor="text1"/>
          <w:szCs w:val="24"/>
        </w:rPr>
        <w:fldChar w:fldCharType="begin" w:fldLock="1"/>
      </w:r>
      <w:r w:rsidR="00BD1209" w:rsidRPr="0004264F">
        <w:rPr>
          <w:rFonts w:cstheme="majorBidi"/>
          <w:color w:val="000000" w:themeColor="text1"/>
          <w:szCs w:val="24"/>
        </w:rPr>
        <w:instrText>ADDIN CSL_CITATION {"citationItems":[{"id":"ITEM-1","itemData":{"DOI":"10.1101/2022.05.18.22275258","author":[{"dropping-particle":"","family":"Schmitz","given":"Lauren","non-dropping-particle":"","parse-names":false,"suffix":""},{"dropping-particle":"","family":"Duque","given":"Valentina","non-dropping-particle":"","parse-names":false,"suffix":""}],"id":"ITEM-1","issued":{"date-parts":[["2022","5","21"]]},"title":"In Utero Exposure to the Great Depression is Reflected in Late-Life Epigenetic Aging Signatures","type":"article-journal"},"uris":["http://www.mendeley.com/documents/?uuid=ab1d6b85-8c78-3b1a-b8b3-a30f41d23a8f"]}],"mendeley":{"formattedCitation":"(Schmitz &amp; Duque, 2022)","manualFormatting":"Schmitz &amp; Duque (2022)","plainTextFormattedCitation":"(Schmitz &amp; Duque, 2022)","previouslyFormattedCitation":"(Schmitz &amp; Duque, 2022)"},"properties":{"noteIndex":0},"schema":"https://github.com/citation-style-language/schema/raw/master/csl-citation.json"}</w:instrText>
      </w:r>
      <w:r w:rsidR="00BD1209" w:rsidRPr="0004264F">
        <w:rPr>
          <w:rFonts w:cstheme="majorBidi"/>
          <w:color w:val="000000" w:themeColor="text1"/>
          <w:szCs w:val="24"/>
        </w:rPr>
        <w:fldChar w:fldCharType="separate"/>
      </w:r>
      <w:r w:rsidR="00BD1209" w:rsidRPr="0004264F">
        <w:rPr>
          <w:rFonts w:cstheme="majorBidi"/>
          <w:noProof/>
          <w:color w:val="000000" w:themeColor="text1"/>
          <w:szCs w:val="24"/>
        </w:rPr>
        <w:t>Schmitz &amp; Duque (2022)</w:t>
      </w:r>
      <w:r w:rsidR="00BD1209" w:rsidRPr="0004264F">
        <w:rPr>
          <w:rFonts w:cstheme="majorBidi"/>
          <w:color w:val="000000" w:themeColor="text1"/>
          <w:szCs w:val="24"/>
        </w:rPr>
        <w:fldChar w:fldCharType="end"/>
      </w:r>
      <w:r w:rsidR="00BD1209" w:rsidRPr="0004264F">
        <w:rPr>
          <w:rFonts w:cstheme="majorBidi"/>
          <w:color w:val="000000" w:themeColor="text1"/>
          <w:szCs w:val="24"/>
        </w:rPr>
        <w:t xml:space="preserve"> </w:t>
      </w:r>
      <w:r w:rsidRPr="0004264F">
        <w:rPr>
          <w:rFonts w:cstheme="majorBidi"/>
          <w:noProof/>
          <w:color w:val="000000" w:themeColor="text1"/>
          <w:szCs w:val="24"/>
        </w:rPr>
        <w:t xml:space="preserve">and </w:t>
      </w:r>
      <w:r w:rsidR="00BD1209" w:rsidRPr="0004264F">
        <w:rPr>
          <w:rFonts w:cstheme="majorBidi"/>
          <w:noProof/>
          <w:color w:val="000000" w:themeColor="text1"/>
          <w:szCs w:val="24"/>
        </w:rPr>
        <w:fldChar w:fldCharType="begin" w:fldLock="1"/>
      </w:r>
      <w:r w:rsidR="00BD1209" w:rsidRPr="0004264F">
        <w:rPr>
          <w:rFonts w:cstheme="majorBidi"/>
          <w:noProof/>
          <w:color w:val="000000" w:themeColor="text1"/>
          <w:szCs w:val="24"/>
        </w:rPr>
        <w:instrText>ADDIN CSL_CITATION {"citationItems":[{"id":"ITEM-1","itemData":{"DOI":"10.2139/SSRN.3985570","ISSN":"1556-5068","author":[{"dropping-particle":"","family":"Duque","given":"Valentina","non-dropping-particle":"","parse-names":false,"suffix":""},{"dropping-particle":"","family":"Schmitz","given":"Lauren","non-dropping-particle":"","parse-names":false,"suffix":""}],"container-title":"SSRN Electronic Journal","id":"ITEM-1","issued":{"date-parts":[["2021","12","14"]]},"title":"The Influence of Early-Life Economic Shocks on Aging Outcomes: Evidence from the U.S. Great Depression","type":"article-journal"},"uris":["http://www.mendeley.com/documents/?uuid=61ffff1a-7af2-3215-9365-cb2453eab4ad"]}],"mendeley":{"formattedCitation":"(Duque &amp; Schmitz, 2021)","manualFormatting":"Duque &amp; Schmitz (2021)","plainTextFormattedCitation":"(Duque &amp; Schmitz, 2021)","previouslyFormattedCitation":"(Duque &amp; Schmitz, 2021)"},"properties":{"noteIndex":0},"schema":"https://github.com/citation-style-language/schema/raw/master/csl-citation.json"}</w:instrText>
      </w:r>
      <w:r w:rsidR="00BD1209" w:rsidRPr="0004264F">
        <w:rPr>
          <w:rFonts w:cstheme="majorBidi"/>
          <w:noProof/>
          <w:color w:val="000000" w:themeColor="text1"/>
          <w:szCs w:val="24"/>
        </w:rPr>
        <w:fldChar w:fldCharType="separate"/>
      </w:r>
      <w:r w:rsidR="00BD1209" w:rsidRPr="0004264F">
        <w:rPr>
          <w:rFonts w:cstheme="majorBidi"/>
          <w:noProof/>
          <w:color w:val="000000" w:themeColor="text1"/>
          <w:szCs w:val="24"/>
        </w:rPr>
        <w:t>Duque &amp; Schmitz (2021)</w:t>
      </w:r>
      <w:r w:rsidR="00BD1209" w:rsidRPr="0004264F">
        <w:rPr>
          <w:rFonts w:cstheme="majorBidi"/>
          <w:noProof/>
          <w:color w:val="000000" w:themeColor="text1"/>
          <w:szCs w:val="24"/>
        </w:rPr>
        <w:fldChar w:fldCharType="end"/>
      </w:r>
      <w:r w:rsidRPr="0004264F">
        <w:rPr>
          <w:rFonts w:cstheme="majorBidi"/>
          <w:color w:val="000000" w:themeColor="text1"/>
          <w:szCs w:val="24"/>
        </w:rPr>
        <w:t xml:space="preserve"> revisited this question in the HRS using macroeconomic data linked to the state of birth and found improvements in the magnitude and precision of the effects on old age health and mortality when economic outcomes were measured at the state level as opposed to the regional level. </w:t>
      </w:r>
      <w:r w:rsidRPr="0004264F">
        <w:rPr>
          <w:rFonts w:cstheme="majorBidi"/>
          <w:noProof/>
          <w:color w:val="000000" w:themeColor="text1"/>
          <w:szCs w:val="24"/>
        </w:rPr>
        <w:t xml:space="preserve">Importantly, these effects were localized to the in utero period specifically as opposed to the pre-conception, postnatal, childhood, or early adolescent periods. Thus, </w:t>
      </w:r>
      <w:r w:rsidRPr="0004264F">
        <w:rPr>
          <w:rFonts w:cstheme="majorBidi"/>
          <w:color w:val="000000" w:themeColor="text1"/>
          <w:szCs w:val="24"/>
        </w:rPr>
        <w:t xml:space="preserve">from an empirical perspective, we also contribute to the literature by using longitudinal bank deposit data measured at the county level before and during the Great Depression to explore within-state geographic variation in economic conditions, as opposed to prior studies that relied on </w:t>
      </w:r>
      <w:r w:rsidR="00BD1209" w:rsidRPr="0004264F">
        <w:rPr>
          <w:rFonts w:cstheme="majorBidi"/>
          <w:color w:val="000000" w:themeColor="text1"/>
          <w:szCs w:val="24"/>
        </w:rPr>
        <w:t xml:space="preserve">region-level and </w:t>
      </w:r>
      <w:r w:rsidRPr="0004264F">
        <w:rPr>
          <w:rFonts w:cstheme="majorBidi"/>
          <w:color w:val="000000" w:themeColor="text1"/>
          <w:szCs w:val="24"/>
        </w:rPr>
        <w:t xml:space="preserve">state-level variations in the shock. In addition, our data source contains millions of observations, which adds power to our </w:t>
      </w:r>
      <w:r w:rsidRPr="0004264F">
        <w:rPr>
          <w:rFonts w:cstheme="majorBidi"/>
          <w:color w:val="000000" w:themeColor="text1"/>
          <w:szCs w:val="24"/>
        </w:rPr>
        <w:lastRenderedPageBreak/>
        <w:t>statistical tests and allows the research design to search for potential heterogeneity in the effects across different demographic groups.</w:t>
      </w:r>
      <w:r w:rsidR="00E2387A" w:rsidRPr="0004264F">
        <w:rPr>
          <w:rStyle w:val="FootnoteReference"/>
          <w:rFonts w:cstheme="majorBidi"/>
          <w:color w:val="000000" w:themeColor="text1"/>
          <w:szCs w:val="24"/>
        </w:rPr>
        <w:footnoteReference w:id="9"/>
      </w:r>
    </w:p>
    <w:p w14:paraId="580FDED6" w14:textId="2853BEC2" w:rsidR="00964A9D" w:rsidRPr="0004264F" w:rsidRDefault="00323952" w:rsidP="00B14D6B">
      <w:pPr>
        <w:spacing w:after="120" w:line="480" w:lineRule="auto"/>
        <w:ind w:firstLine="720"/>
        <w:jc w:val="both"/>
        <w:rPr>
          <w:rFonts w:cstheme="majorBidi"/>
          <w:color w:val="000000" w:themeColor="text1"/>
          <w:szCs w:val="24"/>
        </w:rPr>
      </w:pPr>
      <w:r w:rsidRPr="0004264F">
        <w:rPr>
          <w:rFonts w:cstheme="majorBidi"/>
          <w:color w:val="000000" w:themeColor="text1"/>
          <w:szCs w:val="24"/>
        </w:rPr>
        <w:t xml:space="preserve">The rest of the paper is organized as follows.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_Ref98081111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2</w:t>
      </w:r>
      <w:r w:rsidRPr="0004264F">
        <w:rPr>
          <w:rFonts w:cstheme="majorBidi"/>
          <w:color w:val="000000" w:themeColor="text1"/>
          <w:szCs w:val="24"/>
        </w:rPr>
        <w:fldChar w:fldCharType="end"/>
      </w:r>
      <w:r w:rsidRPr="0004264F">
        <w:rPr>
          <w:rFonts w:cstheme="majorBidi"/>
          <w:color w:val="000000" w:themeColor="text1"/>
          <w:szCs w:val="24"/>
        </w:rPr>
        <w:t xml:space="preserve"> reviews the literature.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_Ref97828632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3</w:t>
      </w:r>
      <w:r w:rsidRPr="0004264F">
        <w:rPr>
          <w:rFonts w:cstheme="majorBidi"/>
          <w:color w:val="000000" w:themeColor="text1"/>
          <w:szCs w:val="24"/>
        </w:rPr>
        <w:fldChar w:fldCharType="end"/>
      </w:r>
      <w:r w:rsidRPr="0004264F">
        <w:rPr>
          <w:rFonts w:cstheme="majorBidi"/>
          <w:color w:val="000000" w:themeColor="text1"/>
          <w:szCs w:val="24"/>
        </w:rPr>
        <w:t xml:space="preserve"> introduces data sources.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_Ref98081123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4</w:t>
      </w:r>
      <w:r w:rsidRPr="0004264F">
        <w:rPr>
          <w:rFonts w:cstheme="majorBidi"/>
          <w:color w:val="000000" w:themeColor="text1"/>
          <w:szCs w:val="24"/>
        </w:rPr>
        <w:fldChar w:fldCharType="end"/>
      </w:r>
      <w:r w:rsidRPr="0004264F">
        <w:rPr>
          <w:rFonts w:cstheme="majorBidi"/>
          <w:color w:val="000000" w:themeColor="text1"/>
          <w:szCs w:val="24"/>
        </w:rPr>
        <w:t xml:space="preserve"> discusses the empirical framework.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_Ref98081126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5</w:t>
      </w:r>
      <w:r w:rsidRPr="0004264F">
        <w:rPr>
          <w:rFonts w:cstheme="majorBidi"/>
          <w:color w:val="000000" w:themeColor="text1"/>
          <w:szCs w:val="24"/>
        </w:rPr>
        <w:fldChar w:fldCharType="end"/>
      </w:r>
      <w:r w:rsidRPr="0004264F">
        <w:rPr>
          <w:rFonts w:cstheme="majorBidi"/>
          <w:color w:val="000000" w:themeColor="text1"/>
          <w:szCs w:val="24"/>
        </w:rPr>
        <w:t xml:space="preserve"> reviews the results.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_Ref98081130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6</w:t>
      </w:r>
      <w:r w:rsidRPr="0004264F">
        <w:rPr>
          <w:rFonts w:cstheme="majorBidi"/>
          <w:color w:val="000000" w:themeColor="text1"/>
          <w:szCs w:val="24"/>
        </w:rPr>
        <w:fldChar w:fldCharType="end"/>
      </w:r>
      <w:r w:rsidRPr="0004264F">
        <w:rPr>
          <w:rFonts w:cstheme="majorBidi"/>
          <w:color w:val="000000" w:themeColor="text1"/>
          <w:szCs w:val="24"/>
        </w:rPr>
        <w:t xml:space="preserve"> explores endogenous fertility.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_Ref98081145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7</w:t>
      </w:r>
      <w:r w:rsidRPr="0004264F">
        <w:rPr>
          <w:rFonts w:cstheme="majorBidi"/>
          <w:color w:val="000000" w:themeColor="text1"/>
          <w:szCs w:val="24"/>
        </w:rPr>
        <w:fldChar w:fldCharType="end"/>
      </w:r>
      <w:r w:rsidRPr="0004264F">
        <w:rPr>
          <w:rFonts w:cstheme="majorBidi"/>
          <w:color w:val="000000" w:themeColor="text1"/>
          <w:szCs w:val="24"/>
        </w:rPr>
        <w:t xml:space="preserve"> suggests potential mechanism channels. Section </w:t>
      </w:r>
      <w:r w:rsidRPr="0004264F">
        <w:rPr>
          <w:rFonts w:cstheme="majorBidi"/>
          <w:color w:val="000000" w:themeColor="text1"/>
          <w:szCs w:val="24"/>
        </w:rPr>
        <w:fldChar w:fldCharType="begin"/>
      </w:r>
      <w:r w:rsidRPr="0004264F">
        <w:rPr>
          <w:rFonts w:cstheme="majorBidi"/>
          <w:color w:val="000000" w:themeColor="text1"/>
          <w:szCs w:val="24"/>
        </w:rPr>
        <w:instrText xml:space="preserve"> REF _Ref98081149 \n \h </w:instrText>
      </w:r>
      <w:r w:rsidR="00892BF3" w:rsidRPr="0004264F">
        <w:rPr>
          <w:rFonts w:cstheme="majorBidi"/>
          <w:color w:val="000000" w:themeColor="text1"/>
          <w:szCs w:val="24"/>
        </w:rPr>
        <w:instrText xml:space="preserve"> \* MERGEFORMAT </w:instrText>
      </w:r>
      <w:r w:rsidRPr="0004264F">
        <w:rPr>
          <w:rFonts w:cstheme="majorBidi"/>
          <w:color w:val="000000" w:themeColor="text1"/>
          <w:szCs w:val="24"/>
        </w:rPr>
      </w:r>
      <w:r w:rsidRPr="0004264F">
        <w:rPr>
          <w:rFonts w:cstheme="majorBidi"/>
          <w:color w:val="000000" w:themeColor="text1"/>
          <w:szCs w:val="24"/>
        </w:rPr>
        <w:fldChar w:fldCharType="separate"/>
      </w:r>
      <w:r w:rsidR="00CA5B9D" w:rsidRPr="0004264F">
        <w:rPr>
          <w:rFonts w:cstheme="majorBidi"/>
          <w:color w:val="000000" w:themeColor="text1"/>
          <w:szCs w:val="24"/>
        </w:rPr>
        <w:t>8</w:t>
      </w:r>
      <w:r w:rsidRPr="0004264F">
        <w:rPr>
          <w:rFonts w:cstheme="majorBidi"/>
          <w:color w:val="000000" w:themeColor="text1"/>
          <w:szCs w:val="24"/>
        </w:rPr>
        <w:fldChar w:fldCharType="end"/>
      </w:r>
      <w:r w:rsidR="0079629E" w:rsidRPr="0004264F">
        <w:rPr>
          <w:rFonts w:cstheme="majorBidi"/>
          <w:color w:val="000000" w:themeColor="text1"/>
          <w:szCs w:val="24"/>
        </w:rPr>
        <w:t xml:space="preserve"> </w:t>
      </w:r>
      <w:r w:rsidRPr="0004264F">
        <w:rPr>
          <w:rFonts w:cstheme="majorBidi"/>
          <w:color w:val="000000" w:themeColor="text1"/>
          <w:szCs w:val="24"/>
        </w:rPr>
        <w:t xml:space="preserve">concludes the paper. </w:t>
      </w:r>
    </w:p>
    <w:p w14:paraId="4A5D2041" w14:textId="1BEF56C8" w:rsidR="000F7C59" w:rsidRPr="0004264F" w:rsidRDefault="004C649A" w:rsidP="009B353A">
      <w:pPr>
        <w:pStyle w:val="Heading1"/>
        <w:rPr>
          <w:rFonts w:asciiTheme="majorBidi" w:hAnsiTheme="majorBidi"/>
          <w:lang w:bidi="fa-IR"/>
        </w:rPr>
      </w:pPr>
      <w:r w:rsidRPr="0004264F">
        <w:rPr>
          <w:rFonts w:asciiTheme="majorBidi" w:hAnsiTheme="majorBidi"/>
          <w:color w:val="000000" w:themeColor="text1"/>
          <w:szCs w:val="24"/>
        </w:rPr>
        <w:t xml:space="preserve"> </w:t>
      </w:r>
      <w:bookmarkStart w:id="1" w:name="_Ref98081111"/>
      <w:r w:rsidR="002E4CAE" w:rsidRPr="0004264F">
        <w:rPr>
          <w:rFonts w:asciiTheme="majorBidi" w:hAnsiTheme="majorBidi"/>
          <w:lang w:bidi="fa-IR"/>
        </w:rPr>
        <w:t>Literature Review</w:t>
      </w:r>
      <w:bookmarkEnd w:id="1"/>
    </w:p>
    <w:p w14:paraId="6655BEB8" w14:textId="1D286176" w:rsidR="000F7655" w:rsidRPr="0004264F" w:rsidRDefault="00E7604E" w:rsidP="00075E74">
      <w:pPr>
        <w:spacing w:after="120" w:line="480" w:lineRule="auto"/>
        <w:ind w:firstLine="720"/>
        <w:jc w:val="both"/>
        <w:rPr>
          <w:rFonts w:cstheme="majorBidi"/>
          <w:szCs w:val="24"/>
          <w:lang w:bidi="fa-IR"/>
        </w:rPr>
      </w:pPr>
      <w:r w:rsidRPr="0004264F">
        <w:rPr>
          <w:rFonts w:cstheme="majorBidi"/>
          <w:szCs w:val="24"/>
          <w:lang w:bidi="fa-IR"/>
        </w:rPr>
        <w:t xml:space="preserve">A growing body of research evaluates the </w:t>
      </w:r>
      <w:r w:rsidR="00A77522" w:rsidRPr="0004264F">
        <w:rPr>
          <w:rFonts w:cstheme="majorBidi"/>
          <w:szCs w:val="24"/>
          <w:lang w:bidi="fa-IR"/>
        </w:rPr>
        <w:t>long-term</w:t>
      </w:r>
      <w:r w:rsidRPr="0004264F">
        <w:rPr>
          <w:rFonts w:cstheme="majorBidi"/>
          <w:szCs w:val="24"/>
          <w:lang w:bidi="fa-IR"/>
        </w:rPr>
        <w:t xml:space="preserve"> effects of early life adversities </w:t>
      </w:r>
      <w:r w:rsidRPr="0004264F">
        <w:rPr>
          <w:rFonts w:cstheme="majorBidi"/>
          <w:szCs w:val="24"/>
          <w:lang w:bidi="fa-IR"/>
        </w:rPr>
        <w:fldChar w:fldCharType="begin" w:fldLock="1"/>
      </w:r>
      <w:r w:rsidR="00075E74" w:rsidRPr="0004264F">
        <w:rPr>
          <w:rFonts w:cstheme="majorBidi"/>
          <w:szCs w:val="24"/>
          <w:lang w:bidi="fa-IR"/>
        </w:rPr>
        <w:instrText>ADDIN CSL_CITATION {"citationItems":[{"id":"ITEM-1","itemData":{"DOI":"10.1073/PNAS.1915741117","ISSN":"10916490","PMID":"32541023","abstract":"Aging involves decline in a range of functional abilities and phenotypes, many of which are also associated with socioeconomic status (SES). Here we assessed whether lower SES is a determinant of the rate of decline over 8 y in six domains—physical capability, sensory function, physiological function, cognitive performance, emotional well-being, and social function—in a sample of 5,018 men and women aged 64.44 (SD 8.49) y on average at baseline. Wealth was used as the marker of SES, and all analyses controlled for age, gender, ethnicity, educational attainment, and long-term health conditions. Lower SES was associated with greater adverse changes in physical capability (grip strength, gait speed, and physical activity), sensory function (sight impairment), physiological function (plasma fibrinogen concentration and lung function), cognitive performance (memory, executive function, and processing speed), emotional well-being (enjoyment of life and depressive symptoms), and social function (organizational membership, number of close friends, volunteering, and cultural engagement). Effects were maintained when controlling statistically for other factors such as smoking, marital/partnership status, and self-rated health and were also present when analyses were limited to participants aged ≤75 y. We conclude that lower SES is related to accelerated aging across a broad range of functional abilities and phenotypes independently of the presence of health conditions and that social circumstances impinge on multiple aspects of aging.","author":[{"dropping-particle":"","family":"Steptoe","given":"Andrew","non-dropping-particle":"","parse-names":false,"suffix":""},{"dropping-particle":"","family":"Zaninotto","given":"Paola","non-dropping-particle":"","parse-names":false,"suffix":""}],"container-title":"Proceedings of the National Academy of Sciences of the United States of America","id":"ITEM-1","issue":"26","issued":{"date-parts":[["2020"]]},"page":"14911-14917","publisher":"National Academy of Sciences","title":"Lower socioeconomic status and the acceleration of aging: An outcome-wide analysis","type":"article-journal","volume":"117"},"uris":["http://www.mendeley.com/documents/?uuid=c1d3b8f0-cdac-4bf3-9211-ed4e49e6c01b"]},{"id":"ITEM-2","itemData":{"DOI":"10.1353/DEM.2004.0005","ISSN":"1533-7790","PMID":"15074126","abstract":"Increasingly, social scientists are turning to childhood to gain a better understanding of the fundamental social causes of adult mortality. However, evidence of the link between childhood and the mortality of adults is fragmentary, and the intervening mechanisms remain unclear. Drawing on the National Longitudinal Survey of Older Men, our analysis shows that men’s mortality is associated with an array of childhood conditions, including socioeconomic status, family living arrangements, mother’s work status, rural residence, and parents’ nativity. With the exception of parental nativity, socioeconomic-achievement processes in adulthood and lifestyle factors mediated these associations. Education, family income, household wealth, and occupation mediated the influence of socioeconomic status in childhood. Adult lifestyle factors, particularly body mass, mediated the effects of family living arrangements in childhood, mother’s work status, and rural residence. Our findings bring into sharp focus the idea that economic and educational policies that are targeted at children’s well-being are implicitly health policies with effects that reach far into the adult life course.","author":[{"dropping-particle":"","family":"Hayward","given":"Mark D","non-dropping-particle":"","parse-names":false,"suffix":""},{"dropping-particle":"","family":"Gorman","given":"Bridget K","non-dropping-particle":"","parse-names":false,"suffix":""}],"container-title":"Demography 2004 41:1","id":"ITEM-2","issue":"1","issued":{"date-parts":[["2004"]]},"page":"87-107","publisher":"Springer","title":"The long arm of childhood: The influence of early-life social conditions on men’s mortality","type":"article-journal","volume":"41"},"uris":["http://www.mendeley.com/documents/?uuid=08a69bc1-a6be-4670-b5e0-184f6d5ea107"]},{"id":"ITEM-3","itemData":{"DOI":"10.1257/jel.47.1.87","ISSN":"00220515","abstract":"There are many possible pathways between parental education, income, and health, and between child health and education, but only some of them have been explored in the literature. This essay focuses on links between parental socioeconomic status (as measured by education, income, occupation, or in some cases area of residence) and child health, and between child health and adult education or income. Specifically, I ask two questions: What is the evidence regarding whether parental socioeconomic status affects child health? And, what is the evidence relating child health to future educational and labor market outcomes? I show that there is now strong evidence of both links, suggesting that health could play a role in the intergenerational transmission of economic status.","author":[{"dropping-particle":"","family":"Currie","given":"Janet","non-dropping-particle":"","parse-names":false,"suffix":""}],"container-title":"Journal of Economic Literature","id":"ITEM-3","issue":"1","issued":{"date-parts":[["2009"]]},"page":"87-122","title":"Healthy, wealthy, and wise: Socioeconomic status, poor health in childhood, and human capital development","type":"article-journal","volume":"47"},"uris":["http://www.mendeley.com/documents/?uuid=6ddc1be1-5943-432b-a5a2-cb5f59e3ab9f"]},{"id":"ITEM-4","itemData":{"DOI":"10.1257/JEP.25.3.153","ISSN":"0895-3309","PMID":"25152565","author":[{"dropping-particle":"","family":"Almond","given":"Douglas","non-dropping-particle":"","parse-names":false,"suffix":""},{"dropping-particle":"","family":"Currie","given":"Janet","non-dropping-particle":"","parse-names":false,"suffix":""}],"container-title":"Journal of Economic Perspectives","id":"ITEM-4","issue":"3","issued":{"date-parts":[["2011","6"]]},"page":"153-72","title":"Killing Me Softly: The Fetal Origins Hypothesis","type":"article-journal","volume":"25"},"uris":["http://www.mendeley.com/documents/?uuid=dd7836ff-f738-3d30-a5e5-0e38e24c934e"]},{"id":"ITEM-5","itemData":{"author":[{"dropping-particle":"","family":"Almond","given":"Douglas","non-dropping-particle":"","parse-names":false,"suffix":""},{"dropping-particle":"","family":"Currie","given":"Janet","non-dropping-particle":"","parse-names":false,"suffix":""},{"dropping-particle":"","family":"Duque","given":"Valentina","non-dropping-particle":"","parse-names":false,"suffix":""}],"container-title":"Journal of Economic Literature","id":"ITEM-5","issue":"4","issued":{"date-parts":[["2018"]]},"page":"1360-1446","title":"Childhood circumstances and adult outcomes: Act II","type":"article-journal","volume":"56"},"uris":["http://www.mendeley.com/documents/?uuid=c43c66ef-32da-4fae-a135-723fd3f32eea"]}],"mendeley":{"formattedCitation":"(Almond et al., 2018; Almond &amp; Currie, 2011; Currie, 2009; Hayward &amp; Gorman, 2004; Steptoe &amp; Zaninotto, 2020)","manualFormatting":"(Almond et al., 2018; Almond &amp; Currie, 2011; Currie, 2009; Hayward &amp; Gorman, 2004; Steptoe &amp; Zaninotto, 2020)","plainTextFormattedCitation":"(Almond et al., 2018; Almond &amp; Currie, 2011; Currie, 2009; Hayward &amp; Gorman, 2004; Steptoe &amp; Zaninotto, 2020)","previouslyFormattedCitation":"(Almond et al., 2018; Almond &amp; Currie, 2011; Currie, 2009; Hayward &amp; Gorman, 2004; Steptoe &amp; Zaninotto, 2020)"},"properties":{"noteIndex":0},"schema":"https://github.com/citation-style-language/schema/raw/master/csl-citation.json"}</w:instrText>
      </w:r>
      <w:r w:rsidRPr="0004264F">
        <w:rPr>
          <w:rFonts w:cstheme="majorBidi"/>
          <w:szCs w:val="24"/>
          <w:lang w:bidi="fa-IR"/>
        </w:rPr>
        <w:fldChar w:fldCharType="separate"/>
      </w:r>
      <w:r w:rsidR="00591735" w:rsidRPr="0004264F">
        <w:rPr>
          <w:rFonts w:cstheme="majorBidi"/>
          <w:noProof/>
          <w:szCs w:val="24"/>
          <w:lang w:bidi="fa-IR"/>
        </w:rPr>
        <w:t>(Almond et al., 2018; Almond &amp; Currie, 2011; Currie, 2009; Hayward &amp; Gorman, 2004; Steptoe &amp; Zaninotto, 2020)</w:t>
      </w:r>
      <w:r w:rsidRPr="0004264F">
        <w:rPr>
          <w:rFonts w:cstheme="majorBidi"/>
          <w:szCs w:val="24"/>
          <w:lang w:bidi="fa-IR"/>
        </w:rPr>
        <w:fldChar w:fldCharType="end"/>
      </w:r>
      <w:r w:rsidRPr="0004264F">
        <w:rPr>
          <w:rFonts w:cstheme="majorBidi"/>
          <w:szCs w:val="24"/>
          <w:lang w:bidi="fa-IR"/>
        </w:rPr>
        <w:t>.</w:t>
      </w:r>
      <w:r w:rsidR="00A20E26" w:rsidRPr="0004264F">
        <w:rPr>
          <w:rFonts w:cstheme="majorBidi"/>
          <w:szCs w:val="24"/>
          <w:lang w:bidi="fa-IR"/>
        </w:rPr>
        <w:t xml:space="preserve"> Several studies provide suggestive evidence for the relevance of in-utero and </w:t>
      </w:r>
      <w:r w:rsidR="00B21605" w:rsidRPr="0004264F">
        <w:rPr>
          <w:rFonts w:cstheme="majorBidi"/>
          <w:szCs w:val="24"/>
          <w:lang w:bidi="fa-IR"/>
        </w:rPr>
        <w:t>early-life</w:t>
      </w:r>
      <w:r w:rsidR="00A20E26" w:rsidRPr="0004264F">
        <w:rPr>
          <w:rFonts w:cstheme="majorBidi"/>
          <w:szCs w:val="24"/>
          <w:lang w:bidi="fa-IR"/>
        </w:rPr>
        <w:t xml:space="preserve"> conditions for short-term and later-life outcomes</w:t>
      </w:r>
      <w:r w:rsidR="00B21605" w:rsidRPr="0004264F">
        <w:rPr>
          <w:rFonts w:cstheme="majorBidi"/>
          <w:szCs w:val="24"/>
          <w:lang w:bidi="fa-IR"/>
        </w:rPr>
        <w:t>,</w:t>
      </w:r>
      <w:r w:rsidR="00A20E26" w:rsidRPr="0004264F">
        <w:rPr>
          <w:rFonts w:cstheme="majorBidi"/>
          <w:szCs w:val="24"/>
          <w:lang w:bidi="fa-IR"/>
        </w:rPr>
        <w:t xml:space="preserve"> including child mortality </w:t>
      </w:r>
      <w:r w:rsidR="00FF3796" w:rsidRPr="0004264F">
        <w:rPr>
          <w:rFonts w:cstheme="majorBidi"/>
          <w:szCs w:val="24"/>
          <w:lang w:bidi="fa-IR"/>
        </w:rPr>
        <w:fldChar w:fldCharType="begin" w:fldLock="1"/>
      </w:r>
      <w:r w:rsidR="00075E74" w:rsidRPr="0004264F">
        <w:rPr>
          <w:rFonts w:cstheme="majorBidi"/>
          <w:szCs w:val="24"/>
          <w:lang w:bidi="fa-IR"/>
        </w:rPr>
        <w:instrText>ADDIN CSL_CITATION {"citationItems":[{"id":"ITEM-1","itemData":{"DOI":"10.1093/AJE/KWY091","ISSN":"0002-9262","abstract":"Ramadan exposure in utero can be regarded as a natural experiment with which to study how nutritional conditions in utero influence susceptibility to disease later in life. We analyzed data from rural Burkina Faso on 41,025 children born between 1993 and 2012, of whom 25,093 were born to Muslim mothers. Ramadan exposure was assigned on the basis of overlap between Ramadan dates and gestation, creating 7 exclusive categories. We used proportional hazards regression with difference-in-differences analysis to estimate the association between Ramadan exposure at different gestational ages and mortality among children under 5 years of age. Under-5 mortality was 32 deaths per 1,000 child-years. Under-5 mortality among Muslims was 15% higher than that among non-Muslims (P &lt; 0.001). In the difference-in-differences analysis, the occurrence of Ramadan during conception or the first or second trimester was associated with higher under-5 mortality rates among Muslims only. The mortality rates of children born to Muslim mothers were 33%, 29%, and 22% higher when Ramadan occurred during conception, the first trimester, and the second trimester, respectively, compared with children of non-Muslim mothers born at the same time (P = 0.01, P &lt; 0.001, and P = 0.007). Having a Muslim mother was not associated with mortality when the child was not exposed to Ramadan, born during Ramadan, or exposed during the third trimester. Observance of Ramadan during early pregnancy can have detrimental consequences for the future health of the unborn child.","author":[{"dropping-particle":"","family":"Schoeps","given":"Anja","non-dropping-particle":"","parse-names":false,"suffix":""},{"dropping-particle":"","family":"Ewijk","given":"Reyn","non-dropping-particle":"van","parse-names":false,"suffix":""},{"dropping-particle":"","family":"Kynast-Wolf","given":"Gisela","non-dropping-particle":"","parse-names":false,"suffix":""},{"dropping-particle":"","family":"Nebié","given":"Eric","non-dropping-particle":"","parse-names":false,"suffix":""},{"dropping-particle":"","family":"Zabré","given":"Pascal","non-dropping-particle":"","parse-names":false,"suffix":""},{"dropping-particle":"","family":"Sié","given":"Ali","non-dropping-particle":"","parse-names":false,"suffix":""},{"dropping-particle":"","family":"Gabrysch","given":"Sabine","non-dropping-particle":"","parse-names":false,"suffix":""}],"container-title":"American Journal of Epidemiology","id":"ITEM-1","issue":"10","issued":{"date-parts":[["2018","10"]]},"page":"2085-2092","publisher":"Oxford Academic","title":"Ramadan Exposure In Utero and Child Mortality in Burkina Faso: Analysis of a Population-Based Cohort Including 41,025 Children","type":"article-journal","volume":"187"},"uris":["http://www.mendeley.com/documents/?uuid=c5c646ce-f655-34f4-b153-39b52a6a2621"]},{"id":"ITEM-2","itemData":{"DOI":"10.1162/REST_a_00084","ISSN":"00346535","abstract":"Health and income are strongly correlated both within and across countries, yet the extent to which improvements in income have a causal effect on health status remains controversial. We investigate whether short-term fluctuations in aggregate income affect infant mortality using an unusually large data set of 1.7 million births in 59 developing countries. We show a large, negative association between per capita GDP and infant mortality. Female infant mortality is more sensitive than male infant mortality to negative economic shocks, suggesting that policies that protect the health status of female infants may be especially important during economic downturns. © 2011 by the President and Fellows of Harvard College and the Massachusetts Institute of Technology.","author":[{"dropping-particle":"","family":"Baird","given":"Sarah","non-dropping-particle":"","parse-names":false,"suffix":""},{"dropping-particle":"","family":"Friedman","given":"Jed","non-dropping-particle":"","parse-names":false,"suffix":""},{"dropping-particle":"","family":"Schady","given":"Norbert","non-dropping-particle":"","parse-names":false,"suffix":""}],"container-title":"Review of Economics and Statistics","id":"ITEM-2","issue":"3","issued":{"date-parts":[["2011","6"]]},"page":"847-856","publisher":" The MIT Press ","title":"Aggregate income shocks and infant mortality in the developing world","type":"article-journal","volume":"93"},"uris":["http://www.mendeley.com/documents/?uuid=7c47e7f4-5fed-3891-91ec-cbc1f11a9a50"]}],"mendeley":{"formattedCitation":"(Baird et al., 2011; Schoeps et al., 2018)","plainTextFormattedCitation":"(Baird et al., 2011; Schoeps et al., 2018)","previouslyFormattedCitation":"(Baird et al., 2011; Schoeps et al., 2018)"},"properties":{"noteIndex":0},"schema":"https://github.com/citation-style-language/schema/raw/master/csl-citation.json"}</w:instrText>
      </w:r>
      <w:r w:rsidR="00FF3796" w:rsidRPr="0004264F">
        <w:rPr>
          <w:rFonts w:cstheme="majorBidi"/>
          <w:szCs w:val="24"/>
          <w:lang w:bidi="fa-IR"/>
        </w:rPr>
        <w:fldChar w:fldCharType="separate"/>
      </w:r>
      <w:r w:rsidR="00FF3796" w:rsidRPr="0004264F">
        <w:rPr>
          <w:rFonts w:cstheme="majorBidi"/>
          <w:noProof/>
          <w:szCs w:val="24"/>
          <w:lang w:bidi="fa-IR"/>
        </w:rPr>
        <w:t>(Baird et al., 2011; Schoeps et al., 2018)</w:t>
      </w:r>
      <w:r w:rsidR="00FF3796" w:rsidRPr="0004264F">
        <w:rPr>
          <w:rFonts w:cstheme="majorBidi"/>
          <w:szCs w:val="24"/>
          <w:lang w:bidi="fa-IR"/>
        </w:rPr>
        <w:fldChar w:fldCharType="end"/>
      </w:r>
      <w:r w:rsidR="00820DD4" w:rsidRPr="0004264F">
        <w:rPr>
          <w:rFonts w:cstheme="majorBidi"/>
          <w:szCs w:val="24"/>
          <w:lang w:bidi="fa-IR"/>
        </w:rPr>
        <w:t>,</w:t>
      </w:r>
      <w:r w:rsidR="00FF3796" w:rsidRPr="0004264F">
        <w:rPr>
          <w:rFonts w:cstheme="majorBidi"/>
          <w:szCs w:val="24"/>
          <w:lang w:bidi="fa-IR"/>
        </w:rPr>
        <w:t xml:space="preserve"> </w:t>
      </w:r>
      <w:r w:rsidR="00A20E26" w:rsidRPr="0004264F">
        <w:rPr>
          <w:rFonts w:cstheme="majorBidi"/>
          <w:szCs w:val="24"/>
          <w:lang w:bidi="fa-IR"/>
        </w:rPr>
        <w:t xml:space="preserve">cognitive development </w:t>
      </w:r>
      <w:r w:rsidR="00820DD4" w:rsidRPr="0004264F">
        <w:rPr>
          <w:rFonts w:cstheme="majorBidi"/>
          <w:szCs w:val="24"/>
          <w:lang w:bidi="fa-IR"/>
        </w:rPr>
        <w:fldChar w:fldCharType="begin" w:fldLock="1"/>
      </w:r>
      <w:r w:rsidR="00306A15" w:rsidRPr="0004264F">
        <w:rPr>
          <w:rFonts w:cstheme="majorBidi"/>
          <w:szCs w:val="24"/>
          <w:lang w:bidi="fa-IR"/>
        </w:rPr>
        <w:instrText>ADDIN CSL_CITATION {"citationItems":[{"id":"ITEM-1","itemData":{"DOI":"10.1007/S11111-021-00394-6/TABLES/6","ISSN":"15737810","abstract":"The foetal origins hypothesis postulates that shocks while in utero can have long-term detrimental effects on the health and human capital formation of children. Using data from the Young Lives project for Vietnam, we examine the effects of exposure to historically abnormal rainfall among children in utero on the cognitive development of the same children from 5 to 15 years of age. Based on data on month and place of birth, we show that positive rainfall shocks are associated with better cognitive development in children up to 8 years of age. The effect is more pronounced when positive shocks occur in the early stage of gestation. However, such positive effects are not sustained: the impacts of positive rainfall shocks on cognition are completely absent at 10 and 15 years of age. We contribute to the literature by examining the importance of the timing and persistence of weather shocks during pregnancy on cognitive development by tracking the same children from in utero to school age.","author":[{"dropping-particle":"","family":"Yamashita","given":"Nobuaki","non-dropping-particle":"","parse-names":false,"suffix":""},{"dropping-particle":"","family":"Trinh","given":"Trong Anh","non-dropping-particle":"","parse-names":false,"suffix":""}],"container-title":"Population and Environment","id":"ITEM-1","issue":"3","issued":{"date-parts":[["2022","3","1"]]},"page":"346-366","publisher":"Springer Science and Business Media B.V.","title":"Effects of prenatal exposure to abnormal rainfall on cognitive development in Vietnam","type":"article-journal","volume":"43"},"uris":["http://www.mendeley.com/documents/?uuid=3b12da5e-0527-3204-a25a-dfc786ff141e"]},{"id":"ITEM-2","itemData":{"DOI":"10.1016/J.EHB.2021.101089","ISSN":"1570-677X","PMID":"34891011","abstract":"Skills are an important predictor of labour, education, and wellbeing outcomes. Understanding the origins of skills formation is important for reducing future inequalities. This paper analyses the effect of shocks in-utero on human capital outcomes in childhood and adolescence in India. Combining historical rainfall data and longitudinal data from Young Lives, we estimate the effect of rainfall shocks in-utero on cognitive and non-cognitive skills development over the first 15 years of life. We find negative effects of rainfall shocks on receptive vocabulary at age 5, and on mathematics and non-cognitive skills at age 15. The negative effects on cognitive skills are driven by boys, while the effect for both cognitive and non-cognitive skills are driven by children of parents with lower education, suggesting that prenatal shocks might exacerbate pre-existing inequalities. Our findings support the implementation of policies aiming at reducing inequalities at very early stages in life.","author":[{"dropping-particle":"","family":"Chang","given":"Grace","non-dropping-particle":"","parse-names":false,"suffix":""},{"dropping-particle":"","family":"Favara","given":"Marta","non-dropping-particle":"","parse-names":false,"suffix":""},{"dropping-particle":"","family":"Novella","given":"Rafael","non-dropping-particle":"","parse-names":false,"suffix":""}],"container-title":"Economics &amp; Human Biology","id":"ITEM-2","issued":{"date-parts":[["2022","1","1"]]},"page":"101089","publisher":"North-Holland","title":"The origins of cognitive skills and non-cognitive skills: The long-term effect of in-utero rainfall shocks in India","type":"article-journal","volume":"44"},"uris":["http://www.mendeley.com/documents/?uuid=e5f63047-51f0-3b28-8a1a-daf59673189a"]},{"id":"ITEM-3","itemData":{"DOI":"10.1016/j.jdeveco.2015.06.006","ISSN":"03043878","abstract":"More than a billion Muslims living today were potentially exposed to their mother's fasting in utero. This paper uses the Indonesian Family Life Survey to study the persistent effects of in utero exposure to Ramadan over the life cycle. The exposed children perform more child labor, score 7.4% lower on cognitive tests and 8.4% lower on math test scores. As adults, the exposed children work 4.7% fewer hours per week and are more likely to be self-employed. Estimates are robust to the inclusion of family fixed effects, particularly for hours worked and test scores. Moreover, results are strongest for religious Muslim families, while insignificant for non-Muslims. Back of the envelope calculations reveal an implied fasting rate of 68%-82% among pregnant Muslim women.","author":[{"dropping-particle":"","family":"Majid","given":"Muhammad Farhan","non-dropping-particle":"","parse-names":false,"suffix":""}],"container-title":"Journal of Development Economics","id":"ITEM-3","issued":{"date-parts":[["2015","11"]]},"page":"48-57","publisher":"Elsevier","title":"The persistent effects of in utero nutrition shocks over the life cycle: Evidence from Ramadan fasting","type":"article-journal","volume":"117"},"uris":["http://www.mendeley.com/documents/?uuid=6289ebc9-3e51-3f23-b579-142970b2c73a"]}],"mendeley":{"formattedCitation":"(Chang et al., 2022; Majid, 2015; Yamashita &amp; Trinh, 2022)","plainTextFormattedCitation":"(Chang et al., 2022; Majid, 2015; Yamashita &amp; Trinh, 2022)","previouslyFormattedCitation":"(Chang et al., 2022; Majid, 2015; Yamashita &amp; Trinh, 2022)"},"properties":{"noteIndex":0},"schema":"https://github.com/citation-style-language/schema/raw/master/csl-citation.json"}</w:instrText>
      </w:r>
      <w:r w:rsidR="00820DD4" w:rsidRPr="0004264F">
        <w:rPr>
          <w:rFonts w:cstheme="majorBidi"/>
          <w:szCs w:val="24"/>
          <w:lang w:bidi="fa-IR"/>
        </w:rPr>
        <w:fldChar w:fldCharType="separate"/>
      </w:r>
      <w:r w:rsidR="00820DD4" w:rsidRPr="0004264F">
        <w:rPr>
          <w:rFonts w:cstheme="majorBidi"/>
          <w:noProof/>
          <w:szCs w:val="24"/>
          <w:lang w:bidi="fa-IR"/>
        </w:rPr>
        <w:t>(Chang et al., 2022; Majid, 2015; Yamashita &amp; Trinh, 2022)</w:t>
      </w:r>
      <w:r w:rsidR="00820DD4" w:rsidRPr="0004264F">
        <w:rPr>
          <w:rFonts w:cstheme="majorBidi"/>
          <w:szCs w:val="24"/>
          <w:lang w:bidi="fa-IR"/>
        </w:rPr>
        <w:fldChar w:fldCharType="end"/>
      </w:r>
      <w:r w:rsidR="00820DD4" w:rsidRPr="0004264F">
        <w:rPr>
          <w:rFonts w:cstheme="majorBidi"/>
          <w:szCs w:val="24"/>
          <w:lang w:bidi="fa-IR"/>
        </w:rPr>
        <w:t xml:space="preserve">, </w:t>
      </w:r>
      <w:r w:rsidR="00306A15" w:rsidRPr="0004264F">
        <w:rPr>
          <w:rFonts w:cstheme="majorBidi"/>
          <w:szCs w:val="24"/>
          <w:lang w:bidi="fa-IR"/>
        </w:rPr>
        <w:t xml:space="preserve">test scores </w:t>
      </w:r>
      <w:r w:rsidR="00306A15" w:rsidRPr="0004264F">
        <w:rPr>
          <w:rFonts w:cstheme="majorBidi"/>
          <w:szCs w:val="24"/>
          <w:lang w:bidi="fa-IR"/>
        </w:rPr>
        <w:fldChar w:fldCharType="begin" w:fldLock="1"/>
      </w:r>
      <w:r w:rsidR="0095065C" w:rsidRPr="0004264F">
        <w:rPr>
          <w:rFonts w:cstheme="majorBidi"/>
          <w:szCs w:val="24"/>
          <w:lang w:bidi="fa-IR"/>
        </w:rPr>
        <w:instrText>ADDIN CSL_CITATION {"citationItems":[{"id":"ITEM-1","itemData":{"DOI":"10.1086/690828/SUPPL_FILE/2013254DATA.ZIP","ISSN":"1537534X","abstract":"Higher wages are generally thought to increase human capital production, particularly in the developing world. We introduce a simple model of human capital production in which investments and time allocation differ by age. Using data on test scores and schooling from rural India, we show that higher wages increase human capital investment in early life (in utero to age 2) but decrease human capital from age 5 to 16. Children switch out of school into productive work when rainfall is higher. The opportunity cost of schooling, even for fairly young children, is an important factor in determining overall human capital investment.","author":[{"dropping-particle":"","family":"Shah","given":"Manisha","non-dropping-particle":"","parse-names":false,"suffix":""},{"dropping-particle":"","family":"Steinberg","given":"Bryce Millett","non-dropping-particle":"","parse-names":false,"suffix":""}],"container-title":"Journal of Political Economy","id":"ITEM-1","issue":"2","issued":{"date-parts":[["2017","4","1"]]},"page":"527-561","publisher":"University of Chicago Press","title":"Drought of opportunities: Contemporaneous and long-term impacts of rainfall shocks on human capital","type":"article-journal","volume":"125"},"uris":["http://www.mendeley.com/documents/?uuid=6553d41d-9ffb-32e5-8d3e-dd83fced6b19"]},{"id":"ITEM-2","itemData":{"DOI":"10.1111/ecoj.12168","ISSN":"00130133","author":[{"dropping-particle":"","family":"Almond","given":"Douglas","non-dropping-particle":"","parse-names":false,"suffix":""},{"dropping-particle":"","family":"Mazumder","given":"Bhashkar","non-dropping-particle":"","parse-names":false,"suffix":""},{"dropping-particle":"","family":"Ewijk","given":"Reyn","non-dropping-particle":"van","parse-names":false,"suffix":""}],"container-title":"The Economic Journal","id":"ITEM-2","issue":"589","issued":{"date-parts":[["2015","12"]]},"page":"1501-1533","title":"&lt;i&gt;In Utero&lt;/i&gt; Ramadan Exposure and Children's Academic Performance","type":"article-journal","volume":"125"},"uris":["http://www.mendeley.com/documents/?uuid=06360038-c66e-36d6-a70a-ce71e514868c"]}],"mendeley":{"formattedCitation":"(Almond et al., 2015; Shah &amp; Steinberg, 2017)","plainTextFormattedCitation":"(Almond et al., 2015; Shah &amp; Steinberg, 2017)","previouslyFormattedCitation":"(Almond et al., 2015; Shah &amp; Steinberg, 2017)"},"properties":{"noteIndex":0},"schema":"https://github.com/citation-style-language/schema/raw/master/csl-citation.json"}</w:instrText>
      </w:r>
      <w:r w:rsidR="00306A15" w:rsidRPr="0004264F">
        <w:rPr>
          <w:rFonts w:cstheme="majorBidi"/>
          <w:szCs w:val="24"/>
          <w:lang w:bidi="fa-IR"/>
        </w:rPr>
        <w:fldChar w:fldCharType="separate"/>
      </w:r>
      <w:r w:rsidR="00306A15" w:rsidRPr="0004264F">
        <w:rPr>
          <w:rFonts w:cstheme="majorBidi"/>
          <w:noProof/>
          <w:szCs w:val="24"/>
          <w:lang w:bidi="fa-IR"/>
        </w:rPr>
        <w:t>(Almond et al., 2015; Shah &amp; Steinberg, 2017)</w:t>
      </w:r>
      <w:r w:rsidR="00306A15" w:rsidRPr="0004264F">
        <w:rPr>
          <w:rFonts w:cstheme="majorBidi"/>
          <w:szCs w:val="24"/>
          <w:lang w:bidi="fa-IR"/>
        </w:rPr>
        <w:fldChar w:fldCharType="end"/>
      </w:r>
      <w:r w:rsidR="00306A15" w:rsidRPr="0004264F">
        <w:rPr>
          <w:rFonts w:cstheme="majorBidi"/>
          <w:szCs w:val="24"/>
          <w:lang w:bidi="fa-IR"/>
        </w:rPr>
        <w:t xml:space="preserve">, education </w:t>
      </w:r>
      <w:r w:rsidR="00306A15" w:rsidRPr="0004264F">
        <w:rPr>
          <w:rFonts w:cstheme="majorBidi"/>
          <w:szCs w:val="24"/>
          <w:lang w:bidi="fa-IR"/>
        </w:rPr>
        <w:fldChar w:fldCharType="begin" w:fldLock="1"/>
      </w:r>
      <w:r w:rsidR="00075E74" w:rsidRPr="0004264F">
        <w:rPr>
          <w:rFonts w:cstheme="majorBidi"/>
          <w:szCs w:val="24"/>
          <w:lang w:bidi="fa-IR"/>
        </w:rPr>
        <w:instrText>ADDIN CSL_CITATION {"citationItems":[{"id":"ITEM-1","itemData":{"DOI":"10.3368/jhr.51.3.0914-6664R","ISSN":"15488004","abstract":"We study how maternal stress affects offspring outcomes. We find that in utero exposure to elevated levels of the stress hormone cortisol negatively affects offspring cognition, health, and educational attainment. These findings are based on comparisons between siblings that limit variation to short-lived shocks and controls for unobserved differences between mothers that could bias estimates. Our results are consistent with recent experimental results in the neurobiological literature linking exogenous exposure to stress hormones in utero with declines in offspring cognitive, behavioral, and motor development. Moreover, we find that not only are mothers with low levels of human capital characterized by higher and more variable cortisol levels but that the negative impact of elevated cortisol on their offspring is greater. These results suggest that maternal stress may play a role in the intergenerational persistence of poverty.","author":[{"dropping-particle":"","family":"Aizer","given":"Anna","non-dropping-particle":"","parse-names":false,"suffix":""},{"dropping-particle":"","family":"Stroud","given":"Laura","non-dropping-particle":"","parse-names":false,"suffix":""},{"dropping-particle":"","family":"Buka","given":"Stephen","non-dropping-particle":"","parse-names":false,"suffix":""}],"container-title":"Journal of Human Resources","id":"ITEM-1","issue":"3","issued":{"date-parts":[["2016"]]},"page":"523-555","publisher":"University of Wisconsin Press","title":"Maternal stress and child outcomes: Evidence from siblings","type":"article-journal","volume":"51"},"uris":["http://www.mendeley.com/documents/?uuid=e30eb8a6-caa0-3c24-8d93-fc52d22a2c8c"]},{"id":"ITEM-2","itemData":{"DOI":"10.1016/j.jdeveco.2015.07.012","ISSN":"03043878","abstract":"This study estimates the effects of the 1970 Ancash earthquake on human capital accumulation on the affected and subsequent generation, 37. years after the shock, using Peruvian census of 1993 and 2007. The main finding is that males affected by the earthquake in utero completed on average 0.5. years less schooling while females affected by the earthquake completed 0.8. years less schooling. Moreover those affected by the earthquake also fare far worse in the marriage market and become parents at a much younger age. In addition children of mothers affected at birth by the earthquake have 0.4 less years of education, while those whose fathers were affected at birth show no effects. Other outcomes also suggest that welfare of the affected individuals has been negatively impacted in the long run. This research supports previous literature on shocks in early childhood, providing evidence of the existence of intergenerational transmission of shocks.","author":[{"dropping-particle":"","family":"Caruso","given":"Germán","non-dropping-particle":"","parse-names":false,"suffix":""},{"dropping-particle":"","family":"Miller","given":"Sebastian","non-dropping-particle":"","parse-names":false,"suffix":""}],"container-title":"Journal of Development Economics","id":"ITEM-2","issued":{"date-parts":[["2015","11"]]},"page":"134-150","publisher":"Elsevier","title":"Long run effects and intergenerational transmission of natural disasters: A case study on the 1970 Ancash Earthquake","type":"article-journal","volume":"117"},"uris":["http://www.mendeley.com/documents/?uuid=f9533412-8827-3cef-bb54-cfef7c1004ba"]}],"mendeley":{"formattedCitation":"(Aizer, Stroud, et al., 2016; Caruso &amp; Miller, 2015)","plainTextFormattedCitation":"(Aizer, Stroud, et al., 2016; Caruso &amp; Miller, 2015)","previouslyFormattedCitation":"(Aizer, Stroud, et al., 2016; Caruso &amp; Miller, 2015)"},"properties":{"noteIndex":0},"schema":"https://github.com/citation-style-language/schema/raw/master/csl-citation.json"}</w:instrText>
      </w:r>
      <w:r w:rsidR="00306A15" w:rsidRPr="0004264F">
        <w:rPr>
          <w:rFonts w:cstheme="majorBidi"/>
          <w:szCs w:val="24"/>
          <w:lang w:bidi="fa-IR"/>
        </w:rPr>
        <w:fldChar w:fldCharType="separate"/>
      </w:r>
      <w:r w:rsidR="00756D2B" w:rsidRPr="0004264F">
        <w:rPr>
          <w:rFonts w:cstheme="majorBidi"/>
          <w:noProof/>
          <w:szCs w:val="24"/>
          <w:lang w:bidi="fa-IR"/>
        </w:rPr>
        <w:t>(Aizer, Stroud, et al., 2016; Caruso &amp; Miller, 2015)</w:t>
      </w:r>
      <w:r w:rsidR="00306A15" w:rsidRPr="0004264F">
        <w:rPr>
          <w:rFonts w:cstheme="majorBidi"/>
          <w:szCs w:val="24"/>
          <w:lang w:bidi="fa-IR"/>
        </w:rPr>
        <w:fldChar w:fldCharType="end"/>
      </w:r>
      <w:r w:rsidR="00306A15" w:rsidRPr="0004264F">
        <w:rPr>
          <w:rFonts w:cstheme="majorBidi"/>
          <w:szCs w:val="24"/>
          <w:lang w:bidi="fa-IR"/>
        </w:rPr>
        <w:t xml:space="preserve">, adulthood earnings </w:t>
      </w:r>
      <w:r w:rsidR="002A5618" w:rsidRPr="0004264F">
        <w:rPr>
          <w:rFonts w:cstheme="majorBidi"/>
          <w:szCs w:val="24"/>
          <w:lang w:bidi="fa-IR"/>
        </w:rPr>
        <w:fldChar w:fldCharType="begin" w:fldLock="1"/>
      </w:r>
      <w:r w:rsidR="00491F4C" w:rsidRPr="0004264F">
        <w:rPr>
          <w:rFonts w:cstheme="majorBidi"/>
          <w:szCs w:val="24"/>
          <w:lang w:bidi="fa-IR"/>
        </w:rPr>
        <w:instrText>ADDIN CSL_CITATION {"citationItems":[{"id":"ITEM-1","itemData":{"DOI":"10.1002/PAM.21805","ISSN":"0276-8739","PMID":"25558491","abstract":"Mounting evidence across different disciplines suggests that early-life conditions can have consequences on individual outcomes throughout the life cycle. Relative to other developed countries, the United States fares poorly on standard indicators of early-life health, and this disadvantage may have profound consequences not only for population well-being, but also for economic growth and competitiveness in a global economy. In this paper, we first discuss the research on the strength of the link between early-life health and adult outcomes, and then provide an evidence-based review of the effectiveness of existing U.S. policies targeting the early-life environment. We conclude that there is a robust and economically meaningful relationship between early-life conditions and well-being throughout the life cycle, as measured by adult health, educational attainment, labor market attachment, and other indicators of socioeconomic status. However, there is some variation in the degree to which current policies in the United States are effective in improving early-life conditions. Among existing programs, some of the most effective are the Special Supplemental Program for Women, Infants, and Children (WIC), home visiting with nurse practitioners, and high-quality, center-based early-childhood care and education. In contrast, the evidence on other policies such as prenatal care and family leave is more mixed and limited.","author":[{"dropping-particle":"","family":"Currie","given":"Janet","non-dropping-particle":"","parse-names":false,"suffix":""},{"dropping-particle":"","family":"Rossin-Slater","given":"Maya","non-dropping-particle":"","parse-names":false,"suffix":""}],"container-title":"Journal of policy analysis and management : [the journal of the Association for Public Policy Analysis and Management]","id":"ITEM-1","issue":"1","issued":{"date-parts":[["2015"]]},"page":"208-242","publisher":"J Policy Anal Manage","title":"Early-life origins of life-cycle well-being: research and policy implications","type":"article-journal","volume":"34"},"uris":["http://www.mendeley.com/documents/?uuid=d52210f1-be11-4cf6-bd15-73aba349b94d"]},{"id":"ITEM-2","itemData":{"DOI":"10.1257/aer.20130375","ISSN":"00028282","abstract":"We examine the impact of a positive and policy-driven change in economic resources available in utero and during childhood. We focus on the introduction of the Food Stamp Program, which was rolled out across counties between 1961 and 1975. We use the Panel Study of Income Dynamics to assemble unique data linking family background and county of residence in early childhood to adult health and economic outcomes. Our findings indicate access to food stamps in childhood leads to a significant reduction in the incidence of metabolic syndrome and, for women, an increase in economic selfsufficiency. (JEL I12, I38, J24).","author":[{"dropping-particle":"","family":"Hoynes","given":"Hilary","non-dropping-particle":"","parse-names":false,"suffix":""},{"dropping-particle":"","family":"Schanzenbach","given":"Diane Whitmore","non-dropping-particle":"","parse-names":false,"suffix":""},{"dropping-particle":"","family":"Almond","given":"Douglas","non-dropping-particle":"","parse-names":false,"suffix":""}],"container-title":"American Economic Review","id":"ITEM-2","issue":"4","issued":{"date-parts":[["2016","6"]]},"page":"903-934","publisher":"American Economic Association","title":"Long-run impacts of childhood access to the safety net","type":"article-journal","volume":"106"},"uris":["http://www.mendeley.com/documents/?uuid=2e2da047-bcd9-3b5a-8a82-6dc859c14be5"]},{"id":"ITEM-3","itemData":{"DOI":"10.1162/qjec.122.1.409","ISSN":"0033-5533","author":[{"dropping-particle":"","family":"Black","given":"S E","non-dropping-particle":"","parse-names":false,"suffix":""},{"dropping-particle":"","family":"Devereux","given":"P J","non-dropping-particle":"","parse-names":false,"suffix":""},{"dropping-particle":"","family":"Salvanes","given":"K G","non-dropping-particle":"","parse-names":false,"suffix":""}],"container-title":"The Quarterly Journal of Economics","id":"ITEM-3","issue":"1","issued":{"date-parts":[["2007","2"]]},"page":"409-439","title":"From the Cradle to the Labor Market? The Effect of Birth Weight on Adult Outcomes","type":"article-journal","volume":"122"},"uris":["http://www.mendeley.com/documents/?uuid=dc0f180f-095a-3d5b-ba4b-34586443a286"]}],"mendeley":{"formattedCitation":"(S. E. Black et al., 2007; Currie &amp; Rossin-Slater, 2015; Hoynes et al., 2016)","manualFormatting":"(Black et al., 2007; Currie &amp; Rossin-Slater, 2015; Hoynes et al., 2016)","plainTextFormattedCitation":"(S. E. Black et al., 2007; Currie &amp; Rossin-Slater, 2015; Hoynes et al., 2016)","previouslyFormattedCitation":"(S. E. Black et al., 2007; Currie &amp; Rossin-Slater, 2015; Hoynes et al., 2016)"},"properties":{"noteIndex":0},"schema":"https://github.com/citation-style-language/schema/raw/master/csl-citation.json"}</w:instrText>
      </w:r>
      <w:r w:rsidR="002A5618" w:rsidRPr="0004264F">
        <w:rPr>
          <w:rFonts w:cstheme="majorBidi"/>
          <w:szCs w:val="24"/>
          <w:lang w:bidi="fa-IR"/>
        </w:rPr>
        <w:fldChar w:fldCharType="separate"/>
      </w:r>
      <w:r w:rsidR="00F22B21" w:rsidRPr="0004264F">
        <w:rPr>
          <w:rFonts w:cstheme="majorBidi"/>
          <w:noProof/>
          <w:szCs w:val="24"/>
          <w:lang w:bidi="fa-IR"/>
        </w:rPr>
        <w:t>(Black et al., 2007; Currie &amp; Rossin-Slater, 2015; Hoynes et al., 2016)</w:t>
      </w:r>
      <w:r w:rsidR="002A5618" w:rsidRPr="0004264F">
        <w:rPr>
          <w:rFonts w:cstheme="majorBidi"/>
          <w:szCs w:val="24"/>
          <w:lang w:bidi="fa-IR"/>
        </w:rPr>
        <w:fldChar w:fldCharType="end"/>
      </w:r>
      <w:r w:rsidR="00306A15" w:rsidRPr="0004264F">
        <w:rPr>
          <w:rFonts w:cstheme="majorBidi"/>
          <w:szCs w:val="24"/>
          <w:lang w:bidi="fa-IR"/>
        </w:rPr>
        <w:t>, and health outcomes over the life cycle</w:t>
      </w:r>
      <w:r w:rsidR="00075E74" w:rsidRPr="0004264F">
        <w:rPr>
          <w:rFonts w:cstheme="majorBidi"/>
          <w:szCs w:val="24"/>
          <w:lang w:bidi="fa-IR"/>
        </w:rPr>
        <w:t xml:space="preserve"> </w:t>
      </w:r>
      <w:r w:rsidR="00075E74" w:rsidRPr="0004264F">
        <w:rPr>
          <w:rFonts w:cstheme="majorBidi"/>
          <w:szCs w:val="24"/>
          <w:lang w:bidi="fa-IR"/>
        </w:rPr>
        <w:fldChar w:fldCharType="begin" w:fldLock="1"/>
      </w:r>
      <w:r w:rsidR="002C57D5" w:rsidRPr="0004264F">
        <w:rPr>
          <w:rFonts w:cstheme="majorBidi"/>
          <w:szCs w:val="24"/>
          <w:lang w:bidi="fa-IR"/>
        </w:rPr>
        <w:instrText>ADDIN CSL_CITATION {"citationItems":[{"id":"ITEM-1","itemData":{"DOI":"10.1016/J.JHEALECO.2010.03.007","ISSN":"0167-6296","PMID":"20394999","abstract":"Childhood asthma is a major chronic condition affecting millions of children in this country, yet little is known about its potential long term consequences. In this paper, we estimate the relationship between childhood asthma and several outcomes as a young adult. To overcome many of the methodological issues plaguing earlier research on this topic, we estimate sibling fixed effect models that correct for measurement error using parental reports of asthma status. In our preferred specification, we find substantial long term impacts of childhood asthma on general health status, obesity, and missed work and school days as a young adult. Broadly, our findings contribute to the growing literature in social sciences on the impacts of early life health conditions on later life health and social outcomes and suggest early treatment of asthma may have long-run benefits on young adult health and socioeconomic outcomes. © 2010 Elsevier B.V.","author":[{"dropping-particle":"","family":"Fletcher","given":"Jason M.","non-dropping-particle":"","parse-names":false,"suffix":""},{"dropping-particle":"","family":"Green","given":"Jeremy C.","non-dropping-particle":"","parse-names":false,"suffix":""},{"dropping-particle":"","family":"Neidell","given":"Matthew J.","non-dropping-particle":"","parse-names":false,"suffix":""}],"container-title":"Journal of Health Economics","id":"ITEM-1","issue":"3","issued":{"date-parts":[["2010","5","1"]]},"page":"377-387","publisher":"North-Holland","title":"Long term effects of childhood asthma on adult health","type":"article-journal","volume":"29"},"uris":["http://www.mendeley.com/documents/?uuid=3946b4db-f9e6-39f2-a32e-0d88c69ce174"]},{"id":"ITEM-2","itemData":{"author":[{"dropping-particle":"","family":"Fletcher","given":"Jason M.","non-dropping-particle":"","parse-names":false,"suffix":""},{"dropping-particle":"","family":"Noghanibehambari","given":"Hamid","non-dropping-particle":"","parse-names":false,"suffix":""}],"container-title":"Working Paper","id":"ITEM-2","issued":{"date-parts":[["2022"]]},"title":"The Siren Song of Cicadas: Early-Life Pesticide Exposure and Later-Life Mortality","type":"article-journal"},"uris":["http://www.mendeley.com/documents/?uuid=41beebbb-de82-4f67-9ad0-bae5f19dde2c"]},{"id":"ITEM-3","itemData":{"DOI":"10.1080/19485565.2018.1501267","ISSN":"19485573","PMID":"31274347","abstract":"This paper provides new evidence of the impacts of early life exposure to the 1918 pandemic on old-age mortality by analyzing data from the National Longitudinal Mortality Study (n ~ 220,000). The ...","author":[{"dropping-particle":"","family":"Fletcher","given":"Jason M.","non-dropping-particle":"","parse-names":false,"suffix":""}],"container-title":"Biodemography and Social Biology","id":"ITEM-3","issue":"2","issued":{"date-parts":[["2018","4","3"]]},"page":"123-126","publisher":"Routledge","title":"New evidence on the impacts of early exposure to the 1918 influenza pandemic on old-age mortality","type":"article-journal","volume":"64"},"uris":["http://www.mendeley.com/documents/?uuid=cec09983-6ad3-3471-aa9d-f87a034fa6c4"]},{"id":"ITEM-4","itemData":{"DOI":"10.1257/AER.20171671","ISSN":"0002-8282","abstract":"This paper estimates the long-run effects of childhood Medicaid eligibility on adult health and economic outcomes using the program's original introduction (1966-1970) and its mandated coverage of welfare recipients. The design compares cohorts born in different years relative to Medicaid implementation, in states with different preexisting welfare-based eligibility. Early childhood Medicaid eligibility reduces mortality and disability, increases employment, and reduces receipt of disability transfer programs up to 50 years later. Medicaid has saved the government more than its original cost and saved more than 10 million quality adjusted life years.","author":[{"dropping-particle":"","family":"Goodman-Bacon","given":"Andrew","non-dropping-particle":"","parse-names":false,"suffix":""}],"container-title":"American Economic Review","id":"ITEM-4","issue":"8","issued":{"date-parts":[["2021","8","1"]]},"page":"2550-93","publisher":"American Economic Association","title":"The Long-Run Effects of Childhood Insurance Coverage: Medicaid Implementation, Adult Health, and Labor Market Outcomes","type":"article-journal","volume":"111"},"uris":["http://www.mendeley.com/documents/?uuid=87ed6718-486f-3ce6-8abd-46bc1b01406f"]},{"id":"ITEM-5","itemData":{"DOI":"10.3368/jhr.54.3.0816.8173r1","ISSN":"0022-166X","abstract":"Although the link between the fetal environment and later life health and achievement is well-established, few studies have evaluated the extent to which public policies aimed at improving fetal health can generate benefits that persist into adulthood. In this study, we evaluate how a rapid expansion of prenatal and child health insurance through the Medicaid program affected adult outcomes of individuals born between 1979 and 1993 who gained access to coverage in utero and as children. We conduct this analysis by exploiting state-and cohort-level variation in the timing and generosity of Medicaid expansions using a simulated eligibility instrumental variables model. We find that cohorts whose mothers gained eligibility for prenatal coverage under Medicaid have lower rates of obesity as adults and fewer hospitalizations related to endocrine, nutritional and metabolic diseases, and immunity disorders as adults. We also find that the prenatal expansions increased high school graduation rates among affected cohorts. We find effects of public eligibility in other periods of childhood on self-reported health and hospitalizations later in life, but these effects are smaller in magnitude. Our results indicate that expanding Medicaid prenatal coverage had sizeable long-term benefits for the next generation.","author":[{"dropping-particle":"","family":"Miller","given":"Sarah","non-dropping-particle":"","parse-names":false,"suffix":""},{"dropping-particle":"","family":"Wherry","given":"Laura R","non-dropping-particle":"","parse-names":false,"suffix":""}],"container-title":"Journal of Human Resources","id":"ITEM-5","issue":"3","issued":{"date-parts":[["2019"]]},"page":"785-824","publisher":"University of Wisconsin Press","title":"The Long-Term Effects of Early Life Medicaid Coverage","type":"article-journal","volume":"54"},"uris":["http://www.mendeley.com/documents/?uuid=5f454059-c503-4184-a4f6-54bc51459255"]},{"id":"ITEM-6","itemData":{"DOI":"10.1257/aer.20141406","ISSN":"00028282","PMID":"30091569","abstract":"This paper studies how in utero exposure to maternal stress from family ruptures affects later mental health. We find that prenatal exposure to the death of a maternal relative increases take-up of ADHD medications during childhood and anti-anxiety and depression medications in adulthood. Further, family ruptures during pregnancy depress birth outcomes and raise the risk of perinatal complications necessitating hospitalization. Our results suggest large welfare gains from preventing fetal stress from family ruptures and possibly from economically induced stressors such as unemployment. They further suggest that greater stress exposure among the poor may partially explain the intergenerational persistence of poverty.","author":[{"dropping-particle":"","family":"Persson","given":"Petra","non-dropping-particle":"","parse-names":false,"suffix":""},{"dropping-particle":"","family":"Rossin-Slater","given":"Maya","non-dropping-particle":"","parse-names":false,"suffix":""}],"container-title":"American Economic Review","id":"ITEM-6","issue":"4-5","issued":{"date-parts":[["2018","4"]]},"page":"1214-1252","publisher":"American Economic Association","title":"Family ruptures, stress, and the mental health of the next generation","type":"article-journal","volume":"108"},"uris":["http://www.mendeley.com/documents/?uuid=84e264dd-1a78-4884-b349-18c05b418d14"]},{"id":"ITEM-7","itemData":{"DOI":"10.1016/J.JHEALECO.2022.102690","ISSN":"0167-6296","author":[{"dropping-particle":"","family":"Noghanibehambari","given":"Hamid","non-dropping-particle":"","parse-names":false,"suffix":""},{"dropping-particle":"","family":"Engelman","given":"Michal","non-dropping-particle":"","parse-names":false,"suffix":""}],"container-title":"Journal of Health Economics","id":"ITEM-7","issued":{"date-parts":[["2022","12","1"]]},"page":"102690","publisher":"North-Holland","title":"Social insurance programs and later-life mortality: Evidence from new deal relief spending","type":"article-journal","volume":"86"},"uris":["http://www.mendeley.com/documents/?uuid=64e12427-7398-37ad-afd4-1e99a3ad61b0"]}],"mendeley":{"formattedCitation":"(J. M. Fletcher, 2018; J. M. Fletcher et al., 2010; J. M. Fletcher &amp; Noghanibehambari, 2022; Goodman-Bacon, 2021; Miller &amp; Wherry, 2019; Noghanibehambari &amp; Engelman, 2022; Persson &amp; Rossin-Slater, 2018)","manualFormatting":"(Fletcher, 2018; Fletcher et al., 2010; Fletcher &amp; Noghanibehambari, 2022; Goodman-Bacon, 2021; Miller &amp; Wherry, 2019; Noghanibehambari &amp; Engelman, 2022; Persson &amp; Rossin-Slater, 2018)","plainTextFormattedCitation":"(J. M. Fletcher, 2018; J. M. Fletcher et al., 2010; J. M. Fletcher &amp; Noghanibehambari, 2022; Goodman-Bacon, 2021; Miller &amp; Wherry, 2019; Noghanibehambari &amp; Engelman, 2022; Persson &amp; Rossin-Slater, 2018)","previouslyFormattedCitation":"(J. M. Fletcher, 2018; J. M. Fletcher et al., 2010; J. M. Fletcher &amp; Noghanibehambari, 2022; Goodman-Bacon, 2021; Miller &amp; Wherry, 2019; Noghanibehambari &amp; Engelman, 2022; Persson &amp; Rossin-Slater, 2018)"},"properties":{"noteIndex":0},"schema":"https://github.com/citation-style-language/schema/raw/master/csl-citation.json"}</w:instrText>
      </w:r>
      <w:r w:rsidR="00075E74" w:rsidRPr="0004264F">
        <w:rPr>
          <w:rFonts w:cstheme="majorBidi"/>
          <w:szCs w:val="24"/>
          <w:lang w:bidi="fa-IR"/>
        </w:rPr>
        <w:fldChar w:fldCharType="separate"/>
      </w:r>
      <w:r w:rsidR="00075E74" w:rsidRPr="0004264F">
        <w:rPr>
          <w:rFonts w:cstheme="majorBidi"/>
          <w:noProof/>
          <w:szCs w:val="24"/>
          <w:lang w:bidi="fa-IR"/>
        </w:rPr>
        <w:t>(Fletcher, 2018; Fletcher et al., 2010; Fletcher &amp; Noghanibehambari, 2022; Goodman-Bacon, 2021; Miller &amp; Wherry, 2019; Noghanibehambari &amp; Engelman, 2022; Persson &amp; Rossin-Slater, 2018)</w:t>
      </w:r>
      <w:r w:rsidR="00075E74" w:rsidRPr="0004264F">
        <w:rPr>
          <w:rFonts w:cstheme="majorBidi"/>
          <w:szCs w:val="24"/>
          <w:lang w:bidi="fa-IR"/>
        </w:rPr>
        <w:fldChar w:fldCharType="end"/>
      </w:r>
      <w:r w:rsidR="00306A15" w:rsidRPr="0004264F">
        <w:rPr>
          <w:rFonts w:cstheme="majorBidi"/>
          <w:szCs w:val="24"/>
          <w:lang w:bidi="fa-IR"/>
        </w:rPr>
        <w:t xml:space="preserve">. </w:t>
      </w:r>
      <w:r w:rsidR="00002382" w:rsidRPr="0004264F">
        <w:rPr>
          <w:rFonts w:cstheme="majorBidi"/>
          <w:szCs w:val="24"/>
          <w:lang w:bidi="fa-IR"/>
        </w:rPr>
        <w:t>Early-life conditions could operate through these mediatory pathways to influence the trajectory of old-age longevity.</w:t>
      </w:r>
      <w:r w:rsidR="00B830E0" w:rsidRPr="0004264F">
        <w:rPr>
          <w:rFonts w:cstheme="majorBidi"/>
          <w:szCs w:val="24"/>
          <w:lang w:bidi="fa-IR"/>
        </w:rPr>
        <w:t xml:space="preserve"> For instance,</w:t>
      </w:r>
      <w:r w:rsidR="00002382" w:rsidRPr="0004264F">
        <w:rPr>
          <w:rFonts w:cstheme="majorBidi"/>
          <w:szCs w:val="24"/>
          <w:lang w:bidi="fa-IR"/>
        </w:rPr>
        <w:t xml:space="preserve"> </w:t>
      </w:r>
      <w:r w:rsidR="003C3E1C" w:rsidRPr="0004264F">
        <w:rPr>
          <w:rFonts w:cstheme="majorBidi"/>
          <w:szCs w:val="24"/>
          <w:lang w:bidi="fa-IR"/>
        </w:rPr>
        <w:fldChar w:fldCharType="begin" w:fldLock="1"/>
      </w:r>
      <w:r w:rsidR="00075E74" w:rsidRPr="0004264F">
        <w:rPr>
          <w:rFonts w:cstheme="majorBidi"/>
          <w:szCs w:val="24"/>
          <w:lang w:bidi="fa-IR"/>
        </w:rPr>
        <w:instrText>ADDIN CSL_CITATION {"citationItems":[{"id":"ITEM-1","itemData":{"DOI":"10.1016/j.jhealeco.2014.02.004","ISSN":"18791646","PMID":"25804346","abstract":"This paper analyzes the interplay between early-life conditions and marital status, as determinants of adult mortality. We use individual data from Dutch registers (years 1815-2000), combined with business cycle conditions in childhood as indicators of early-life conditions. The empirical analysis estimates bivariate duration models of marriage and mortality, allowing for unobserved heterogeneity. Results show that conditions around birth and school going ages are important for marriage and mortality. Men typically enjoy a protective effect of marriage, whereas women suffer during childbearing ages. However, having been born under favorable economic conditions reduces female mortality during childbearing ages.","author":[{"dropping-particle":"","family":"Berg","given":"Gerard J.","non-dropping-particle":"Van Den","parse-names":false,"suffix":""},{"dropping-particle":"","family":"Gupta","given":"Sumedha","non-dropping-particle":"","parse-names":false,"suffix":""},{"dropping-particle":"","family":"Berg","given":"Gerard J","non-dropping-particle":"van den","parse-names":false,"suffix":""},{"dropping-particle":"","family":"Gupta","given":"Sumedha","non-dropping-particle":"","parse-names":false,"suffix":""}],"container-title":"Journal of health economics","id":"ITEM-1","issued":{"date-parts":[["2015"]]},"page":"141-158","publisher":"Elsevier","title":"The role of marriage in the causal pathway from economic conditions early in life to mortality","type":"article-journal","volume":"40"},"uris":["http://www.mendeley.com/documents/?uuid=7f8fdc33-ad57-4e51-b66c-fe36b3116659"]}],"mendeley":{"formattedCitation":"(Van Den Berg et al., 2015)","manualFormatting":"den Berg et al. (2015)","plainTextFormattedCitation":"(Van Den Berg et al., 2015)","previouslyFormattedCitation":"(Van Den Berg et al., 2015)"},"properties":{"noteIndex":0},"schema":"https://github.com/citation-style-language/schema/raw/master/csl-citation.json"}</w:instrText>
      </w:r>
      <w:r w:rsidR="003C3E1C" w:rsidRPr="0004264F">
        <w:rPr>
          <w:rFonts w:cstheme="majorBidi"/>
          <w:szCs w:val="24"/>
          <w:lang w:bidi="fa-IR"/>
        </w:rPr>
        <w:fldChar w:fldCharType="separate"/>
      </w:r>
      <w:r w:rsidR="003C3E1C" w:rsidRPr="0004264F">
        <w:rPr>
          <w:rFonts w:cstheme="majorBidi"/>
          <w:noProof/>
          <w:szCs w:val="24"/>
          <w:lang w:bidi="fa-IR"/>
        </w:rPr>
        <w:t>den Berg et al.</w:t>
      </w:r>
      <w:r w:rsidR="00F97B8D" w:rsidRPr="0004264F">
        <w:rPr>
          <w:rFonts w:cstheme="majorBidi"/>
          <w:noProof/>
          <w:szCs w:val="24"/>
          <w:lang w:bidi="fa-IR"/>
        </w:rPr>
        <w:t xml:space="preserve"> (</w:t>
      </w:r>
      <w:r w:rsidR="003C3E1C" w:rsidRPr="0004264F">
        <w:rPr>
          <w:rFonts w:cstheme="majorBidi"/>
          <w:noProof/>
          <w:szCs w:val="24"/>
          <w:lang w:bidi="fa-IR"/>
        </w:rPr>
        <w:t>2015)</w:t>
      </w:r>
      <w:r w:rsidR="003C3E1C" w:rsidRPr="0004264F">
        <w:rPr>
          <w:rFonts w:cstheme="majorBidi"/>
          <w:szCs w:val="24"/>
          <w:lang w:bidi="fa-IR"/>
        </w:rPr>
        <w:fldChar w:fldCharType="end"/>
      </w:r>
      <w:r w:rsidR="007F21E6" w:rsidRPr="0004264F">
        <w:rPr>
          <w:rFonts w:cstheme="majorBidi"/>
          <w:szCs w:val="24"/>
          <w:lang w:bidi="fa-IR"/>
        </w:rPr>
        <w:t xml:space="preserve"> </w:t>
      </w:r>
      <w:r w:rsidR="00B830E0" w:rsidRPr="0004264F">
        <w:rPr>
          <w:rFonts w:cstheme="majorBidi"/>
          <w:szCs w:val="24"/>
          <w:lang w:bidi="fa-IR"/>
        </w:rPr>
        <w:t xml:space="preserve">employ a longitudinal panel of </w:t>
      </w:r>
      <w:r w:rsidR="00D92563" w:rsidRPr="0004264F">
        <w:rPr>
          <w:rFonts w:cstheme="majorBidi"/>
          <w:szCs w:val="24"/>
          <w:lang w:bidi="fa-IR"/>
        </w:rPr>
        <w:t xml:space="preserve">observations in </w:t>
      </w:r>
      <w:r w:rsidR="00B830E0" w:rsidRPr="0004264F">
        <w:rPr>
          <w:rFonts w:cstheme="majorBidi"/>
          <w:szCs w:val="24"/>
          <w:lang w:bidi="fa-IR"/>
        </w:rPr>
        <w:t xml:space="preserve">Dutch </w:t>
      </w:r>
      <w:r w:rsidR="00D92563" w:rsidRPr="0004264F">
        <w:rPr>
          <w:rFonts w:cstheme="majorBidi"/>
          <w:szCs w:val="24"/>
          <w:lang w:bidi="fa-IR"/>
        </w:rPr>
        <w:t xml:space="preserve">registries </w:t>
      </w:r>
      <w:r w:rsidR="00B830E0" w:rsidRPr="0004264F">
        <w:rPr>
          <w:rFonts w:cstheme="majorBidi"/>
          <w:szCs w:val="24"/>
          <w:lang w:bidi="fa-IR"/>
        </w:rPr>
        <w:t xml:space="preserve">covering about two centuries and showed that men who were born during an </w:t>
      </w:r>
      <w:r w:rsidR="00B830E0" w:rsidRPr="0004264F">
        <w:rPr>
          <w:rFonts w:cstheme="majorBidi"/>
          <w:szCs w:val="24"/>
          <w:lang w:bidi="fa-IR"/>
        </w:rPr>
        <w:lastRenderedPageBreak/>
        <w:t xml:space="preserve">economic boom (versus a recession) are more likely to be married during adulthood and </w:t>
      </w:r>
      <w:r w:rsidR="00A0694D" w:rsidRPr="0004264F">
        <w:rPr>
          <w:rFonts w:cstheme="majorBidi"/>
          <w:szCs w:val="24"/>
          <w:lang w:bidi="fa-IR"/>
        </w:rPr>
        <w:t xml:space="preserve">at </w:t>
      </w:r>
      <w:r w:rsidR="00B830E0" w:rsidRPr="0004264F">
        <w:rPr>
          <w:rFonts w:cstheme="majorBidi"/>
          <w:szCs w:val="24"/>
          <w:lang w:bidi="fa-IR"/>
        </w:rPr>
        <w:t xml:space="preserve">old ages and </w:t>
      </w:r>
      <w:r w:rsidR="00A0694D" w:rsidRPr="0004264F">
        <w:rPr>
          <w:rFonts w:cstheme="majorBidi"/>
          <w:szCs w:val="24"/>
          <w:lang w:bidi="fa-IR"/>
        </w:rPr>
        <w:t>have a lower</w:t>
      </w:r>
      <w:r w:rsidR="00B830E0" w:rsidRPr="0004264F">
        <w:rPr>
          <w:rFonts w:cstheme="majorBidi"/>
          <w:szCs w:val="24"/>
          <w:lang w:bidi="fa-IR"/>
        </w:rPr>
        <w:t xml:space="preserve"> risk of mortality. </w:t>
      </w:r>
      <w:r w:rsidR="00D26814" w:rsidRPr="0004264F">
        <w:rPr>
          <w:rFonts w:cstheme="majorBidi"/>
          <w:szCs w:val="24"/>
          <w:lang w:bidi="fa-IR"/>
        </w:rPr>
        <w:t xml:space="preserve">They argue that, among men, marriage has a protective effect against mortality. </w:t>
      </w:r>
      <w:r w:rsidR="00A82DB0" w:rsidRPr="0004264F">
        <w:rPr>
          <w:rFonts w:cstheme="majorBidi"/>
          <w:szCs w:val="24"/>
          <w:lang w:bidi="fa-IR"/>
        </w:rPr>
        <w:fldChar w:fldCharType="begin" w:fldLock="1"/>
      </w:r>
      <w:r w:rsidR="0011560E" w:rsidRPr="0004264F">
        <w:rPr>
          <w:rFonts w:cstheme="majorBidi"/>
          <w:szCs w:val="24"/>
          <w:lang w:bidi="fa-IR"/>
        </w:rPr>
        <w:instrText>ADDIN CSL_CITATION {"citationItems":[{"id":"ITEM-1","itemData":{"DOI":"10.1016/J.JHEALECO.2010.07.001","ISSN":"0167-6296","PMID":"20688405","abstract":"We investigate the long-term effect of childhood socio-economic conditions on the health of the elderly in Mexico. We utilize a panel of individuals aged 50 and above from the Mexican Health and Aging Survey and find that the conditions under which the individual lived at the age of 10 affect health in old age, even accounting for education and income. This paper contributes to the literature of the long-term effects of childhood socio-economic status by being the first, to our knowledge, to consider exclusively the case of the elderly in a developing country. © 2010 Elsevier B.V.","author":[{"dropping-particle":"","family":"Grimard","given":"Franque","non-dropping-particle":"","parse-names":false,"suffix":""},{"dropping-particle":"","family":"Laszlo","given":"Sonia","non-dropping-particle":"","parse-names":false,"suffix":""},{"dropping-particle":"","family":"Lim","given":"Wilfredo","non-dropping-particle":"","parse-names":false,"suffix":""}],"container-title":"Journal of Health Economics","id":"ITEM-1","issue":"5","issued":{"date-parts":[["2010"]]},"page":"630-640","publisher":"North-Holland","title":"Health, aging and childhood socio-economic conditions in Mexico","type":"article-journal","volume":"29"},"uris":["http://www.mendeley.com/documents/?uuid=0486f5a0-e33f-4e92-af7a-ccb9ad924234"]}],"mendeley":{"formattedCitation":"(Grimard et al., 2010)","manualFormatting":"Grimard et al. (2010)","plainTextFormattedCitation":"(Grimard et al., 2010)","previouslyFormattedCitation":"(Grimard et al., 2010)"},"properties":{"noteIndex":0},"schema":"https://github.com/citation-style-language/schema/raw/master/csl-citation.json"}</w:instrText>
      </w:r>
      <w:r w:rsidR="00A82DB0" w:rsidRPr="0004264F">
        <w:rPr>
          <w:rFonts w:cstheme="majorBidi"/>
          <w:szCs w:val="24"/>
          <w:lang w:bidi="fa-IR"/>
        </w:rPr>
        <w:fldChar w:fldCharType="separate"/>
      </w:r>
      <w:r w:rsidR="00A82DB0" w:rsidRPr="0004264F">
        <w:rPr>
          <w:rFonts w:cstheme="majorBidi"/>
          <w:noProof/>
          <w:szCs w:val="24"/>
          <w:lang w:bidi="fa-IR"/>
        </w:rPr>
        <w:t>Grimard et al. (2010)</w:t>
      </w:r>
      <w:r w:rsidR="00A82DB0" w:rsidRPr="0004264F">
        <w:rPr>
          <w:rFonts w:cstheme="majorBidi"/>
          <w:szCs w:val="24"/>
          <w:lang w:bidi="fa-IR"/>
        </w:rPr>
        <w:fldChar w:fldCharType="end"/>
      </w:r>
      <w:r w:rsidR="00657FCA" w:rsidRPr="0004264F">
        <w:rPr>
          <w:rFonts w:cstheme="majorBidi"/>
          <w:szCs w:val="24"/>
          <w:lang w:bidi="fa-IR"/>
        </w:rPr>
        <w:t xml:space="preserve"> </w:t>
      </w:r>
      <w:r w:rsidR="00E03099" w:rsidRPr="0004264F">
        <w:rPr>
          <w:rFonts w:cstheme="majorBidi"/>
          <w:szCs w:val="24"/>
          <w:lang w:bidi="fa-IR"/>
        </w:rPr>
        <w:t>use</w:t>
      </w:r>
      <w:r w:rsidR="009E3C52" w:rsidRPr="0004264F">
        <w:rPr>
          <w:rFonts w:cstheme="majorBidi"/>
          <w:szCs w:val="24"/>
          <w:lang w:bidi="fa-IR"/>
        </w:rPr>
        <w:t xml:space="preserve"> </w:t>
      </w:r>
      <w:r w:rsidR="00E03099" w:rsidRPr="0004264F">
        <w:rPr>
          <w:rFonts w:cstheme="majorBidi"/>
          <w:szCs w:val="24"/>
          <w:lang w:bidi="fa-IR"/>
        </w:rPr>
        <w:t xml:space="preserve">data from Mexico and show that </w:t>
      </w:r>
      <w:r w:rsidR="00B21605" w:rsidRPr="0004264F">
        <w:rPr>
          <w:rFonts w:cstheme="majorBidi"/>
          <w:szCs w:val="24"/>
          <w:lang w:bidi="fa-IR"/>
        </w:rPr>
        <w:t>socioeconomic status measures during childhood significantly affect</w:t>
      </w:r>
      <w:r w:rsidR="00E03099" w:rsidRPr="0004264F">
        <w:rPr>
          <w:rFonts w:cstheme="majorBidi"/>
          <w:szCs w:val="24"/>
          <w:lang w:bidi="fa-IR"/>
        </w:rPr>
        <w:t xml:space="preserve"> old-age health outcomes even after accounting for education and income. </w:t>
      </w:r>
      <w:r w:rsidR="0011560E" w:rsidRPr="0004264F">
        <w:rPr>
          <w:rFonts w:cstheme="majorBidi"/>
          <w:szCs w:val="24"/>
          <w:lang w:bidi="fa-IR"/>
        </w:rPr>
        <w:fldChar w:fldCharType="begin" w:fldLock="1"/>
      </w:r>
      <w:r w:rsidR="007663F3" w:rsidRPr="0004264F">
        <w:rPr>
          <w:rFonts w:cstheme="majorBidi"/>
          <w:szCs w:val="24"/>
          <w:lang w:bidi="fa-IR"/>
        </w:rPr>
        <w:instrText>ADDIN CSL_CITATION {"citationItems":[{"id":"ITEM-1","itemData":{"DOI":"10.1016/J.SOCSCIMED.2009.02.020","ISSN":"0277-9536","PMID":"19286293","abstract":"Previous research has shown that the disease load experienced during the birth year, measured as the infant mortality rate, had a significant influence on old-age mortality in nineteenth-century rural Sweden. We know that children born in years with very high rates of infant mortality, due to outbreaks of smallpox or whooping cough, and who still survived to adulthood and married, faced a life length several years shorter than others. We do not know, however, whether this is a direct effect, caused by permanent physical damage leading to fatal outcomes later in life, or an indirect effect, via its influence on accumulation of wealth and obtained socio-economic status. The Scanian Demographic Database, with information on five rural parishes in southern Sweden between 1813 and 1894, contains the data needed to distinguish between the two mechanisms. First, the effects of conditions in childhood on obtained socio-economic status as an adult are analyzed, then the effects of both early-life conditions and socio-economic status at various stages of life on old-age mortality. By including random effects, we take into account possible dependencies in the data due to kinship and marriage. We find that a high disease load during the first year of life had a strong negative impact on a person's ability to acquire wealth, never before shown for a historical setting. This means that it is indeed possible that the effects of disease load in the first year of life indirectly affect mortality in old age through obtained socio-economic status. We find, however, no effects of obtained socio-economic status on old-age mortality. While the result is interesting per se, constituting a debatable issue, it means that the argument that early-life conditions indirectly affect old-age mortality is not supported. Instead, we find support for the conclusion that the effect of the disease load in early-life is direct or, in other words, that physiological damage from severe infections at the start of life leads to higher mortality at older ages. Taking random effects at family level into account did not alter this conclusion. © 2009 Elsevier Ltd. All rights reserved.","author":[{"dropping-particle":"","family":"Bengtsson","given":"Tommy","non-dropping-particle":"","parse-names":false,"suffix":""},{"dropping-particle":"","family":"Broström","given":"Göran","non-dropping-particle":"","parse-names":false,"suffix":""}],"container-title":"Social Science &amp; Medicine","id":"ITEM-1","issue":"9","issued":{"date-parts":[["2009"]]},"page":"1583-1590","publisher":"Pergamon","title":"Do conditions in early life affect old-age mortality directly and indirectly? Evidence from 19th-century rural Sweden","type":"article-journal","volume":"68"},"uris":["http://www.mendeley.com/documents/?uuid=857a05ec-e4a3-43a3-9c4e-37335c0e95be"]}],"mendeley":{"formattedCitation":"(Bengtsson &amp; Broström, 2009)","manualFormatting":"Bengtsson &amp; Broström (2009)","plainTextFormattedCitation":"(Bengtsson &amp; Broström, 2009)","previouslyFormattedCitation":"(Bengtsson &amp; Broström, 2009)"},"properties":{"noteIndex":0},"schema":"https://github.com/citation-style-language/schema/raw/master/csl-citation.json"}</w:instrText>
      </w:r>
      <w:r w:rsidR="0011560E" w:rsidRPr="0004264F">
        <w:rPr>
          <w:rFonts w:cstheme="majorBidi"/>
          <w:szCs w:val="24"/>
          <w:lang w:bidi="fa-IR"/>
        </w:rPr>
        <w:fldChar w:fldCharType="separate"/>
      </w:r>
      <w:r w:rsidR="0011560E" w:rsidRPr="0004264F">
        <w:rPr>
          <w:rFonts w:cstheme="majorBidi"/>
          <w:noProof/>
          <w:szCs w:val="24"/>
          <w:lang w:bidi="fa-IR"/>
        </w:rPr>
        <w:t>Bengtsson &amp; Broström (2009)</w:t>
      </w:r>
      <w:r w:rsidR="0011560E" w:rsidRPr="0004264F">
        <w:rPr>
          <w:rFonts w:cstheme="majorBidi"/>
          <w:szCs w:val="24"/>
          <w:lang w:bidi="fa-IR"/>
        </w:rPr>
        <w:fldChar w:fldCharType="end"/>
      </w:r>
      <w:r w:rsidR="0011560E" w:rsidRPr="0004264F">
        <w:rPr>
          <w:rFonts w:cstheme="majorBidi"/>
          <w:szCs w:val="24"/>
          <w:lang w:bidi="fa-IR"/>
        </w:rPr>
        <w:t xml:space="preserve"> use data from Sweden and show that early life disease loads affect old-age mortality and socioeconomic status. However, they do not find evidence that </w:t>
      </w:r>
      <w:r w:rsidR="00A0694D" w:rsidRPr="0004264F">
        <w:rPr>
          <w:rFonts w:cstheme="majorBidi"/>
          <w:szCs w:val="24"/>
          <w:lang w:bidi="fa-IR"/>
        </w:rPr>
        <w:t xml:space="preserve">the </w:t>
      </w:r>
      <w:r w:rsidR="0011560E" w:rsidRPr="0004264F">
        <w:rPr>
          <w:rFonts w:cstheme="majorBidi"/>
          <w:szCs w:val="24"/>
          <w:lang w:bidi="fa-IR"/>
        </w:rPr>
        <w:t>early-life health environment effect on later-life mortality operate</w:t>
      </w:r>
      <w:r w:rsidR="00A0694D" w:rsidRPr="0004264F">
        <w:rPr>
          <w:rFonts w:cstheme="majorBidi"/>
          <w:szCs w:val="24"/>
          <w:lang w:bidi="fa-IR"/>
        </w:rPr>
        <w:t>s</w:t>
      </w:r>
      <w:r w:rsidR="0011560E" w:rsidRPr="0004264F">
        <w:rPr>
          <w:rFonts w:cstheme="majorBidi"/>
          <w:szCs w:val="24"/>
          <w:lang w:bidi="fa-IR"/>
        </w:rPr>
        <w:t xml:space="preserve"> through wealth and socioeconomic channels. </w:t>
      </w:r>
      <w:r w:rsidR="007663F3" w:rsidRPr="0004264F">
        <w:rPr>
          <w:rFonts w:cstheme="majorBidi"/>
          <w:szCs w:val="24"/>
          <w:lang w:bidi="fa-IR"/>
        </w:rPr>
        <w:fldChar w:fldCharType="begin" w:fldLock="1"/>
      </w:r>
      <w:r w:rsidR="00AD06E9" w:rsidRPr="0004264F">
        <w:rPr>
          <w:rFonts w:cstheme="majorBidi"/>
          <w:szCs w:val="24"/>
          <w:lang w:bidi="fa-IR"/>
        </w:rPr>
        <w:instrText>ADDIN CSL_CITATION {"citationItems":[{"id":"ITEM-1","itemData":{"DOI":"10.1016/J.SOCSCIMED.2012.06.007","ISSN":"0277-9536","PMID":"22809793","abstract":"This study examines the effects of early life socioeconomic and residential conditions on adult mortality. The family and residential details of children living in rural areas of Quebec, Canada, in 1901 were linked to their subsequent ages at death using a database compiling information from the 1901 Canadian Census and Quebec vital statistics registers. Survival analysis results suggest that males raised on a farm and in a household owned by their father had lower mortality after the age of fifty than other males from rural areas. Chances for survival at older ages were not equal, however, among males whose father was a farmer. Most notably, males raised on a larger farmstead, an indicator of a higher socioeconomic status, experienced lower risk of mortality than those raised by farmers owning fewer acres. Results were widely different for females, who did not gain an advantage from being raised on a farm, wealthy or not, regardless of homeownership, but instead from having a literate father. Accounting for selection bias and shared frailty among brothers served to enhance the significance and effect size of acreage wealth and of other early life factors in the prediction of male adult mortality risk. This study provides evidence that early life effects on later life health and mortality could often be underestimated, due to a failure to account for selection and unobserved heterogeneity. © 2012 Elsevier Ltd.","author":[{"dropping-particle":"","family":"Gagnon","given":"Alain","non-dropping-particle":"","parse-names":false,"suffix":""},{"dropping-particle":"","family":"Bohnert","given":"Nora","non-dropping-particle":"","parse-names":false,"suffix":""}],"container-title":"Social Science &amp; Medicine","id":"ITEM-1","issue":"8","issued":{"date-parts":[["2012","10","1"]]},"page":"1497-1504","publisher":"Pergamon","title":"Early life socioeconomic conditions in rural areas and old-age mortality in twentieth-century Quebec","type":"article-journal","volume":"75"},"uris":["http://www.mendeley.com/documents/?uuid=f136262b-1aea-31b3-812b-62ded2bfd9be"]}],"mendeley":{"formattedCitation":"(Gagnon &amp; Bohnert, 2012)","manualFormatting":"Gagnon &amp; Bohnert (2012)","plainTextFormattedCitation":"(Gagnon &amp; Bohnert, 2012)","previouslyFormattedCitation":"(Gagnon &amp; Bohnert, 2012)"},"properties":{"noteIndex":0},"schema":"https://github.com/citation-style-language/schema/raw/master/csl-citation.json"}</w:instrText>
      </w:r>
      <w:r w:rsidR="007663F3" w:rsidRPr="0004264F">
        <w:rPr>
          <w:rFonts w:cstheme="majorBidi"/>
          <w:szCs w:val="24"/>
          <w:lang w:bidi="fa-IR"/>
        </w:rPr>
        <w:fldChar w:fldCharType="separate"/>
      </w:r>
      <w:r w:rsidR="007663F3" w:rsidRPr="0004264F">
        <w:rPr>
          <w:rFonts w:cstheme="majorBidi"/>
          <w:noProof/>
          <w:szCs w:val="24"/>
          <w:lang w:bidi="fa-IR"/>
        </w:rPr>
        <w:t>Gagnon &amp; Bohnert (2012)</w:t>
      </w:r>
      <w:r w:rsidR="007663F3" w:rsidRPr="0004264F">
        <w:rPr>
          <w:rFonts w:cstheme="majorBidi"/>
          <w:szCs w:val="24"/>
          <w:lang w:bidi="fa-IR"/>
        </w:rPr>
        <w:fldChar w:fldCharType="end"/>
      </w:r>
      <w:r w:rsidR="007663F3" w:rsidRPr="0004264F">
        <w:rPr>
          <w:rFonts w:cstheme="majorBidi"/>
          <w:szCs w:val="24"/>
          <w:lang w:bidi="fa-IR"/>
        </w:rPr>
        <w:t xml:space="preserve"> employ data from Canada and show that family wealth and </w:t>
      </w:r>
      <w:r w:rsidR="00B21605" w:rsidRPr="0004264F">
        <w:rPr>
          <w:rFonts w:cstheme="majorBidi"/>
          <w:szCs w:val="24"/>
          <w:lang w:bidi="fa-IR"/>
        </w:rPr>
        <w:t xml:space="preserve">the </w:t>
      </w:r>
      <w:r w:rsidR="007663F3" w:rsidRPr="0004264F">
        <w:rPr>
          <w:rFonts w:cstheme="majorBidi"/>
          <w:szCs w:val="24"/>
          <w:lang w:bidi="fa-IR"/>
        </w:rPr>
        <w:t xml:space="preserve">socioeconomic status during early life affect mortality during old ages among males. Their results fail to provide evidence of this association among females. </w:t>
      </w:r>
    </w:p>
    <w:p w14:paraId="3B3529AC" w14:textId="64FB9CEF" w:rsidR="00814897" w:rsidRPr="0004264F" w:rsidRDefault="007F21E6" w:rsidP="00814897">
      <w:pPr>
        <w:spacing w:after="120" w:line="480" w:lineRule="auto"/>
        <w:ind w:firstLine="720"/>
        <w:jc w:val="both"/>
        <w:rPr>
          <w:rFonts w:cstheme="majorBidi"/>
          <w:szCs w:val="24"/>
          <w:lang w:bidi="fa-IR"/>
        </w:rPr>
      </w:pPr>
      <w:r w:rsidRPr="0004264F">
        <w:rPr>
          <w:rFonts w:cstheme="majorBidi"/>
          <w:szCs w:val="24"/>
          <w:lang w:bidi="fa-IR"/>
        </w:rPr>
        <w:fldChar w:fldCharType="begin" w:fldLock="1"/>
      </w:r>
      <w:r w:rsidR="00075E74" w:rsidRPr="0004264F">
        <w:rPr>
          <w:rFonts w:cstheme="majorBidi"/>
          <w:szCs w:val="24"/>
          <w:lang w:bidi="fa-IR"/>
        </w:rPr>
        <w:instrText>ADDIN CSL_CITATION {"citationItems":[{"id":"ITEM-1","itemData":{"DOI":"10.1353/DEM.2004.0005","ISSN":"1533-7790","PMID":"15074126","abstract":"Increasingly, social scientists are turning to childhood to gain a better understanding of the fundamental social causes of adult mortality. However, evidence of the link between childhood and the mortality of adults is fragmentary, and the intervening mechanisms remain unclear. Drawing on the National Longitudinal Survey of Older Men, our analysis shows that men’s mortality is associated with an array of childhood conditions, including socioeconomic status, family living arrangements, mother’s work status, rural residence, and parents’ nativity. With the exception of parental nativity, socioeconomic-achievement processes in adulthood and lifestyle factors mediated these associations. Education, family income, household wealth, and occupation mediated the influence of socioeconomic status in childhood. Adult lifestyle factors, particularly body mass, mediated the effects of family living arrangements in childhood, mother’s work status, and rural residence. Our findings bring into sharp focus the idea that economic and educational policies that are targeted at children’s well-being are implicitly health policies with effects that reach far into the adult life course.","author":[{"dropping-particle":"","family":"Hayward","given":"Mark D","non-dropping-particle":"","parse-names":false,"suffix":""},{"dropping-particle":"","family":"Gorman","given":"Bridget K","non-dropping-particle":"","parse-names":false,"suffix":""}],"container-title":"Demography 2004 41:1","id":"ITEM-1","issue":"1","issued":{"date-parts":[["2004"]]},"page":"87-107","publisher":"Springer","title":"The long arm of childhood: The influence of early-life social conditions on men’s mortality","type":"article-journal","volume":"41"},"uris":["http://www.mendeley.com/documents/?uuid=08a69bc1-a6be-4670-b5e0-184f6d5ea107"]}],"mendeley":{"formattedCitation":"(Hayward &amp; Gorman, 2004)","manualFormatting":"Hayward &amp; Gorman (2004)","plainTextFormattedCitation":"(Hayward &amp; Gorman, 2004)","previouslyFormattedCitation":"(Hayward &amp; Gorman, 2004)"},"properties":{"noteIndex":0},"schema":"https://github.com/citation-style-language/schema/raw/master/csl-citation.json"}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Hayward &amp; Gorman (2004)</w:t>
      </w:r>
      <w:r w:rsidRPr="0004264F">
        <w:rPr>
          <w:rFonts w:cstheme="majorBidi"/>
          <w:szCs w:val="24"/>
          <w:lang w:bidi="fa-IR"/>
        </w:rPr>
        <w:fldChar w:fldCharType="end"/>
      </w:r>
      <w:r w:rsidRPr="0004264F">
        <w:rPr>
          <w:rFonts w:cstheme="majorBidi"/>
          <w:szCs w:val="24"/>
          <w:lang w:bidi="fa-IR"/>
        </w:rPr>
        <w:t xml:space="preserve"> use data from </w:t>
      </w:r>
      <w:r w:rsidR="00B21605" w:rsidRPr="0004264F">
        <w:rPr>
          <w:rFonts w:cstheme="majorBidi"/>
          <w:szCs w:val="24"/>
          <w:lang w:bidi="fa-IR"/>
        </w:rPr>
        <w:t xml:space="preserve">the </w:t>
      </w:r>
      <w:r w:rsidRPr="0004264F">
        <w:rPr>
          <w:rFonts w:cstheme="majorBidi"/>
          <w:szCs w:val="24"/>
          <w:lang w:bidi="fa-IR"/>
        </w:rPr>
        <w:t>National Longitudinal Survey of Older Men and show that men’s mortality is correlated with an array of early-life and childhood conditions</w:t>
      </w:r>
      <w:r w:rsidR="00B21605" w:rsidRPr="0004264F">
        <w:rPr>
          <w:rFonts w:cstheme="majorBidi"/>
          <w:szCs w:val="24"/>
          <w:lang w:bidi="fa-IR"/>
        </w:rPr>
        <w:t>,</w:t>
      </w:r>
      <w:r w:rsidRPr="0004264F">
        <w:rPr>
          <w:rFonts w:cstheme="majorBidi"/>
          <w:szCs w:val="24"/>
          <w:lang w:bidi="fa-IR"/>
        </w:rPr>
        <w:t xml:space="preserve"> including parents’ socioeconomic status, mother’s marital status, mother’s labor force status, and parents’ nativity. </w:t>
      </w:r>
      <w:r w:rsidR="00814897" w:rsidRPr="0004264F">
        <w:rPr>
          <w:rFonts w:cstheme="majorBidi"/>
          <w:szCs w:val="24"/>
          <w:lang w:bidi="fa-IR"/>
        </w:rPr>
        <w:fldChar w:fldCharType="begin" w:fldLock="1"/>
      </w:r>
      <w:r w:rsidR="00591735" w:rsidRPr="0004264F">
        <w:rPr>
          <w:rFonts w:cstheme="majorBidi"/>
          <w:szCs w:val="24"/>
          <w:lang w:bidi="fa-IR"/>
        </w:rPr>
        <w:instrText>ADDIN CSL_CITATION {"citationItems":[{"id":"ITEM-1","itemData":{"DOI":"10.1007/978-90-481-9996-9_9","author":[{"dropping-particle":"","family":"Montez","given":"Jennifer Karas","non-dropping-particle":"","parse-names":false,"suffix":""},{"dropping-particle":"","family":"Hayward","given":"Mark D.","non-dropping-particle":"","parse-names":false,"suffix":""}],"container-title":"International Handbook of Adult Mortality","id":"ITEM-1","issued":{"date-parts":[["2011"]]},"page":"187-206","publisher":"Springer, Dordrecht","title":"Early Life Conditions and Later Life Mortality","type":"article-journal"},"uris":["http://www.mendeley.com/documents/?uuid=99b335e5-df97-49f7-920c-80c1d937eeec"]}],"mendeley":{"formattedCitation":"(Montez &amp; Hayward, 2011)","manualFormatting":"Montez &amp; Hayward (2011)","plainTextFormattedCitation":"(Montez &amp; Hayward, 2011)","previouslyFormattedCitation":"(Montez &amp; Hayward, 2011)"},"properties":{"noteIndex":0},"schema":"https://github.com/citation-style-language/schema/raw/master/csl-citation.json"}</w:instrText>
      </w:r>
      <w:r w:rsidR="00814897" w:rsidRPr="0004264F">
        <w:rPr>
          <w:rFonts w:cstheme="majorBidi"/>
          <w:szCs w:val="24"/>
          <w:lang w:bidi="fa-IR"/>
        </w:rPr>
        <w:fldChar w:fldCharType="separate"/>
      </w:r>
      <w:r w:rsidR="00814897" w:rsidRPr="0004264F">
        <w:rPr>
          <w:rFonts w:cstheme="majorBidi"/>
          <w:noProof/>
          <w:szCs w:val="24"/>
          <w:lang w:bidi="fa-IR"/>
        </w:rPr>
        <w:t>Montez &amp; Hayward (2011)</w:t>
      </w:r>
      <w:r w:rsidR="00814897" w:rsidRPr="0004264F">
        <w:rPr>
          <w:rFonts w:cstheme="majorBidi"/>
          <w:szCs w:val="24"/>
          <w:lang w:bidi="fa-IR"/>
        </w:rPr>
        <w:fldChar w:fldCharType="end"/>
      </w:r>
      <w:r w:rsidR="00814897" w:rsidRPr="0004264F">
        <w:rPr>
          <w:rFonts w:cstheme="majorBidi"/>
          <w:szCs w:val="24"/>
          <w:lang w:bidi="fa-IR"/>
        </w:rPr>
        <w:t xml:space="preserve"> use </w:t>
      </w:r>
      <w:r w:rsidR="00F76D6A" w:rsidRPr="0004264F">
        <w:rPr>
          <w:rFonts w:cstheme="majorBidi"/>
          <w:szCs w:val="24"/>
          <w:lang w:bidi="fa-IR"/>
        </w:rPr>
        <w:t xml:space="preserve">the </w:t>
      </w:r>
      <w:r w:rsidR="00814897" w:rsidRPr="0004264F">
        <w:rPr>
          <w:rFonts w:cstheme="majorBidi"/>
          <w:szCs w:val="24"/>
          <w:lang w:bidi="fa-IR"/>
        </w:rPr>
        <w:t>Health and Retirement Study to explore early-life family socioeconomic status on later-life mortality. They find significant positive correlations between risks of mortality during adulthood and a series of early-life adversities</w:t>
      </w:r>
      <w:r w:rsidR="00B21605" w:rsidRPr="0004264F">
        <w:rPr>
          <w:rFonts w:cstheme="majorBidi"/>
          <w:szCs w:val="24"/>
          <w:lang w:bidi="fa-IR"/>
        </w:rPr>
        <w:t>,</w:t>
      </w:r>
      <w:r w:rsidR="00814897" w:rsidRPr="0004264F">
        <w:rPr>
          <w:rFonts w:cstheme="majorBidi"/>
          <w:szCs w:val="24"/>
          <w:lang w:bidi="fa-IR"/>
        </w:rPr>
        <w:t xml:space="preserve"> including perceived poverty during childhood, having a </w:t>
      </w:r>
      <w:r w:rsidR="00CA722A" w:rsidRPr="0004264F">
        <w:rPr>
          <w:rFonts w:cstheme="majorBidi"/>
          <w:szCs w:val="24"/>
          <w:lang w:bidi="fa-IR"/>
        </w:rPr>
        <w:t>low-educated</w:t>
      </w:r>
      <w:r w:rsidR="00814897" w:rsidRPr="0004264F">
        <w:rPr>
          <w:rFonts w:cstheme="majorBidi"/>
          <w:szCs w:val="24"/>
          <w:lang w:bidi="fa-IR"/>
        </w:rPr>
        <w:t xml:space="preserve"> father, and self-reported poor childhood health. </w:t>
      </w:r>
      <w:r w:rsidR="00CA722A" w:rsidRPr="0004264F">
        <w:rPr>
          <w:rFonts w:cstheme="majorBidi"/>
          <w:szCs w:val="24"/>
          <w:lang w:bidi="fa-IR"/>
        </w:rPr>
        <w:t>On the other hand</w:t>
      </w:r>
      <w:r w:rsidR="004A5A29" w:rsidRPr="0004264F">
        <w:rPr>
          <w:rFonts w:cstheme="majorBidi"/>
          <w:szCs w:val="24"/>
          <w:lang w:bidi="fa-IR"/>
        </w:rPr>
        <w:t xml:space="preserve">, </w:t>
      </w:r>
      <w:r w:rsidR="004A5A29" w:rsidRPr="0004264F">
        <w:rPr>
          <w:rFonts w:cstheme="majorBidi"/>
          <w:szCs w:val="24"/>
          <w:lang w:bidi="fa-IR"/>
        </w:rPr>
        <w:fldChar w:fldCharType="begin" w:fldLock="1"/>
      </w:r>
      <w:r w:rsidR="00687BA0" w:rsidRPr="0004264F">
        <w:rPr>
          <w:rFonts w:cstheme="majorBidi"/>
          <w:szCs w:val="24"/>
          <w:lang w:bidi="fa-IR"/>
        </w:rPr>
        <w:instrText>ADDIN CSL_CITATION {"citationItems":[{"id":"ITEM-1","itemData":{"DOI":"10.1111/j.1728-4457.2010.00358.x","ISSN":"00987921","abstract":"The relative importance of cohorts' early-life conditions, compared to later period conditions, on adult and old-age mortality is not known. This article studies how cohort-level mortality depends on shocks in cohorts' early- and later-life (period) conditions. I use cohorts' own mortality as a proxy for the early-life conditions, and define shocks as deviations from trend. Using historical data for five European Countries i find that shocks in early-life conditions are only weakly associated with cohorts' later mortality. This may be because individual-level health is robust to early-life conditions, or because at the cohort level scarring, selection, and immunity cancel each other. Shocks in period conditions, measured as deviations from trend in period child mortality, are strongly and positively correlated with mortality at all older ages. The results suggest that at the cohort level changing period conditions drive mortality variation and change. © 2010 The Population Council, Inc.","author":[{"dropping-particle":"","family":"Myrskylä","given":"Mikko","non-dropping-particle":"","parse-names":false,"suffix":""}],"container-title":"Population and Development Review","id":"ITEM-1","issue":"4","issued":{"date-parts":[["2010","12"]]},"page":"803-829","publisher":"John Wiley &amp; Sons, Ltd","title":"The Relative Effects of Shocks in Early- and Later-Life Conditions on Mortality","type":"article-journal","volume":"36"},"uris":["http://www.mendeley.com/documents/?uuid=e1069682-6422-3ebd-9381-5c7845c3bb19"]}],"mendeley":{"formattedCitation":"(Myrskylä, 2010b)","manualFormatting":"Myrskylä (2010)","plainTextFormattedCitation":"(Myrskylä, 2010b)","previouslyFormattedCitation":"(Myrskylä, 2010b)"},"properties":{"noteIndex":0},"schema":"https://github.com/citation-style-language/schema/raw/master/csl-citation.json"}</w:instrText>
      </w:r>
      <w:r w:rsidR="004A5A29" w:rsidRPr="0004264F">
        <w:rPr>
          <w:rFonts w:cstheme="majorBidi"/>
          <w:szCs w:val="24"/>
          <w:lang w:bidi="fa-IR"/>
        </w:rPr>
        <w:fldChar w:fldCharType="separate"/>
      </w:r>
      <w:r w:rsidR="004A5A29" w:rsidRPr="0004264F">
        <w:rPr>
          <w:rFonts w:cstheme="majorBidi"/>
          <w:noProof/>
          <w:szCs w:val="24"/>
          <w:lang w:bidi="fa-IR"/>
        </w:rPr>
        <w:t>Myrskylä (2010)</w:t>
      </w:r>
      <w:r w:rsidR="004A5A29" w:rsidRPr="0004264F">
        <w:rPr>
          <w:rFonts w:cstheme="majorBidi"/>
          <w:szCs w:val="24"/>
          <w:lang w:bidi="fa-IR"/>
        </w:rPr>
        <w:fldChar w:fldCharType="end"/>
      </w:r>
      <w:r w:rsidR="004A5A29" w:rsidRPr="0004264F">
        <w:rPr>
          <w:rFonts w:cstheme="majorBidi"/>
          <w:szCs w:val="24"/>
          <w:lang w:bidi="fa-IR"/>
        </w:rPr>
        <w:t xml:space="preserve"> finds weak and modest effects of early-life conditions on adult mortality</w:t>
      </w:r>
      <w:r w:rsidR="00CA722A" w:rsidRPr="0004264F">
        <w:rPr>
          <w:rFonts w:cstheme="majorBidi"/>
          <w:szCs w:val="24"/>
          <w:lang w:bidi="fa-IR"/>
        </w:rPr>
        <w:t xml:space="preserve"> using data from several developed European countries</w:t>
      </w:r>
      <w:r w:rsidR="004A5A29" w:rsidRPr="0004264F">
        <w:rPr>
          <w:rFonts w:cstheme="majorBidi"/>
          <w:szCs w:val="24"/>
          <w:lang w:bidi="fa-IR"/>
        </w:rPr>
        <w:t xml:space="preserve">. The results suggest a strong correlation between period effects and mortality rather than early-life effects. </w:t>
      </w:r>
    </w:p>
    <w:p w14:paraId="4D878C1C" w14:textId="5EF11F32" w:rsidR="007F21E6" w:rsidRPr="0004264F" w:rsidRDefault="007F21E6" w:rsidP="00967358">
      <w:pPr>
        <w:spacing w:after="120" w:line="480" w:lineRule="auto"/>
        <w:ind w:firstLine="720"/>
        <w:jc w:val="both"/>
        <w:rPr>
          <w:rFonts w:cstheme="majorBidi"/>
          <w:szCs w:val="24"/>
          <w:lang w:bidi="fa-IR"/>
        </w:rPr>
      </w:pPr>
      <w:r w:rsidRPr="0004264F">
        <w:rPr>
          <w:rFonts w:cstheme="majorBidi"/>
          <w:szCs w:val="24"/>
          <w:lang w:bidi="fa-IR"/>
        </w:rPr>
        <w:t xml:space="preserve">Studies that examine the role of economic conditions on later-life mortality outcomes exploit measures of economic conditions at various levels of aggregation and find different results. </w:t>
      </w:r>
      <w:r w:rsidRPr="0004264F">
        <w:rPr>
          <w:rFonts w:cstheme="majorBidi"/>
          <w:szCs w:val="24"/>
          <w:lang w:bidi="fa-IR"/>
        </w:rPr>
        <w:lastRenderedPageBreak/>
        <w:t xml:space="preserve">For instance, </w:t>
      </w:r>
      <w:r w:rsidRPr="0004264F">
        <w:rPr>
          <w:rFonts w:cstheme="majorBidi"/>
          <w:szCs w:val="24"/>
          <w:lang w:bidi="fa-IR"/>
        </w:rPr>
        <w:fldChar w:fldCharType="begin" w:fldLock="1"/>
      </w:r>
      <w:r w:rsidRPr="0004264F">
        <w:rPr>
          <w:rFonts w:cstheme="majorBidi"/>
          <w:szCs w:val="24"/>
          <w:lang w:bidi="fa-IR"/>
        </w:rPr>
        <w:instrText>ADDIN CSL_CITATION {"citationItems":[{"id":"ITEM-1","itemData":{"DOI":"10.1257/000282806776157740","ISSN":"0002-8282","PMID":"29125729","author":[{"dropping-particle":"","family":"Berg","given":"Gerard J.","non-dropping-particle":"Van Den","parse-names":false,"suffix":""},{"dropping-particle":"","family":"Lindeboom","given":"Maarten","non-dropping-particle":"","parse-names":false,"suffix":""},{"dropping-particle":"","family":"Portrait","given":"France","non-dropping-particle":"","parse-names":false,"suffix":""},{"dropping-particle":"Van Den","family":"Berg","given":"Gerard J","non-dropping-particle":"","parse-names":false,"suffix":""},{"dropping-particle":"","family":"Lindeboom","given":"Maarten","non-dropping-particle":"","parse-names":false,"suffix":""},{"dropping-particle":"","family":"Portrait","given":"France","non-dropping-particle":"","parse-names":false,"suffix":""},{"dropping-particle":"","family":"Berg","given":"Gerard J","non-dropping-particle":"den","parse-names":false,"suffix":""},{"dropping-particle":"","family":"Lindeboom","given":"Maarten","non-dropping-particle":"","parse-names":false,"suffix":""},{"dropping-particle":"","family":"Portrait","given":"France","non-dropping-particle":"","parse-names":false,"suffix":""}],"container-title":"American Economic Review","id":"ITEM-1","issue":"1","issued":{"date-parts":[["2006","3"]]},"page":"290-302","title":"Economic Conditions Early in Life and Individual Mortality","type":"article-journal","volume":"96"},"uris":["http://www.mendeley.com/documents/?uuid=0105bfac-dc1c-4461-8420-c607f410acf3"]}],"mendeley":{"formattedCitation":"(Van Den Berg et al., 2006)","manualFormatting":"Van Den Berg et al. (2006)","plainTextFormattedCitation":"(Van Den Berg et al., 2006)","previouslyFormattedCitation":"(Van Den Berg et al., 2006)"},"properties":{"noteIndex":0},"schema":"https://github.com/citation-style-language/schema/raw/master/csl-citation.json"}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Van Den Berg et al. (2006)</w:t>
      </w:r>
      <w:r w:rsidRPr="0004264F">
        <w:rPr>
          <w:rFonts w:cstheme="majorBidi"/>
          <w:szCs w:val="24"/>
          <w:lang w:bidi="fa-IR"/>
        </w:rPr>
        <w:fldChar w:fldCharType="end"/>
      </w:r>
      <w:r w:rsidRPr="0004264F">
        <w:rPr>
          <w:rFonts w:cstheme="majorBidi"/>
          <w:szCs w:val="24"/>
          <w:lang w:bidi="fa-IR"/>
        </w:rPr>
        <w:t xml:space="preserve"> use historical longitudinal data from the Netherlands to explore economic conditions in early life on </w:t>
      </w:r>
      <w:r w:rsidR="00725AC2" w:rsidRPr="0004264F">
        <w:rPr>
          <w:rFonts w:cstheme="majorBidi"/>
          <w:szCs w:val="24"/>
          <w:lang w:bidi="fa-IR"/>
        </w:rPr>
        <w:t>old-age</w:t>
      </w:r>
      <w:r w:rsidRPr="0004264F">
        <w:rPr>
          <w:rFonts w:cstheme="majorBidi"/>
          <w:szCs w:val="24"/>
          <w:lang w:bidi="fa-IR"/>
        </w:rPr>
        <w:t xml:space="preserve"> mortality. They exploit the cyclicality of national Gross Domestic Product (GDP) as a proxy for economic conditions and find that </w:t>
      </w:r>
      <w:r w:rsidR="00756D78" w:rsidRPr="0004264F">
        <w:rPr>
          <w:rFonts w:cstheme="majorBidi"/>
          <w:szCs w:val="24"/>
          <w:lang w:bidi="fa-IR"/>
        </w:rPr>
        <w:t>being</w:t>
      </w:r>
      <w:r w:rsidRPr="0004264F">
        <w:rPr>
          <w:rFonts w:cstheme="majorBidi"/>
          <w:szCs w:val="24"/>
          <w:lang w:bidi="fa-IR"/>
        </w:rPr>
        <w:t xml:space="preserve"> born during a boom versus a recession </w:t>
      </w:r>
      <w:r w:rsidR="00756D78" w:rsidRPr="0004264F">
        <w:rPr>
          <w:rFonts w:cstheme="majorBidi"/>
          <w:szCs w:val="24"/>
          <w:lang w:bidi="fa-IR"/>
        </w:rPr>
        <w:t>results in</w:t>
      </w:r>
      <w:r w:rsidRPr="0004264F">
        <w:rPr>
          <w:rFonts w:cstheme="majorBidi"/>
          <w:szCs w:val="24"/>
          <w:lang w:bidi="fa-IR"/>
        </w:rPr>
        <w:t xml:space="preserve"> 8 percent lower mortality rates. </w:t>
      </w:r>
      <w:r w:rsidRPr="0004264F">
        <w:rPr>
          <w:rFonts w:cstheme="majorBidi"/>
          <w:szCs w:val="24"/>
          <w:lang w:bidi="fa-IR"/>
        </w:rPr>
        <w:fldChar w:fldCharType="begin" w:fldLock="1"/>
      </w:r>
      <w:r w:rsidR="00687BA0" w:rsidRPr="0004264F">
        <w:rPr>
          <w:rFonts w:cstheme="majorBidi"/>
          <w:szCs w:val="24"/>
          <w:lang w:bidi="fa-IR"/>
        </w:rPr>
        <w:instrText>ADDIN CSL_CITATION {"citationItems":[{"id":"ITEM-1","itemData":{"DOI":"10.1017/S0022050718000074","ISSN":"14716372","abstract":"I find that childhood exposure to the Dust Bowl, an environmental shock to health and income, adversely impacted later-life human capital-especially when exposure was in utero-increasing poverty and disability rates, and decreasing fertility and college completion rates. The event's devastation of agriculture, however, had the beneficial effect of increasing high school completion, likely by pushing children who otherwise might have worked on the farm into secondary schooling. Lastly, New Deal spending helped remediate Dust Bowl damage, suggesting that timely and substantial policy interventions can aid in human recovery from natural disasters.","author":[{"dropping-particle":"","family":"Arthi","given":"Vellore","non-dropping-particle":"","parse-names":false,"suffix":""}],"container-title":"Journal of Economic History","id":"ITEM-1","issue":"1","issued":{"date-parts":[["2018"]]},"page":"196-230","publisher":"Cambridge University Press","title":"\"The dust was long in settling\": Human capital and the lasting impact of the American Dust Bowl","type":"article-journal","volume":"78"},"uris":["http://www.mendeley.com/documents/?uuid=02687dd5-269c-45cf-906b-2fc4fd166163"]}],"mendeley":{"formattedCitation":"(Arthi, 2018)","manualFormatting":"Arthi (2018)","plainTextFormattedCitation":"(Arthi, 2018)","previouslyFormattedCitation":"(Arthi, 2018)"},"properties":{"noteIndex":0},"schema":"https://github.com/citation-style-language/schema/raw/master/csl-citation.json"}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Arthi (2018)</w:t>
      </w:r>
      <w:r w:rsidRPr="0004264F">
        <w:rPr>
          <w:rFonts w:cstheme="majorBidi"/>
          <w:szCs w:val="24"/>
          <w:lang w:bidi="fa-IR"/>
        </w:rPr>
        <w:fldChar w:fldCharType="end"/>
      </w:r>
      <w:r w:rsidRPr="0004264F">
        <w:rPr>
          <w:rFonts w:cstheme="majorBidi"/>
          <w:szCs w:val="24"/>
          <w:lang w:bidi="fa-IR"/>
        </w:rPr>
        <w:t xml:space="preserve"> explores the persistent effects of in-utero and childhood exposure to </w:t>
      </w:r>
      <w:r w:rsidR="00760EA4" w:rsidRPr="0004264F">
        <w:rPr>
          <w:rFonts w:cstheme="majorBidi"/>
          <w:szCs w:val="24"/>
          <w:lang w:bidi="fa-IR"/>
        </w:rPr>
        <w:t>state-level measures of</w:t>
      </w:r>
      <w:r w:rsidRPr="0004264F">
        <w:rPr>
          <w:rFonts w:cstheme="majorBidi"/>
          <w:szCs w:val="24"/>
          <w:lang w:bidi="fa-IR"/>
        </w:rPr>
        <w:t xml:space="preserve"> </w:t>
      </w:r>
      <w:r w:rsidR="00924DED" w:rsidRPr="0004264F">
        <w:rPr>
          <w:rFonts w:cstheme="majorBidi"/>
          <w:szCs w:val="24"/>
          <w:lang w:bidi="fa-IR"/>
        </w:rPr>
        <w:t xml:space="preserve">the </w:t>
      </w:r>
      <w:r w:rsidRPr="0004264F">
        <w:rPr>
          <w:rFonts w:cstheme="majorBidi"/>
          <w:szCs w:val="24"/>
          <w:lang w:bidi="fa-IR"/>
        </w:rPr>
        <w:t xml:space="preserve">Dust Bowl, a devastating environmental shock followed by agriculture failure and reductions in income, on later-life human capital and health. </w:t>
      </w:r>
      <w:r w:rsidR="00182365" w:rsidRPr="0004264F">
        <w:rPr>
          <w:rFonts w:cstheme="majorBidi"/>
          <w:szCs w:val="24"/>
          <w:lang w:bidi="fa-IR"/>
        </w:rPr>
        <w:t xml:space="preserve">The result suggests </w:t>
      </w:r>
      <w:r w:rsidRPr="0004264F">
        <w:rPr>
          <w:rFonts w:cstheme="majorBidi"/>
          <w:szCs w:val="24"/>
          <w:lang w:bidi="fa-IR"/>
        </w:rPr>
        <w:t xml:space="preserve">long-lasting effects on income, disability, and college completion. </w:t>
      </w:r>
      <w:r w:rsidR="00756D78" w:rsidRPr="0004264F">
        <w:rPr>
          <w:rFonts w:cstheme="majorBidi"/>
          <w:szCs w:val="24"/>
          <w:lang w:bidi="fa-IR"/>
        </w:rPr>
        <w:t xml:space="preserve">Similarly, </w:t>
      </w:r>
      <w:r w:rsidR="00E629A0" w:rsidRPr="0004264F">
        <w:rPr>
          <w:rFonts w:cstheme="majorBidi"/>
          <w:szCs w:val="24"/>
          <w:lang w:bidi="fa-IR"/>
        </w:rPr>
        <w:fldChar w:fldCharType="begin" w:fldLock="1"/>
      </w:r>
      <w:r w:rsidR="00E629A0" w:rsidRPr="0004264F">
        <w:rPr>
          <w:rFonts w:cstheme="majorBidi"/>
          <w:szCs w:val="24"/>
          <w:lang w:bidi="fa-IR"/>
        </w:rPr>
        <w:instrText>ADDIN CSL_CITATION {"citationItems":[{"id":"ITEM-1","itemData":{"DOI":"10.2139/SSRN.3985570","ISSN":"1556-5068","author":[{"dropping-particle":"","family":"Duque","given":"Valentina","non-dropping-particle":"","parse-names":false,"suffix":""},{"dropping-particle":"","family":"Schmitz","given":"Lauren","non-dropping-particle":"","parse-names":false,"suffix":""}],"container-title":"SSRN Electronic Journal","id":"ITEM-1","issued":{"date-parts":[["2021","12","14"]]},"title":"The Influence of Early-Life Economic Shocks on Aging Outcomes: Evidence from the U.S. Great Depression","type":"article-journal"},"uris":["http://www.mendeley.com/documents/?uuid=61ffff1a-7af2-3215-9365-cb2453eab4ad"]}],"mendeley":{"formattedCitation":"(Duque &amp; Schmitz, 2021)","manualFormatting":"Duque &amp; Schmitz (2021)","plainTextFormattedCitation":"(Duque &amp; Schmitz, 2021)","previouslyFormattedCitation":"(Duque &amp; Schmitz, 2021)"},"properties":{"noteIndex":0},"schema":"https://github.com/citation-style-language/schema/raw/master/csl-citation.json"}</w:instrText>
      </w:r>
      <w:r w:rsidR="00E629A0" w:rsidRPr="0004264F">
        <w:rPr>
          <w:rFonts w:cstheme="majorBidi"/>
          <w:szCs w:val="24"/>
          <w:lang w:bidi="fa-IR"/>
        </w:rPr>
        <w:fldChar w:fldCharType="separate"/>
      </w:r>
      <w:r w:rsidR="00E629A0" w:rsidRPr="0004264F">
        <w:rPr>
          <w:rFonts w:cstheme="majorBidi"/>
          <w:noProof/>
          <w:szCs w:val="24"/>
          <w:lang w:bidi="fa-IR"/>
        </w:rPr>
        <w:t>Duque &amp; Schmitz (2021)</w:t>
      </w:r>
      <w:r w:rsidR="00E629A0" w:rsidRPr="0004264F">
        <w:rPr>
          <w:rFonts w:cstheme="majorBidi"/>
          <w:szCs w:val="24"/>
          <w:lang w:bidi="fa-IR"/>
        </w:rPr>
        <w:fldChar w:fldCharType="end"/>
      </w:r>
      <w:r w:rsidR="005375BC" w:rsidRPr="0004264F">
        <w:rPr>
          <w:rFonts w:cstheme="majorBidi"/>
          <w:szCs w:val="24"/>
          <w:lang w:bidi="fa-IR"/>
        </w:rPr>
        <w:t xml:space="preserve"> </w:t>
      </w:r>
      <w:r w:rsidR="00756D78" w:rsidRPr="0004264F">
        <w:rPr>
          <w:rFonts w:cstheme="majorBidi"/>
          <w:szCs w:val="24"/>
          <w:lang w:bidi="fa-IR"/>
        </w:rPr>
        <w:t xml:space="preserve">and </w:t>
      </w:r>
      <w:r w:rsidR="00E629A0" w:rsidRPr="0004264F">
        <w:rPr>
          <w:rFonts w:cstheme="majorBidi"/>
          <w:szCs w:val="24"/>
          <w:lang w:bidi="fa-IR"/>
        </w:rPr>
        <w:fldChar w:fldCharType="begin" w:fldLock="1"/>
      </w:r>
      <w:r w:rsidR="00E629A0" w:rsidRPr="0004264F">
        <w:rPr>
          <w:rFonts w:cstheme="majorBidi"/>
          <w:szCs w:val="24"/>
          <w:lang w:bidi="fa-IR"/>
        </w:rPr>
        <w:instrText>ADDIN CSL_CITATION {"citationItems":[{"id":"ITEM-1","itemData":{"DOI":"10.1101/2022.05.18.22275258","author":[{"dropping-particle":"","family":"Schmitz","given":"Lauren","non-dropping-particle":"","parse-names":false,"suffix":""},{"dropping-particle":"","family":"Duque","given":"Valentina","non-dropping-particle":"","parse-names":false,"suffix":""}],"id":"ITEM-1","issued":{"date-parts":[["2022","5","21"]]},"title":"In Utero Exposure to the Great Depression is Reflected in Late-Life Epigenetic Aging Signatures","type":"article-journal"},"uris":["http://www.mendeley.com/documents/?uuid=ab1d6b85-8c78-3b1a-b8b3-a30f41d23a8f"]}],"mendeley":{"formattedCitation":"(Schmitz &amp; Duque, 2022)","manualFormatting":"Schmitz &amp; Duque (2022)","plainTextFormattedCitation":"(Schmitz &amp; Duque, 2022)","previouslyFormattedCitation":"(Schmitz &amp; Duque, 2022)"},"properties":{"noteIndex":0},"schema":"https://github.com/citation-style-language/schema/raw/master/csl-citation.json"}</w:instrText>
      </w:r>
      <w:r w:rsidR="00E629A0" w:rsidRPr="0004264F">
        <w:rPr>
          <w:rFonts w:cstheme="majorBidi"/>
          <w:szCs w:val="24"/>
          <w:lang w:bidi="fa-IR"/>
        </w:rPr>
        <w:fldChar w:fldCharType="separate"/>
      </w:r>
      <w:r w:rsidR="00E629A0" w:rsidRPr="0004264F">
        <w:rPr>
          <w:rFonts w:cstheme="majorBidi"/>
          <w:noProof/>
          <w:szCs w:val="24"/>
          <w:lang w:bidi="fa-IR"/>
        </w:rPr>
        <w:t>Schmitz &amp; Duque (2022)</w:t>
      </w:r>
      <w:r w:rsidR="00E629A0" w:rsidRPr="0004264F">
        <w:rPr>
          <w:rFonts w:cstheme="majorBidi"/>
          <w:szCs w:val="24"/>
          <w:lang w:bidi="fa-IR"/>
        </w:rPr>
        <w:fldChar w:fldCharType="end"/>
      </w:r>
      <w:r w:rsidR="00E629A0" w:rsidRPr="0004264F">
        <w:rPr>
          <w:rFonts w:cstheme="majorBidi"/>
          <w:szCs w:val="24"/>
          <w:lang w:bidi="fa-IR"/>
        </w:rPr>
        <w:t xml:space="preserve"> </w:t>
      </w:r>
      <w:r w:rsidR="00756D78" w:rsidRPr="0004264F">
        <w:rPr>
          <w:rFonts w:cstheme="majorBidi"/>
          <w:szCs w:val="24"/>
          <w:lang w:bidi="fa-IR"/>
        </w:rPr>
        <w:t xml:space="preserve">find a connection between state-level in utero exposure to wages, employment, and car sales during the Great Depression and late-life aging outcomes and mortality. </w:t>
      </w:r>
      <w:r w:rsidRPr="0004264F">
        <w:rPr>
          <w:rFonts w:cstheme="majorBidi"/>
          <w:szCs w:val="24"/>
          <w:lang w:bidi="fa-IR"/>
        </w:rPr>
        <w:t>However,</w:t>
      </w:r>
      <w:r w:rsidR="00756D78" w:rsidRPr="0004264F">
        <w:rPr>
          <w:rFonts w:cstheme="majorBidi"/>
          <w:szCs w:val="24"/>
          <w:lang w:bidi="fa-IR"/>
        </w:rPr>
        <w:t xml:space="preserve"> an earlier paper by</w:t>
      </w:r>
      <w:r w:rsidRPr="0004264F">
        <w:rPr>
          <w:rFonts w:cstheme="majorBidi"/>
          <w:szCs w:val="24"/>
          <w:lang w:bidi="fa-IR"/>
        </w:rPr>
        <w:t xml:space="preserve"> </w:t>
      </w:r>
      <w:r w:rsidR="00E629A0" w:rsidRPr="0004264F">
        <w:rPr>
          <w:rFonts w:cstheme="majorBidi"/>
          <w:szCs w:val="24"/>
          <w:lang w:bidi="fa-IR"/>
        </w:rPr>
        <w:fldChar w:fldCharType="begin" w:fldLock="1"/>
      </w:r>
      <w:r w:rsidR="006E03A6" w:rsidRPr="0004264F">
        <w:rPr>
          <w:rFonts w:cstheme="majorBidi"/>
          <w:szCs w:val="24"/>
          <w:lang w:bidi="fa-IR"/>
        </w:rPr>
        <w:instrText>ADDIN CSL_CITATION {"citationItems":[{"id":"ITEM-1","itemData":{"author":[{"dropping-particle":"","family":"Cutler","given":"David M","non-dropping-particle":"","parse-names":false,"suffix":""},{"dropping-particle":"","family":"Miller","given":"Grant","non-dropping-particle":"","parse-names":false,"suffix":""},{"dropping-particle":"","family":"Norton","given":"Douglas M","non-dropping-particle":"","parse-names":false,"suffix":""}],"container-title":"Proceedings of the National Academy of Sciences","id":"ITEM-1","issue":"33","issued":{"date-parts":[["2007"]]},"page":"13244-13249","publisher":"National Acad Sciences","title":"Evidence on early-life income and late-life health from America's Dust Bowl era","type":"article-journal","volume":"104"},"uris":["http://www.mendeley.com/documents/?uuid=9820c928-a2cc-3459-bec8-0945e0c6e7de"]}],"mendeley":{"formattedCitation":"(D. M. Cutler et al., 2007)","manualFormatting":"Cutler et al. (2007)","plainTextFormattedCitation":"(D. M. Cutler et al., 2007)","previouslyFormattedCitation":"(D. M. Cutler et al., 2007)"},"properties":{"noteIndex":0},"schema":"https://github.com/citation-style-language/schema/raw/master/csl-citation.json"}</w:instrText>
      </w:r>
      <w:r w:rsidR="00E629A0" w:rsidRPr="0004264F">
        <w:rPr>
          <w:rFonts w:cstheme="majorBidi"/>
          <w:szCs w:val="24"/>
          <w:lang w:bidi="fa-IR"/>
        </w:rPr>
        <w:fldChar w:fldCharType="separate"/>
      </w:r>
      <w:r w:rsidR="00E629A0" w:rsidRPr="0004264F">
        <w:rPr>
          <w:rFonts w:cstheme="majorBidi"/>
          <w:noProof/>
          <w:szCs w:val="24"/>
          <w:lang w:bidi="fa-IR"/>
        </w:rPr>
        <w:t>Cutler et al. (2007)</w:t>
      </w:r>
      <w:r w:rsidR="00E629A0" w:rsidRPr="0004264F">
        <w:rPr>
          <w:rFonts w:cstheme="majorBidi"/>
          <w:szCs w:val="24"/>
          <w:lang w:bidi="fa-IR"/>
        </w:rPr>
        <w:fldChar w:fldCharType="end"/>
      </w:r>
      <w:r w:rsidR="00075E74" w:rsidRPr="0004264F">
        <w:rPr>
          <w:rFonts w:cstheme="majorBidi"/>
          <w:szCs w:val="24"/>
          <w:lang w:bidi="fa-IR"/>
        </w:rPr>
        <w:t xml:space="preserve"> </w:t>
      </w:r>
      <w:r w:rsidR="00756D78" w:rsidRPr="0004264F">
        <w:rPr>
          <w:rFonts w:cstheme="majorBidi"/>
          <w:szCs w:val="24"/>
          <w:lang w:bidi="fa-IR"/>
        </w:rPr>
        <w:t xml:space="preserve">that </w:t>
      </w:r>
      <w:r w:rsidR="00760EA4" w:rsidRPr="0004264F">
        <w:rPr>
          <w:rFonts w:cstheme="majorBidi"/>
          <w:szCs w:val="24"/>
          <w:lang w:bidi="fa-IR"/>
        </w:rPr>
        <w:t>use</w:t>
      </w:r>
      <w:r w:rsidR="00756D78" w:rsidRPr="0004264F">
        <w:rPr>
          <w:rFonts w:cstheme="majorBidi"/>
          <w:szCs w:val="24"/>
          <w:lang w:bidi="fa-IR"/>
        </w:rPr>
        <w:t>d</w:t>
      </w:r>
      <w:r w:rsidR="00760EA4" w:rsidRPr="0004264F">
        <w:rPr>
          <w:rFonts w:cstheme="majorBidi"/>
          <w:szCs w:val="24"/>
          <w:lang w:bidi="fa-IR"/>
        </w:rPr>
        <w:t xml:space="preserve"> exposure </w:t>
      </w:r>
      <w:r w:rsidR="00D00F76" w:rsidRPr="0004264F">
        <w:rPr>
          <w:rFonts w:cstheme="majorBidi"/>
          <w:szCs w:val="24"/>
          <w:lang w:bidi="fa-IR"/>
        </w:rPr>
        <w:t xml:space="preserve">to economic </w:t>
      </w:r>
      <w:r w:rsidR="00760EA4" w:rsidRPr="0004264F">
        <w:rPr>
          <w:rFonts w:cstheme="majorBidi"/>
          <w:szCs w:val="24"/>
          <w:lang w:bidi="fa-IR"/>
        </w:rPr>
        <w:t xml:space="preserve">variation at the census-region level </w:t>
      </w:r>
      <w:r w:rsidR="00D00F76" w:rsidRPr="0004264F">
        <w:rPr>
          <w:rFonts w:cstheme="majorBidi"/>
          <w:szCs w:val="24"/>
          <w:lang w:bidi="fa-IR"/>
        </w:rPr>
        <w:t xml:space="preserve">during the Great Depression </w:t>
      </w:r>
      <w:r w:rsidRPr="0004264F">
        <w:rPr>
          <w:rFonts w:cstheme="majorBidi"/>
          <w:szCs w:val="24"/>
          <w:lang w:bidi="fa-IR"/>
        </w:rPr>
        <w:t>fail</w:t>
      </w:r>
      <w:r w:rsidR="00D00F76" w:rsidRPr="0004264F">
        <w:rPr>
          <w:rFonts w:cstheme="majorBidi"/>
          <w:szCs w:val="24"/>
          <w:lang w:bidi="fa-IR"/>
        </w:rPr>
        <w:t>ed</w:t>
      </w:r>
      <w:r w:rsidRPr="0004264F">
        <w:rPr>
          <w:rFonts w:cstheme="majorBidi"/>
          <w:szCs w:val="24"/>
          <w:lang w:bidi="fa-IR"/>
        </w:rPr>
        <w:t xml:space="preserve"> to find any evidence that fetal exposure to </w:t>
      </w:r>
      <w:r w:rsidR="00D00F76" w:rsidRPr="0004264F">
        <w:rPr>
          <w:rFonts w:cstheme="majorBidi"/>
          <w:szCs w:val="24"/>
          <w:lang w:bidi="fa-IR"/>
        </w:rPr>
        <w:t>economic conditions</w:t>
      </w:r>
      <w:r w:rsidRPr="0004264F">
        <w:rPr>
          <w:rFonts w:cstheme="majorBidi"/>
          <w:szCs w:val="24"/>
          <w:lang w:bidi="fa-IR"/>
        </w:rPr>
        <w:t xml:space="preserve"> </w:t>
      </w:r>
      <w:r w:rsidR="00D00F76" w:rsidRPr="0004264F">
        <w:rPr>
          <w:rFonts w:cstheme="majorBidi"/>
          <w:szCs w:val="24"/>
          <w:lang w:bidi="fa-IR"/>
        </w:rPr>
        <w:t xml:space="preserve">was </w:t>
      </w:r>
      <w:r w:rsidRPr="0004264F">
        <w:rPr>
          <w:rFonts w:cstheme="majorBidi"/>
          <w:szCs w:val="24"/>
          <w:lang w:bidi="fa-IR"/>
        </w:rPr>
        <w:t xml:space="preserve">associated with disability and chronic disease later in life. </w:t>
      </w:r>
      <w:r w:rsidR="00967358" w:rsidRPr="0004264F">
        <w:rPr>
          <w:rFonts w:cstheme="majorBidi"/>
          <w:szCs w:val="24"/>
          <w:lang w:bidi="fa-IR"/>
        </w:rPr>
        <w:fldChar w:fldCharType="begin" w:fldLock="1"/>
      </w:r>
      <w:r w:rsidR="00661FCD" w:rsidRPr="0004264F">
        <w:rPr>
          <w:rFonts w:cstheme="majorBidi"/>
          <w:szCs w:val="24"/>
          <w:lang w:bidi="fa-IR"/>
        </w:rPr>
        <w:instrText>ADDIN CSL_CITATION {"citationItems":[{"id":"ITEM-1","itemData":{"DOI":"10.1007/S11111-022-00398-W","ISBN":"0123456789","ISSN":"1573-7810","abstract":"The Great Plains drought of 1931–1939 was a prolonged socio-ecological disaster with widespread impacts on society, economy, and health. While its immediate impacts are well documented, we know much less about the disaster’s effects on distal human outcomes. In particular, the event’s effects on later life mortality remain almost entirely unexplored. Closing this gap would contribute to our understanding of the long-term effects of place-based stress. To help fill this gap, I use a new, massive, linked mortality dataset to investigate whether young men’s exposure to drought and dust storms in 341 Great Plains counties was linked to a higher risk of death in early-old age. Contrary to expectations, results suggest exposure to drought conditions had no obvious adverse effect among men aged 65&amp;nbsp;years or older at time of death—rather, the average age at death was slightly higher than for comparable men without exposure. This effect also appears to have been stronger among Plainsmen who stayed in place until the drought ended. A discussion of potential explanations for these counterintuitive results is provided.","author":[{"dropping-particle":"","family":"Atherwood","given":"Serge","non-dropping-particle":"","parse-names":false,"suffix":""}],"container-title":"Population and Environment 2022","id":"ITEM-1","issued":{"date-parts":[["2022","5","7"]]},"page":"1-23","publisher":"Springer","title":"Does a prolonged hardship reduce life span? Examining the longevity of young men who lived through the 1930s Great Plains drought","type":"article-journal"},"uris":["http://www.mendeley.com/documents/?uuid=e8caa394-02ba-3586-b336-a9ff446624b2"]}],"mendeley":{"formattedCitation":"(Atherwood, 2022)","manualFormatting":"Atherwood (2022)","plainTextFormattedCitation":"(Atherwood, 2022)","previouslyFormattedCitation":"(Atherwood, 2022)"},"properties":{"noteIndex":0},"schema":"https://github.com/citation-style-language/schema/raw/master/csl-citation.json"}</w:instrText>
      </w:r>
      <w:r w:rsidR="00967358" w:rsidRPr="0004264F">
        <w:rPr>
          <w:rFonts w:cstheme="majorBidi"/>
          <w:szCs w:val="24"/>
          <w:lang w:bidi="fa-IR"/>
        </w:rPr>
        <w:fldChar w:fldCharType="separate"/>
      </w:r>
      <w:r w:rsidR="00967358" w:rsidRPr="0004264F">
        <w:rPr>
          <w:rFonts w:cstheme="majorBidi"/>
          <w:noProof/>
          <w:szCs w:val="24"/>
          <w:lang w:bidi="fa-IR"/>
        </w:rPr>
        <w:t>Atherwood (2022)</w:t>
      </w:r>
      <w:r w:rsidR="00967358" w:rsidRPr="0004264F">
        <w:rPr>
          <w:rFonts w:cstheme="majorBidi"/>
          <w:szCs w:val="24"/>
          <w:lang w:bidi="fa-IR"/>
        </w:rPr>
        <w:fldChar w:fldCharType="end"/>
      </w:r>
      <w:r w:rsidR="00967358" w:rsidRPr="0004264F">
        <w:rPr>
          <w:rFonts w:cstheme="majorBidi"/>
          <w:szCs w:val="24"/>
          <w:lang w:bidi="fa-IR"/>
        </w:rPr>
        <w:t xml:space="preserve"> implements </w:t>
      </w:r>
      <w:r w:rsidR="00553E06" w:rsidRPr="0004264F">
        <w:rPr>
          <w:rFonts w:cstheme="majorBidi"/>
          <w:szCs w:val="24"/>
          <w:lang w:bidi="fa-IR"/>
        </w:rPr>
        <w:t>county-level Dust Bowl measures and explores</w:t>
      </w:r>
      <w:r w:rsidR="00967358" w:rsidRPr="0004264F">
        <w:rPr>
          <w:rFonts w:cstheme="majorBidi"/>
          <w:szCs w:val="24"/>
          <w:lang w:bidi="fa-IR"/>
        </w:rPr>
        <w:t xml:space="preserve"> the effects of </w:t>
      </w:r>
      <w:r w:rsidR="00E629A0" w:rsidRPr="0004264F">
        <w:rPr>
          <w:rFonts w:cstheme="majorBidi"/>
          <w:szCs w:val="24"/>
          <w:lang w:bidi="fa-IR"/>
        </w:rPr>
        <w:t xml:space="preserve">young adulthood </w:t>
      </w:r>
      <w:r w:rsidR="00967358" w:rsidRPr="0004264F">
        <w:rPr>
          <w:rFonts w:cstheme="majorBidi"/>
          <w:szCs w:val="24"/>
          <w:lang w:bidi="fa-IR"/>
        </w:rPr>
        <w:t xml:space="preserve">exposure on later-life longevity. He finds insignificant average effects. </w:t>
      </w:r>
      <w:r w:rsidR="00075E74" w:rsidRPr="0004264F">
        <w:rPr>
          <w:rFonts w:cstheme="majorBidi"/>
          <w:szCs w:val="24"/>
          <w:lang w:bidi="fa-IR"/>
        </w:rPr>
        <w:fldChar w:fldCharType="begin" w:fldLock="1"/>
      </w:r>
      <w:r w:rsidR="00075E74" w:rsidRPr="0004264F">
        <w:rPr>
          <w:rFonts w:cstheme="majorBidi"/>
          <w:szCs w:val="24"/>
          <w:lang w:bidi="fa-IR"/>
        </w:rPr>
        <w:instrText>ADDIN CSL_CITATION {"citationItems":[{"id":"ITEM-1","itemData":{"author":[{"dropping-particle":"","family":"Noghanibehambari","given":"Hamid","non-dropping-particle":"","parse-names":false,"suffix":""},{"dropping-particle":"","family":"Fletcher","given":"Jason","non-dropping-particle":"","parse-names":false,"suffix":""}],"id":"ITEM-1","issued":{"date-parts":[["2022"]]},"title":"Dust to Feed, Dust to Grey: The Effect of In-Utero Exposure to Dust Bowl on Old-Age Longevity","type":"article-journal"},"uris":["http://www.mendeley.com/documents/?uuid=e838d6f8-448e-49ab-8bd1-e725dd064151"]}],"mendeley":{"formattedCitation":"(Noghanibehambari &amp; Fletcher, 2022)","manualFormatting":"Noghanibehambari &amp; Fletcher (2022)","plainTextFormattedCitation":"(Noghanibehambari &amp; Fletcher, 2022)","previouslyFormattedCitation":"(Noghanibehambari &amp; Fletcher, 2022)"},"properties":{"noteIndex":0},"schema":"https://github.com/citation-style-language/schema/raw/master/csl-citation.json"}</w:instrText>
      </w:r>
      <w:r w:rsidR="00075E74" w:rsidRPr="0004264F">
        <w:rPr>
          <w:rFonts w:cstheme="majorBidi"/>
          <w:szCs w:val="24"/>
          <w:lang w:bidi="fa-IR"/>
        </w:rPr>
        <w:fldChar w:fldCharType="separate"/>
      </w:r>
      <w:r w:rsidR="00075E74" w:rsidRPr="0004264F">
        <w:rPr>
          <w:rFonts w:cstheme="majorBidi"/>
          <w:noProof/>
          <w:szCs w:val="24"/>
          <w:lang w:bidi="fa-IR"/>
        </w:rPr>
        <w:t>Noghanibehambari &amp; Fletcher (2022)</w:t>
      </w:r>
      <w:r w:rsidR="00075E74" w:rsidRPr="0004264F">
        <w:rPr>
          <w:rFonts w:cstheme="majorBidi"/>
          <w:szCs w:val="24"/>
          <w:lang w:bidi="fa-IR"/>
        </w:rPr>
        <w:fldChar w:fldCharType="end"/>
      </w:r>
      <w:r w:rsidR="00075E74" w:rsidRPr="0004264F">
        <w:rPr>
          <w:rFonts w:cstheme="majorBidi"/>
          <w:szCs w:val="24"/>
          <w:lang w:bidi="fa-IR"/>
        </w:rPr>
        <w:t xml:space="preserve"> re-examine the effects of early-life exposure to the Dust Bowl on old-age longevity. They employ difference-in-difference method and account for county-level heterogeneity. They find intent-to-treat effects of about 1 month reduction in longevity among cohorts that were severely affected by their county-of-birth topsoil erosion</w:t>
      </w:r>
      <w:r w:rsidR="009B353A" w:rsidRPr="0004264F">
        <w:rPr>
          <w:rFonts w:cstheme="majorBidi"/>
          <w:szCs w:val="24"/>
          <w:lang w:bidi="fa-IR"/>
        </w:rPr>
        <w:t xml:space="preserve"> in early life</w:t>
      </w:r>
      <w:r w:rsidR="00075E74" w:rsidRPr="0004264F">
        <w:rPr>
          <w:rFonts w:cstheme="majorBidi"/>
          <w:szCs w:val="24"/>
          <w:lang w:bidi="fa-IR"/>
        </w:rPr>
        <w:t xml:space="preserve">. </w:t>
      </w:r>
    </w:p>
    <w:p w14:paraId="3BBE85D2" w14:textId="69E3128B" w:rsidR="00204C5C" w:rsidRPr="0004264F" w:rsidRDefault="00531A5B" w:rsidP="009B353A">
      <w:pPr>
        <w:pStyle w:val="Heading1"/>
        <w:rPr>
          <w:rFonts w:asciiTheme="majorBidi" w:hAnsiTheme="majorBidi"/>
          <w:lang w:bidi="fa-IR"/>
        </w:rPr>
      </w:pPr>
      <w:bookmarkStart w:id="2" w:name="_Ref97828632"/>
      <w:r w:rsidRPr="0004264F">
        <w:rPr>
          <w:rFonts w:asciiTheme="majorBidi" w:hAnsiTheme="majorBidi"/>
          <w:lang w:bidi="fa-IR"/>
        </w:rPr>
        <w:t>Data and Sample Selection</w:t>
      </w:r>
      <w:bookmarkEnd w:id="2"/>
    </w:p>
    <w:p w14:paraId="7BF7B45F" w14:textId="1BB56E0E" w:rsidR="00553221" w:rsidRPr="0004264F" w:rsidRDefault="00531A5B" w:rsidP="00991D54">
      <w:pPr>
        <w:spacing w:after="120" w:line="480" w:lineRule="auto"/>
        <w:ind w:firstLine="720"/>
        <w:jc w:val="both"/>
        <w:rPr>
          <w:rFonts w:cstheme="majorBidi"/>
          <w:szCs w:val="24"/>
          <w:lang w:bidi="fa-IR"/>
        </w:rPr>
      </w:pPr>
      <w:r w:rsidRPr="0004264F">
        <w:rPr>
          <w:rFonts w:cstheme="majorBidi"/>
          <w:szCs w:val="24"/>
          <w:lang w:bidi="fa-IR"/>
        </w:rPr>
        <w:t xml:space="preserve">The primary </w:t>
      </w:r>
      <w:r w:rsidR="00226D33" w:rsidRPr="0004264F">
        <w:rPr>
          <w:rFonts w:cstheme="majorBidi"/>
          <w:szCs w:val="24"/>
          <w:lang w:bidi="fa-IR"/>
        </w:rPr>
        <w:t>data source</w:t>
      </w:r>
      <w:r w:rsidRPr="0004264F">
        <w:rPr>
          <w:rFonts w:cstheme="majorBidi"/>
          <w:szCs w:val="24"/>
          <w:lang w:bidi="fa-IR"/>
        </w:rPr>
        <w:t xml:space="preserve"> is </w:t>
      </w:r>
      <w:r w:rsidR="0087221D" w:rsidRPr="0004264F">
        <w:rPr>
          <w:rFonts w:cstheme="majorBidi"/>
          <w:szCs w:val="24"/>
          <w:lang w:bidi="fa-IR"/>
        </w:rPr>
        <w:t xml:space="preserve">the </w:t>
      </w:r>
      <w:r w:rsidRPr="0004264F">
        <w:rPr>
          <w:rFonts w:cstheme="majorBidi"/>
          <w:szCs w:val="24"/>
          <w:lang w:bidi="fa-IR"/>
        </w:rPr>
        <w:t xml:space="preserve">Social Security Administration </w:t>
      </w:r>
      <w:r w:rsidR="00740682" w:rsidRPr="0004264F">
        <w:rPr>
          <w:rFonts w:cstheme="majorBidi"/>
          <w:szCs w:val="24"/>
          <w:lang w:bidi="fa-IR"/>
        </w:rPr>
        <w:t>Death Master File (hereafter DMF)</w:t>
      </w:r>
      <w:r w:rsidRPr="0004264F">
        <w:rPr>
          <w:rFonts w:cstheme="majorBidi"/>
          <w:szCs w:val="24"/>
          <w:lang w:bidi="fa-IR"/>
        </w:rPr>
        <w:t xml:space="preserve"> records extracted from </w:t>
      </w:r>
      <w:r w:rsidR="004463FA" w:rsidRPr="0004264F">
        <w:rPr>
          <w:rFonts w:cstheme="majorBidi"/>
          <w:szCs w:val="24"/>
          <w:lang w:bidi="fa-IR"/>
        </w:rPr>
        <w:t xml:space="preserve">the </w:t>
      </w:r>
      <w:r w:rsidR="00E629A0" w:rsidRPr="0004264F">
        <w:rPr>
          <w:rFonts w:cstheme="majorBidi"/>
          <w:szCs w:val="24"/>
          <w:lang w:bidi="fa-IR"/>
        </w:rPr>
        <w:t>CenSoc</w:t>
      </w:r>
      <w:r w:rsidR="004463FA" w:rsidRPr="0004264F">
        <w:rPr>
          <w:rFonts w:cstheme="majorBidi"/>
          <w:szCs w:val="24"/>
          <w:lang w:bidi="fa-IR"/>
        </w:rPr>
        <w:t xml:space="preserve"> Project database </w:t>
      </w:r>
      <w:r w:rsidRPr="0004264F">
        <w:rPr>
          <w:rFonts w:cstheme="majorBidi"/>
          <w:szCs w:val="24"/>
          <w:lang w:bidi="fa-IR"/>
        </w:rPr>
        <w:fldChar w:fldCharType="begin" w:fldLock="1"/>
      </w:r>
      <w:r w:rsidR="00553221" w:rsidRPr="0004264F">
        <w:rPr>
          <w:rFonts w:cstheme="majorBidi"/>
          <w:szCs w:val="24"/>
          <w:lang w:bidi="fa-IR"/>
        </w:rPr>
        <w:instrText>ADDIN CSL_CITATION {"citationItems":[{"id":"ITEM-1","itemData":{"author":[{"dropping-particle":"","family":"Goldstein","given":"Joshua R","non-dropping-particle":"","parse-names":false,"suffix":""},{"dropping-particle":"","family":"Alexander","given":"Monica","non-dropping-particle":"","parse-names":false,"suffix":""},{"dropping-particle":"","family":"Breen","given":"Casey","non-dropping-particle":"","parse-names":false,"suffix":""},{"dropping-particle":"","family":"Miranda González","given":"Andrea","non-dropping-particle":"","parse-names":false,"suffix":""},{"dropping-particle":"","family":"Menares","given":"Felipe","non-dropping-particle":"","parse-names":false,"suffix":""},{"dropping-particle":"","family":"Osborne","given":"Maria","non-dropping-particle":"","parse-names":false,"suffix":""},{"dropping-particle":"","family":"Snyder","given":"Mallika","non-dropping-particle":"","parse-names":false,"suffix":""},{"dropping-particle":"","family":"Yildirim","given":"Ugur","non-dropping-particle":"","parse-names":false,"suffix":""}],"container-title":"CenSoc Mortality File: Version 2.0. Berkeley: University of California","id":"ITEM-1","issued":{"date-parts":[["2021"]]},"title":"Censoc Project","type":"article"},"uris":["http://www.mendeley.com/documents/?uuid=481fa735-9363-31bd-b3db-032f703eb989"]}],"mendeley":{"formattedCitation":"(Goldstein et al., 2021)","plainTextFormattedCitation":"(Goldstein et al., 2021)","previouslyFormattedCitation":"(Goldstein et al., 2021)"},"properties":{"noteIndex":0},"schema":"https://github.com/citation-style-language/schema/raw/master/csl-citation.json"}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(Goldstein et al., 2021)</w:t>
      </w:r>
      <w:r w:rsidRPr="0004264F">
        <w:rPr>
          <w:rFonts w:cstheme="majorBidi"/>
          <w:szCs w:val="24"/>
          <w:lang w:bidi="fa-IR"/>
        </w:rPr>
        <w:fldChar w:fldCharType="end"/>
      </w:r>
      <w:r w:rsidR="00995B88" w:rsidRPr="0004264F">
        <w:rPr>
          <w:rFonts w:cstheme="majorBidi"/>
          <w:szCs w:val="24"/>
          <w:lang w:bidi="fa-IR"/>
        </w:rPr>
        <w:t xml:space="preserve">. </w:t>
      </w:r>
      <w:r w:rsidR="006F72FD" w:rsidRPr="0004264F">
        <w:rPr>
          <w:rFonts w:cstheme="majorBidi"/>
          <w:szCs w:val="24"/>
          <w:lang w:bidi="fa-IR"/>
        </w:rPr>
        <w:t xml:space="preserve">The </w:t>
      </w:r>
      <w:r w:rsidR="00740682" w:rsidRPr="0004264F">
        <w:rPr>
          <w:rFonts w:cstheme="majorBidi"/>
          <w:szCs w:val="24"/>
          <w:lang w:bidi="fa-IR"/>
        </w:rPr>
        <w:t xml:space="preserve">DMF </w:t>
      </w:r>
      <w:r w:rsidR="006F72FD" w:rsidRPr="0004264F">
        <w:rPr>
          <w:rFonts w:cstheme="majorBidi"/>
          <w:szCs w:val="24"/>
          <w:lang w:bidi="fa-IR"/>
        </w:rPr>
        <w:t>data contains death record</w:t>
      </w:r>
      <w:r w:rsidR="00F76D6A" w:rsidRPr="0004264F">
        <w:rPr>
          <w:rFonts w:cstheme="majorBidi"/>
          <w:szCs w:val="24"/>
          <w:lang w:bidi="fa-IR"/>
        </w:rPr>
        <w:t>s</w:t>
      </w:r>
      <w:r w:rsidR="00661FCD" w:rsidRPr="0004264F">
        <w:rPr>
          <w:rFonts w:cstheme="majorBidi"/>
          <w:szCs w:val="24"/>
          <w:lang w:bidi="fa-IR"/>
        </w:rPr>
        <w:t xml:space="preserve"> among males</w:t>
      </w:r>
      <w:r w:rsidR="006F72FD" w:rsidRPr="0004264F">
        <w:rPr>
          <w:rFonts w:cstheme="majorBidi"/>
          <w:szCs w:val="24"/>
          <w:lang w:bidi="fa-IR"/>
        </w:rPr>
        <w:t xml:space="preserve"> between 19</w:t>
      </w:r>
      <w:r w:rsidR="00BC26F0" w:rsidRPr="0004264F">
        <w:rPr>
          <w:rFonts w:cstheme="majorBidi"/>
          <w:szCs w:val="24"/>
          <w:lang w:bidi="fa-IR"/>
        </w:rPr>
        <w:t>75</w:t>
      </w:r>
      <w:r w:rsidR="006F72FD" w:rsidRPr="0004264F">
        <w:rPr>
          <w:rFonts w:cstheme="majorBidi"/>
          <w:szCs w:val="24"/>
          <w:lang w:bidi="fa-IR"/>
        </w:rPr>
        <w:t xml:space="preserve">-2005 that are linked to the full-count 1940 </w:t>
      </w:r>
      <w:r w:rsidR="006F72FD" w:rsidRPr="0004264F">
        <w:rPr>
          <w:rFonts w:cstheme="majorBidi"/>
          <w:szCs w:val="24"/>
          <w:lang w:bidi="fa-IR"/>
        </w:rPr>
        <w:lastRenderedPageBreak/>
        <w:t xml:space="preserve">census. </w:t>
      </w:r>
      <w:r w:rsidR="004463FA" w:rsidRPr="0004264F">
        <w:rPr>
          <w:rFonts w:cstheme="majorBidi"/>
          <w:szCs w:val="24"/>
          <w:lang w:bidi="fa-IR"/>
        </w:rPr>
        <w:t>Therefore,</w:t>
      </w:r>
      <w:r w:rsidR="006F72FD" w:rsidRPr="0004264F">
        <w:rPr>
          <w:rFonts w:cstheme="majorBidi"/>
          <w:szCs w:val="24"/>
          <w:lang w:bidi="fa-IR"/>
        </w:rPr>
        <w:t xml:space="preserve"> </w:t>
      </w:r>
      <w:r w:rsidR="00F76D6A" w:rsidRPr="0004264F">
        <w:rPr>
          <w:rFonts w:cstheme="majorBidi"/>
          <w:szCs w:val="24"/>
          <w:lang w:bidi="fa-IR"/>
        </w:rPr>
        <w:t xml:space="preserve">they </w:t>
      </w:r>
      <w:r w:rsidR="00FE62C9" w:rsidRPr="0004264F">
        <w:rPr>
          <w:rFonts w:cstheme="majorBidi"/>
          <w:szCs w:val="24"/>
          <w:lang w:bidi="fa-IR"/>
        </w:rPr>
        <w:t>have</w:t>
      </w:r>
      <w:r w:rsidR="006F72FD" w:rsidRPr="0004264F">
        <w:rPr>
          <w:rFonts w:cstheme="majorBidi"/>
          <w:szCs w:val="24"/>
          <w:lang w:bidi="fa-IR"/>
        </w:rPr>
        <w:t xml:space="preserve"> a wide array of early-life social and economic variables. There are </w:t>
      </w:r>
      <w:r w:rsidR="00553221" w:rsidRPr="0004264F">
        <w:rPr>
          <w:rFonts w:cstheme="majorBidi"/>
          <w:szCs w:val="24"/>
          <w:lang w:bidi="fa-IR"/>
        </w:rPr>
        <w:t>three</w:t>
      </w:r>
      <w:r w:rsidR="006F72FD" w:rsidRPr="0004264F">
        <w:rPr>
          <w:rFonts w:cstheme="majorBidi"/>
          <w:szCs w:val="24"/>
          <w:lang w:bidi="fa-IR"/>
        </w:rPr>
        <w:t xml:space="preserve"> advantages of </w:t>
      </w:r>
      <w:r w:rsidR="00991D54" w:rsidRPr="0004264F">
        <w:rPr>
          <w:rFonts w:cstheme="majorBidi"/>
          <w:szCs w:val="24"/>
          <w:lang w:bidi="fa-IR"/>
        </w:rPr>
        <w:t xml:space="preserve">DMF </w:t>
      </w:r>
      <w:r w:rsidR="006F72FD" w:rsidRPr="0004264F">
        <w:rPr>
          <w:rFonts w:cstheme="majorBidi"/>
          <w:szCs w:val="24"/>
          <w:lang w:bidi="fa-IR"/>
        </w:rPr>
        <w:t>data over similar data sources that contain mortality information necessary for our research design. The availability of county identifier</w:t>
      </w:r>
      <w:r w:rsidR="00010462" w:rsidRPr="0004264F">
        <w:rPr>
          <w:rFonts w:cstheme="majorBidi"/>
          <w:szCs w:val="24"/>
          <w:lang w:bidi="fa-IR"/>
        </w:rPr>
        <w:t>s</w:t>
      </w:r>
      <w:r w:rsidR="006F72FD" w:rsidRPr="0004264F">
        <w:rPr>
          <w:rFonts w:cstheme="majorBidi"/>
          <w:szCs w:val="24"/>
          <w:lang w:bidi="fa-IR"/>
        </w:rPr>
        <w:t xml:space="preserve"> in the 1940-census allows </w:t>
      </w:r>
      <w:r w:rsidR="00F76D6A" w:rsidRPr="0004264F">
        <w:rPr>
          <w:rFonts w:cstheme="majorBidi"/>
          <w:szCs w:val="24"/>
          <w:lang w:bidi="fa-IR"/>
        </w:rPr>
        <w:t xml:space="preserve">for </w:t>
      </w:r>
      <w:r w:rsidR="006F72FD" w:rsidRPr="0004264F">
        <w:rPr>
          <w:rFonts w:cstheme="majorBidi"/>
          <w:szCs w:val="24"/>
          <w:lang w:bidi="fa-IR"/>
        </w:rPr>
        <w:t>more granular and detailed environmental information as opposed to virtually all other data sources with state identifier</w:t>
      </w:r>
      <w:r w:rsidR="00F76D6A" w:rsidRPr="0004264F">
        <w:rPr>
          <w:rFonts w:cstheme="majorBidi"/>
          <w:szCs w:val="24"/>
          <w:lang w:bidi="fa-IR"/>
        </w:rPr>
        <w:t>s</w:t>
      </w:r>
      <w:r w:rsidR="006F72FD" w:rsidRPr="0004264F">
        <w:rPr>
          <w:rFonts w:cstheme="majorBidi"/>
          <w:szCs w:val="24"/>
          <w:lang w:bidi="fa-IR"/>
        </w:rPr>
        <w:t xml:space="preserve">. Second, the </w:t>
      </w:r>
      <w:r w:rsidR="00991D54" w:rsidRPr="0004264F">
        <w:rPr>
          <w:rFonts w:cstheme="majorBidi"/>
          <w:szCs w:val="24"/>
          <w:lang w:bidi="fa-IR"/>
        </w:rPr>
        <w:t>DMF</w:t>
      </w:r>
      <w:r w:rsidR="006F72FD" w:rsidRPr="0004264F">
        <w:rPr>
          <w:rFonts w:cstheme="majorBidi"/>
          <w:szCs w:val="24"/>
          <w:lang w:bidi="fa-IR"/>
        </w:rPr>
        <w:t xml:space="preserve"> builds a longitudinal panel that contains millions of observations while similar longitudinal data provides several </w:t>
      </w:r>
      <w:r w:rsidR="005D0562" w:rsidRPr="0004264F">
        <w:rPr>
          <w:rFonts w:cstheme="majorBidi"/>
          <w:szCs w:val="24"/>
          <w:lang w:bidi="fa-IR"/>
        </w:rPr>
        <w:t>thousand</w:t>
      </w:r>
      <w:r w:rsidR="00ED68CF" w:rsidRPr="0004264F">
        <w:rPr>
          <w:rFonts w:cstheme="majorBidi"/>
          <w:szCs w:val="24"/>
          <w:lang w:bidi="fa-IR"/>
        </w:rPr>
        <w:t xml:space="preserve"> (e.g., </w:t>
      </w:r>
      <w:r w:rsidR="009928FB" w:rsidRPr="0004264F">
        <w:rPr>
          <w:rFonts w:cstheme="majorBidi"/>
          <w:szCs w:val="24"/>
          <w:lang w:bidi="fa-IR"/>
        </w:rPr>
        <w:t>Health and Retirement Study</w:t>
      </w:r>
      <w:r w:rsidR="00ED68CF" w:rsidRPr="0004264F">
        <w:rPr>
          <w:rFonts w:cstheme="majorBidi"/>
          <w:szCs w:val="24"/>
          <w:lang w:bidi="fa-IR"/>
        </w:rPr>
        <w:t>)</w:t>
      </w:r>
      <w:r w:rsidR="006F72FD" w:rsidRPr="0004264F">
        <w:rPr>
          <w:rFonts w:cstheme="majorBidi"/>
          <w:szCs w:val="24"/>
          <w:lang w:bidi="fa-IR"/>
        </w:rPr>
        <w:t xml:space="preserve">. </w:t>
      </w:r>
      <w:r w:rsidR="00553221" w:rsidRPr="0004264F">
        <w:rPr>
          <w:rFonts w:cstheme="majorBidi"/>
          <w:szCs w:val="24"/>
          <w:lang w:bidi="fa-IR"/>
        </w:rPr>
        <w:t xml:space="preserve">Third, the </w:t>
      </w:r>
      <w:r w:rsidR="00991D54" w:rsidRPr="0004264F">
        <w:rPr>
          <w:rFonts w:cstheme="majorBidi"/>
          <w:szCs w:val="24"/>
          <w:lang w:bidi="fa-IR"/>
        </w:rPr>
        <w:t>DMF</w:t>
      </w:r>
      <w:r w:rsidR="00553221" w:rsidRPr="0004264F">
        <w:rPr>
          <w:rFonts w:cstheme="majorBidi"/>
          <w:szCs w:val="24"/>
          <w:lang w:bidi="fa-IR"/>
        </w:rPr>
        <w:t xml:space="preserve">-census-linked data offers a wide array of </w:t>
      </w:r>
      <w:r w:rsidR="005D0562" w:rsidRPr="0004264F">
        <w:rPr>
          <w:rFonts w:cstheme="majorBidi"/>
          <w:szCs w:val="24"/>
          <w:lang w:bidi="fa-IR"/>
        </w:rPr>
        <w:t>family-level</w:t>
      </w:r>
      <w:r w:rsidR="00553221" w:rsidRPr="0004264F">
        <w:rPr>
          <w:rFonts w:cstheme="majorBidi"/>
          <w:szCs w:val="24"/>
          <w:lang w:bidi="fa-IR"/>
        </w:rPr>
        <w:t xml:space="preserve"> covariates</w:t>
      </w:r>
      <w:r w:rsidR="005D0562" w:rsidRPr="0004264F">
        <w:rPr>
          <w:rFonts w:cstheme="majorBidi"/>
          <w:szCs w:val="24"/>
          <w:lang w:bidi="fa-IR"/>
        </w:rPr>
        <w:t xml:space="preserve">, </w:t>
      </w:r>
      <w:r w:rsidR="00553221" w:rsidRPr="0004264F">
        <w:rPr>
          <w:rFonts w:cstheme="majorBidi"/>
          <w:szCs w:val="24"/>
          <w:lang w:bidi="fa-IR"/>
        </w:rPr>
        <w:t xml:space="preserve">including parental education and </w:t>
      </w:r>
      <w:r w:rsidR="00F76D6A" w:rsidRPr="0004264F">
        <w:rPr>
          <w:rFonts w:cstheme="majorBidi"/>
          <w:szCs w:val="24"/>
          <w:lang w:bidi="fa-IR"/>
        </w:rPr>
        <w:t xml:space="preserve">a </w:t>
      </w:r>
      <w:r w:rsidR="00553221" w:rsidRPr="0004264F">
        <w:rPr>
          <w:rFonts w:cstheme="majorBidi"/>
          <w:szCs w:val="24"/>
          <w:lang w:bidi="fa-IR"/>
        </w:rPr>
        <w:t>socioeconomic score that can be used in our balancing tests</w:t>
      </w:r>
      <w:r w:rsidR="00ED68CF" w:rsidRPr="0004264F">
        <w:rPr>
          <w:rFonts w:cstheme="majorBidi"/>
          <w:szCs w:val="24"/>
          <w:lang w:bidi="fa-IR"/>
        </w:rPr>
        <w:t>, in analysis of heterogeneous impacts by family resources,</w:t>
      </w:r>
      <w:r w:rsidR="00553221" w:rsidRPr="0004264F">
        <w:rPr>
          <w:rFonts w:cstheme="majorBidi"/>
          <w:szCs w:val="24"/>
          <w:lang w:bidi="fa-IR"/>
        </w:rPr>
        <w:t xml:space="preserve"> and adds </w:t>
      </w:r>
      <w:r w:rsidR="0087221D" w:rsidRPr="0004264F">
        <w:rPr>
          <w:rFonts w:cstheme="majorBidi"/>
          <w:szCs w:val="24"/>
          <w:lang w:bidi="fa-IR"/>
        </w:rPr>
        <w:t xml:space="preserve">the robustness </w:t>
      </w:r>
      <w:r w:rsidR="009B353A" w:rsidRPr="0004264F">
        <w:rPr>
          <w:rFonts w:cstheme="majorBidi"/>
          <w:szCs w:val="24"/>
          <w:lang w:bidi="fa-IR"/>
        </w:rPr>
        <w:t>to</w:t>
      </w:r>
      <w:r w:rsidR="0087221D" w:rsidRPr="0004264F">
        <w:rPr>
          <w:rFonts w:cstheme="majorBidi"/>
          <w:szCs w:val="24"/>
          <w:lang w:bidi="fa-IR"/>
        </w:rPr>
        <w:t xml:space="preserve"> </w:t>
      </w:r>
      <w:r w:rsidR="00553221" w:rsidRPr="0004264F">
        <w:rPr>
          <w:rFonts w:cstheme="majorBidi"/>
          <w:szCs w:val="24"/>
          <w:lang w:bidi="fa-IR"/>
        </w:rPr>
        <w:t xml:space="preserve">our identification strategy. </w:t>
      </w:r>
    </w:p>
    <w:p w14:paraId="474B3C28" w14:textId="110A4D29" w:rsidR="00531A5B" w:rsidRPr="0004264F" w:rsidRDefault="00553221" w:rsidP="007C038C">
      <w:pPr>
        <w:spacing w:after="120" w:line="480" w:lineRule="auto"/>
        <w:ind w:firstLine="720"/>
        <w:jc w:val="both"/>
        <w:rPr>
          <w:rFonts w:cstheme="majorBidi"/>
          <w:szCs w:val="24"/>
          <w:lang w:bidi="fa-IR"/>
        </w:rPr>
      </w:pPr>
      <w:r w:rsidRPr="0004264F">
        <w:rPr>
          <w:rFonts w:cstheme="majorBidi"/>
          <w:szCs w:val="24"/>
          <w:lang w:bidi="fa-IR"/>
        </w:rPr>
        <w:t xml:space="preserve">We proxy local economic conditions </w:t>
      </w:r>
      <w:r w:rsidR="00D00F76" w:rsidRPr="0004264F">
        <w:rPr>
          <w:rFonts w:cstheme="majorBidi"/>
          <w:szCs w:val="24"/>
          <w:lang w:bidi="fa-IR"/>
        </w:rPr>
        <w:t xml:space="preserve">using </w:t>
      </w:r>
      <w:r w:rsidRPr="0004264F">
        <w:rPr>
          <w:rFonts w:cstheme="majorBidi"/>
          <w:szCs w:val="24"/>
          <w:lang w:bidi="fa-IR"/>
        </w:rPr>
        <w:t>changes in bank deposits</w:t>
      </w:r>
      <w:r w:rsidR="00D07C35" w:rsidRPr="0004264F">
        <w:rPr>
          <w:rFonts w:cstheme="majorBidi"/>
          <w:szCs w:val="24"/>
          <w:lang w:bidi="fa-IR"/>
        </w:rPr>
        <w:t xml:space="preserve"> </w:t>
      </w:r>
      <w:r w:rsidR="00CC56ED" w:rsidRPr="0004264F">
        <w:rPr>
          <w:rFonts w:cstheme="majorBidi"/>
          <w:szCs w:val="24"/>
          <w:lang w:bidi="fa-IR"/>
        </w:rPr>
        <w:t xml:space="preserve">compiled by the Federal Deposit Insurance Corporation (FDIC) and </w:t>
      </w:r>
      <w:r w:rsidR="00D07C35" w:rsidRPr="0004264F">
        <w:rPr>
          <w:rFonts w:cstheme="majorBidi"/>
          <w:szCs w:val="24"/>
          <w:lang w:bidi="fa-IR"/>
        </w:rPr>
        <w:t xml:space="preserve">taken from </w:t>
      </w:r>
      <w:r w:rsidR="00D07C35" w:rsidRPr="0004264F">
        <w:rPr>
          <w:rFonts w:cstheme="majorBidi"/>
          <w:szCs w:val="24"/>
          <w:lang w:bidi="fa-IR"/>
        </w:rPr>
        <w:fldChar w:fldCharType="begin" w:fldLock="1"/>
      </w:r>
      <w:r w:rsidR="00591735" w:rsidRPr="0004264F">
        <w:rPr>
          <w:rFonts w:cstheme="majorBidi"/>
          <w:szCs w:val="24"/>
          <w:lang w:bidi="fa-IR"/>
        </w:rPr>
        <w:instrText>ADDIN CSL_CITATION {"citationItems":[{"id":"ITEM-1","itemData":{"author":[{"dropping-particle":"","family":"Manson","given":"Steven","non-dropping-particle":"","parse-names":false,"suffix":""},{"dropping-particle":"","family":"Schroeder","given":"Jonathan","non-dropping-particle":"","parse-names":false,"suffix":""},{"dropping-particle":"Van","family":"Riper","given":"David","non-dropping-particle":"","parse-names":false,"suffix":""},{"dropping-particle":"","family":"Ruggles","given":"Steven","non-dropping-particle":"","parse-names":false,"suffix":""},{"dropping-particle":"","family":"Others","given":"","non-dropping-particle":"","parse-names":false,"suffix":""},{"dropping-particle":"","family":"Riper","given":"David","non-dropping-particle":"Van","parse-names":false,"suffix":""},{"dropping-particle":"","family":"Ruggles","given":"Steven","non-dropping-particle":"","parse-names":false,"suffix":""},{"dropping-particle":"","family":"Others","given":"","non-dropping-particle":"","parse-names":false,"suffix":""}],"container-title":"Minneapolis: University of Minnesota","id":"ITEM-1","issued":{"date-parts":[["2017"]]},"page":"39","title":"IPUMS National Historical Geographic Information System: Version 12.0 [Database]","type":"article-journal"},"uris":["http://www.mendeley.com/documents/?uuid=f5602bcf-2065-4cd5-bdd7-723b1688a8e7"]}],"mendeley":{"formattedCitation":"(Manson et al., 2017)","manualFormatting":"Manson et al. (2017)","plainTextFormattedCitation":"(Manson et al., 2017)","previouslyFormattedCitation":"(Manson et al., 2017)"},"properties":{"noteIndex":0},"schema":"https://github.com/citation-style-language/schema/raw/master/csl-citation.json"}</w:instrText>
      </w:r>
      <w:r w:rsidR="00D07C35" w:rsidRPr="0004264F">
        <w:rPr>
          <w:rFonts w:cstheme="majorBidi"/>
          <w:szCs w:val="24"/>
          <w:lang w:bidi="fa-IR"/>
        </w:rPr>
        <w:fldChar w:fldCharType="separate"/>
      </w:r>
      <w:r w:rsidR="00D07C35" w:rsidRPr="0004264F">
        <w:rPr>
          <w:rFonts w:cstheme="majorBidi"/>
          <w:noProof/>
          <w:szCs w:val="24"/>
          <w:lang w:bidi="fa-IR"/>
        </w:rPr>
        <w:t>Manson et al</w:t>
      </w:r>
      <w:r w:rsidR="0008744A" w:rsidRPr="0004264F">
        <w:rPr>
          <w:rFonts w:cstheme="majorBidi"/>
          <w:noProof/>
          <w:szCs w:val="24"/>
          <w:lang w:bidi="fa-IR"/>
        </w:rPr>
        <w:t>. (</w:t>
      </w:r>
      <w:r w:rsidR="00D07C35" w:rsidRPr="0004264F">
        <w:rPr>
          <w:rFonts w:cstheme="majorBidi"/>
          <w:noProof/>
          <w:szCs w:val="24"/>
          <w:lang w:bidi="fa-IR"/>
        </w:rPr>
        <w:t>2017)</w:t>
      </w:r>
      <w:r w:rsidR="00D07C35" w:rsidRPr="0004264F">
        <w:rPr>
          <w:rFonts w:cstheme="majorBidi"/>
          <w:szCs w:val="24"/>
          <w:lang w:bidi="fa-IR"/>
        </w:rPr>
        <w:fldChar w:fldCharType="end"/>
      </w:r>
      <w:r w:rsidRPr="0004264F">
        <w:rPr>
          <w:rFonts w:cstheme="majorBidi"/>
          <w:szCs w:val="24"/>
          <w:lang w:bidi="fa-IR"/>
        </w:rPr>
        <w:t xml:space="preserve">. </w:t>
      </w:r>
      <w:r w:rsidR="007C038C" w:rsidRPr="0004264F">
        <w:rPr>
          <w:rFonts w:cstheme="majorBidi"/>
          <w:szCs w:val="24"/>
          <w:lang w:bidi="fa-IR"/>
        </w:rPr>
        <w:t xml:space="preserve">The data reports total annual deposits in all state and federal banks in each county (except Wyoming and DC) over the years 1920-1936 as of December of each year. </w:t>
      </w:r>
      <w:r w:rsidRPr="0004264F">
        <w:rPr>
          <w:rFonts w:cstheme="majorBidi"/>
          <w:szCs w:val="24"/>
          <w:lang w:bidi="fa-IR"/>
        </w:rPr>
        <w:t>Our choice of this proxy is based on two facts. First,</w:t>
      </w:r>
      <w:r w:rsidR="00FF725F" w:rsidRPr="0004264F">
        <w:rPr>
          <w:rFonts w:cstheme="majorBidi"/>
          <w:szCs w:val="24"/>
          <w:lang w:bidi="fa-IR"/>
        </w:rPr>
        <w:t xml:space="preserve"> </w:t>
      </w:r>
      <w:r w:rsidR="009928FB" w:rsidRPr="0004264F">
        <w:rPr>
          <w:rFonts w:cstheme="majorBidi"/>
          <w:szCs w:val="24"/>
          <w:lang w:bidi="fa-IR"/>
        </w:rPr>
        <w:t xml:space="preserve">later in the paper, we will illustrate the positive association between changes in bank deposits and similar proxies of state-level and county-level economic covariates. </w:t>
      </w:r>
      <w:r w:rsidRPr="0004264F">
        <w:rPr>
          <w:rFonts w:cstheme="majorBidi"/>
          <w:szCs w:val="24"/>
          <w:lang w:bidi="fa-IR"/>
        </w:rPr>
        <w:t xml:space="preserve">Second, similar studies show </w:t>
      </w:r>
      <w:r w:rsidR="00C35E38" w:rsidRPr="0004264F">
        <w:rPr>
          <w:rFonts w:cstheme="majorBidi"/>
          <w:szCs w:val="24"/>
          <w:lang w:bidi="fa-IR"/>
        </w:rPr>
        <w:t xml:space="preserve">an </w:t>
      </w:r>
      <w:r w:rsidRPr="0004264F">
        <w:rPr>
          <w:rFonts w:cstheme="majorBidi"/>
          <w:szCs w:val="24"/>
          <w:lang w:bidi="fa-IR"/>
        </w:rPr>
        <w:t xml:space="preserve">association between banking crises and city-level economic conditions during a similar period </w:t>
      </w:r>
      <w:r w:rsidRPr="0004264F">
        <w:rPr>
          <w:rFonts w:cstheme="majorBidi"/>
          <w:szCs w:val="24"/>
          <w:lang w:bidi="fa-IR"/>
        </w:rPr>
        <w:fldChar w:fldCharType="begin" w:fldLock="1"/>
      </w:r>
      <w:r w:rsidR="009F20BF" w:rsidRPr="0004264F">
        <w:rPr>
          <w:rFonts w:cstheme="majorBidi"/>
          <w:szCs w:val="24"/>
          <w:lang w:bidi="fa-IR"/>
        </w:rPr>
        <w:instrText>ADDIN CSL_CITATION {"citationItems":[{"id":"ITEM-1","itemData":{"DOI":"10.1136/JECH.2010.121376","ISSN":"0143-005X","PMID":"21441177","abstract":"Background Previous research suggests that the Great Depression led to improvements in public health. However, these studies rely on highly aggregated national data (using fewer than 25 data points) and potentially biased measures of the Great Depression. The authors assess the effects of the Great Depression using city-level estimates of US mortality and an underlying measure of economic crisis, bank suspensions, at the state level.\n\nMethods Cause-specific mortalities covering 114 US cities in 36 states between 1929 and 1937 were regressed against bank suspensions and income data from the Federal Deposit Insurance Corporation Database, using dynamic fixed-effects models and adjustments for potential confounding variables.\n\nResults Reductions in all-cause mortalities were mainly attributable to declines in death rates owing to pneumonia (26.4% of total), flu (13.1% of total) and respiratory tuberculosis (11.2% of total), while death rates increased from heart disease (19.4% of total), cancer (8.1% of total) and diabetes (2.9%). Only heart disease can plausibly relate to the contemporaneous economic shocks. The authors found that a higher rate of bank suspensions was significantly associated with higher suicide rates (β=0.32, 95% CI 0.24 to 0.41) but lower death rates from motor-vehicle accidents (β=−0.18, 95% CI −0.29 to −0.07); no significant effects were observed for 30 other causes of death or with a time lag.\n\nConclusion In contrast with existing research, the authors find that many of the changes in deaths from different causes during the Great Depression were unrelated to economic shocks. Further research is needed to understand the causes of the marked variations in mortality change across cities and states, including the effects of the New Deal and Prohibition.","author":[{"dropping-particle":"","family":"Stuckler","given":"David","non-dropping-particle":"","parse-names":false,"suffix":""},{"dropping-particle":"","family":"Meissner","given":"Christopher","non-dropping-particle":"","parse-names":false,"suffix":""},{"dropping-particle":"","family":"Fishback","given":"Price","non-dropping-particle":"","parse-names":false,"suffix":""},{"dropping-particle":"","family":"Basu","given":"Sanjay","non-dropping-particle":"","parse-names":false,"suffix":""},{"dropping-particle":"","family":"McKee","given":"Martin","non-dropping-particle":"","parse-names":false,"suffix":""}],"container-title":"J Epidemiol Community Health","id":"ITEM-1","issue":"5","issued":{"date-parts":[["2012","5","1"]]},"page":"410-419","publisher":"BMJ Publishing Group Ltd","title":"Banking crises and mortality during the Great Depression: evidence from US urban populations, 1929–1937","type":"article-journal","volume":"66"},"uris":["http://www.mendeley.com/documents/?uuid=6273afbb-dbe1-3bd8-a02f-6ca616beb7b4"]}],"mendeley":{"formattedCitation":"(Stuckler et al., 2012)","plainTextFormattedCitation":"(Stuckler et al., 2012)","previouslyFormattedCitation":"(Stuckler et al., 2012)"},"properties":{"noteIndex":0},"schema":"https://github.com/citation-style-language/schema/raw/master/csl-citation.json"}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(Stuckler et al., 2012)</w:t>
      </w:r>
      <w:r w:rsidRPr="0004264F">
        <w:rPr>
          <w:rFonts w:cstheme="majorBidi"/>
          <w:szCs w:val="24"/>
          <w:lang w:bidi="fa-IR"/>
        </w:rPr>
        <w:fldChar w:fldCharType="end"/>
      </w:r>
      <w:r w:rsidRPr="0004264F">
        <w:rPr>
          <w:rFonts w:cstheme="majorBidi"/>
          <w:szCs w:val="24"/>
          <w:lang w:bidi="fa-IR"/>
        </w:rPr>
        <w:t>.</w:t>
      </w:r>
      <w:r w:rsidR="009928FB" w:rsidRPr="0004264F">
        <w:rPr>
          <w:rFonts w:cstheme="majorBidi"/>
          <w:szCs w:val="24"/>
          <w:lang w:bidi="fa-IR"/>
        </w:rPr>
        <w:t xml:space="preserve"> </w:t>
      </w:r>
    </w:p>
    <w:p w14:paraId="079FFDF5" w14:textId="768374FD" w:rsidR="002A4A1B" w:rsidRPr="0004264F" w:rsidRDefault="007C038C" w:rsidP="00335AD3">
      <w:pPr>
        <w:spacing w:after="120" w:line="480" w:lineRule="auto"/>
        <w:ind w:firstLine="720"/>
        <w:jc w:val="both"/>
        <w:rPr>
          <w:rFonts w:cstheme="majorBidi"/>
          <w:szCs w:val="24"/>
          <w:lang w:bidi="fa-IR"/>
        </w:rPr>
      </w:pPr>
      <w:r w:rsidRPr="0004264F">
        <w:rPr>
          <w:rFonts w:cstheme="majorBidi"/>
          <w:szCs w:val="24"/>
          <w:lang w:bidi="fa-IR"/>
        </w:rPr>
        <w:t xml:space="preserve">To infer county of birth from the DMF-census sample, we </w:t>
      </w:r>
      <w:r w:rsidR="008F0250" w:rsidRPr="0004264F">
        <w:rPr>
          <w:rFonts w:cstheme="majorBidi"/>
          <w:szCs w:val="24"/>
          <w:lang w:bidi="fa-IR"/>
        </w:rPr>
        <w:t xml:space="preserve">take two approaches. First, we use cross-census linking rules provided by the Census Linking Project to merge 1940-census records with 1930-census. </w:t>
      </w:r>
      <w:r w:rsidR="00335AD3" w:rsidRPr="0004264F">
        <w:rPr>
          <w:rFonts w:cstheme="majorBidi"/>
          <w:szCs w:val="24"/>
          <w:lang w:bidi="fa-IR"/>
        </w:rPr>
        <w:t xml:space="preserve">In our sample, we are able to match </w:t>
      </w:r>
      <w:r w:rsidR="00FE0167" w:rsidRPr="0004264F">
        <w:rPr>
          <w:rFonts w:cstheme="majorBidi"/>
          <w:szCs w:val="24"/>
          <w:lang w:bidi="fa-IR"/>
        </w:rPr>
        <w:t>48</w:t>
      </w:r>
      <w:r w:rsidR="00335AD3" w:rsidRPr="0004264F">
        <w:rPr>
          <w:rFonts w:cstheme="majorBidi"/>
          <w:szCs w:val="24"/>
          <w:lang w:bidi="fa-IR"/>
        </w:rPr>
        <w:t xml:space="preserve"> percent of cohorts born 1926-1930 to their 1930 census records. For these matched records, we use county-of-residence in 1930 as county-of-birth. For unmatched cohorts of 1926-1930, and for all cohorts of 1931-1936, we </w:t>
      </w:r>
      <w:r w:rsidR="00335AD3" w:rsidRPr="0004264F">
        <w:rPr>
          <w:rFonts w:cstheme="majorBidi"/>
          <w:szCs w:val="24"/>
          <w:lang w:bidi="fa-IR"/>
        </w:rPr>
        <w:lastRenderedPageBreak/>
        <w:t xml:space="preserve">continue to infer the county-of-birth using the second approach. Specifically, we </w:t>
      </w:r>
      <w:r w:rsidRPr="0004264F">
        <w:rPr>
          <w:rFonts w:cstheme="majorBidi"/>
          <w:szCs w:val="24"/>
          <w:lang w:bidi="fa-IR"/>
        </w:rPr>
        <w:t xml:space="preserve">use information </w:t>
      </w:r>
      <w:r w:rsidR="00C35E38" w:rsidRPr="0004264F">
        <w:rPr>
          <w:rFonts w:cstheme="majorBidi"/>
          <w:szCs w:val="24"/>
          <w:lang w:bidi="fa-IR"/>
        </w:rPr>
        <w:t xml:space="preserve">from </w:t>
      </w:r>
      <w:r w:rsidRPr="0004264F">
        <w:rPr>
          <w:rFonts w:cstheme="majorBidi"/>
          <w:szCs w:val="24"/>
          <w:lang w:bidi="fa-IR"/>
        </w:rPr>
        <w:t>three variables</w:t>
      </w:r>
      <w:r w:rsidR="00335AD3" w:rsidRPr="0004264F">
        <w:rPr>
          <w:rFonts w:cstheme="majorBidi"/>
          <w:szCs w:val="24"/>
          <w:lang w:bidi="fa-IR"/>
        </w:rPr>
        <w:t xml:space="preserve"> reported in 1940-census</w:t>
      </w:r>
      <w:r w:rsidRPr="0004264F">
        <w:rPr>
          <w:rFonts w:cstheme="majorBidi"/>
          <w:szCs w:val="24"/>
          <w:lang w:bidi="fa-IR"/>
        </w:rPr>
        <w:t>. First, we use information on the county of residence in 1935 as the benchmark proxy for location of birth</w:t>
      </w:r>
      <w:r w:rsidR="00ED68CF" w:rsidRPr="0004264F">
        <w:rPr>
          <w:rFonts w:cstheme="majorBidi"/>
          <w:szCs w:val="24"/>
          <w:lang w:bidi="fa-IR"/>
        </w:rPr>
        <w:t xml:space="preserve"> using the fact that the 1940 Census </w:t>
      </w:r>
      <w:r w:rsidRPr="0004264F">
        <w:rPr>
          <w:rFonts w:cstheme="majorBidi"/>
          <w:szCs w:val="24"/>
          <w:lang w:bidi="fa-IR"/>
        </w:rPr>
        <w:t xml:space="preserve">reports the migration status </w:t>
      </w:r>
      <w:r w:rsidR="00C35E38" w:rsidRPr="0004264F">
        <w:rPr>
          <w:rFonts w:cstheme="majorBidi"/>
          <w:szCs w:val="24"/>
          <w:lang w:bidi="fa-IR"/>
        </w:rPr>
        <w:t xml:space="preserve">from </w:t>
      </w:r>
      <w:r w:rsidRPr="0004264F">
        <w:rPr>
          <w:rFonts w:cstheme="majorBidi"/>
          <w:szCs w:val="24"/>
          <w:lang w:bidi="fa-IR"/>
        </w:rPr>
        <w:t>five year</w:t>
      </w:r>
      <w:r w:rsidR="00C35E38" w:rsidRPr="0004264F">
        <w:rPr>
          <w:rFonts w:cstheme="majorBidi"/>
          <w:szCs w:val="24"/>
          <w:lang w:bidi="fa-IR"/>
        </w:rPr>
        <w:t>s prior</w:t>
      </w:r>
      <w:r w:rsidRPr="0004264F">
        <w:rPr>
          <w:rFonts w:cstheme="majorBidi"/>
          <w:szCs w:val="24"/>
          <w:lang w:bidi="fa-IR"/>
        </w:rPr>
        <w:t xml:space="preserve">. </w:t>
      </w:r>
      <w:r w:rsidR="00ED68CF" w:rsidRPr="0004264F">
        <w:rPr>
          <w:rFonts w:cstheme="majorBidi"/>
          <w:szCs w:val="24"/>
          <w:lang w:bidi="fa-IR"/>
        </w:rPr>
        <w:t xml:space="preserve">Second, we </w:t>
      </w:r>
      <w:r w:rsidRPr="0004264F">
        <w:rPr>
          <w:rFonts w:cstheme="majorBidi"/>
          <w:szCs w:val="24"/>
          <w:lang w:bidi="fa-IR"/>
        </w:rPr>
        <w:t>use county of residence in 1940 if the individual report</w:t>
      </w:r>
      <w:r w:rsidR="00D00F76" w:rsidRPr="0004264F">
        <w:rPr>
          <w:rFonts w:cstheme="majorBidi"/>
          <w:szCs w:val="24"/>
          <w:lang w:bidi="fa-IR"/>
        </w:rPr>
        <w:t>ed</w:t>
      </w:r>
      <w:r w:rsidRPr="0004264F">
        <w:rPr>
          <w:rFonts w:cstheme="majorBidi"/>
          <w:szCs w:val="24"/>
          <w:lang w:bidi="fa-IR"/>
        </w:rPr>
        <w:t xml:space="preserve"> having stayed in the same house since 1935. </w:t>
      </w:r>
      <w:r w:rsidR="00ED4B0B" w:rsidRPr="0004264F">
        <w:rPr>
          <w:rFonts w:cstheme="majorBidi"/>
          <w:szCs w:val="24"/>
          <w:lang w:bidi="fa-IR"/>
        </w:rPr>
        <w:t xml:space="preserve">Third, if the migration status is missing and the person’s </w:t>
      </w:r>
      <w:r w:rsidR="00D80FFD" w:rsidRPr="0004264F">
        <w:rPr>
          <w:rFonts w:cstheme="majorBidi"/>
          <w:szCs w:val="24"/>
          <w:lang w:bidi="fa-IR"/>
        </w:rPr>
        <w:t>state of birth</w:t>
      </w:r>
      <w:r w:rsidR="00ED4B0B" w:rsidRPr="0004264F">
        <w:rPr>
          <w:rFonts w:cstheme="majorBidi"/>
          <w:szCs w:val="24"/>
          <w:lang w:bidi="fa-IR"/>
        </w:rPr>
        <w:t xml:space="preserve"> is the same as </w:t>
      </w:r>
      <w:r w:rsidR="00D80FFD" w:rsidRPr="0004264F">
        <w:rPr>
          <w:rFonts w:cstheme="majorBidi"/>
          <w:szCs w:val="24"/>
          <w:lang w:bidi="fa-IR"/>
        </w:rPr>
        <w:t>state of residence</w:t>
      </w:r>
      <w:r w:rsidR="00ED4B0B" w:rsidRPr="0004264F">
        <w:rPr>
          <w:rFonts w:cstheme="majorBidi"/>
          <w:szCs w:val="24"/>
          <w:lang w:bidi="fa-IR"/>
        </w:rPr>
        <w:t xml:space="preserve"> in 1940, we again use county of residence in 1940 as the proxy for </w:t>
      </w:r>
      <w:r w:rsidR="00D80FFD" w:rsidRPr="0004264F">
        <w:rPr>
          <w:rFonts w:cstheme="majorBidi"/>
          <w:szCs w:val="24"/>
          <w:lang w:bidi="fa-IR"/>
        </w:rPr>
        <w:t xml:space="preserve">the </w:t>
      </w:r>
      <w:r w:rsidR="00ED4B0B" w:rsidRPr="0004264F">
        <w:rPr>
          <w:rFonts w:cstheme="majorBidi"/>
          <w:szCs w:val="24"/>
          <w:lang w:bidi="fa-IR"/>
        </w:rPr>
        <w:t xml:space="preserve">county of birth. To further </w:t>
      </w:r>
      <w:r w:rsidR="007D006D" w:rsidRPr="0004264F">
        <w:rPr>
          <w:rFonts w:cstheme="majorBidi"/>
          <w:szCs w:val="24"/>
          <w:lang w:bidi="fa-IR"/>
        </w:rPr>
        <w:t xml:space="preserve">reduce </w:t>
      </w:r>
      <w:r w:rsidR="00ED4B0B" w:rsidRPr="0004264F">
        <w:rPr>
          <w:rFonts w:cstheme="majorBidi"/>
          <w:szCs w:val="24"/>
          <w:lang w:bidi="fa-IR"/>
        </w:rPr>
        <w:t>the migration issue, we limit the sample to children up to 1</w:t>
      </w:r>
      <w:r w:rsidR="00E568DA" w:rsidRPr="0004264F">
        <w:rPr>
          <w:rFonts w:cstheme="majorBidi"/>
          <w:szCs w:val="24"/>
          <w:lang w:bidi="fa-IR"/>
        </w:rPr>
        <w:t>5</w:t>
      </w:r>
      <w:r w:rsidR="00ED4B0B" w:rsidRPr="0004264F">
        <w:rPr>
          <w:rFonts w:cstheme="majorBidi"/>
          <w:szCs w:val="24"/>
          <w:lang w:bidi="fa-IR"/>
        </w:rPr>
        <w:t xml:space="preserve"> years old</w:t>
      </w:r>
      <w:r w:rsidR="004B3F26" w:rsidRPr="0004264F">
        <w:rPr>
          <w:rFonts w:cstheme="majorBidi"/>
          <w:szCs w:val="24"/>
          <w:lang w:bidi="fa-IR"/>
        </w:rPr>
        <w:t xml:space="preserve"> as older children usually leave their original household. </w:t>
      </w:r>
      <w:r w:rsidR="00A75E19" w:rsidRPr="0004264F">
        <w:rPr>
          <w:rFonts w:cstheme="majorBidi"/>
          <w:szCs w:val="24"/>
          <w:lang w:bidi="fa-IR"/>
        </w:rPr>
        <w:t>Doing so will</w:t>
      </w:r>
      <w:r w:rsidR="004B3F26" w:rsidRPr="0004264F">
        <w:rPr>
          <w:rFonts w:cstheme="majorBidi"/>
          <w:szCs w:val="24"/>
          <w:lang w:bidi="fa-IR"/>
        </w:rPr>
        <w:t xml:space="preserve"> limit the sample to cohorts born after 192</w:t>
      </w:r>
      <w:r w:rsidR="00E340DA" w:rsidRPr="0004264F">
        <w:rPr>
          <w:rFonts w:cstheme="majorBidi"/>
          <w:szCs w:val="24"/>
          <w:lang w:bidi="fa-IR"/>
        </w:rPr>
        <w:t>6</w:t>
      </w:r>
      <w:r w:rsidR="00522FD3" w:rsidRPr="0004264F">
        <w:rPr>
          <w:rFonts w:cstheme="majorBidi"/>
          <w:szCs w:val="24"/>
          <w:lang w:bidi="fa-IR"/>
        </w:rPr>
        <w:t>.</w:t>
      </w:r>
    </w:p>
    <w:p w14:paraId="4D4CD988" w14:textId="7B84BA4E" w:rsidR="002A4A1B" w:rsidRPr="0004264F" w:rsidRDefault="002A4A1B" w:rsidP="00D1090E">
      <w:pPr>
        <w:spacing w:after="120" w:line="480" w:lineRule="auto"/>
        <w:ind w:firstLine="720"/>
        <w:jc w:val="both"/>
        <w:rPr>
          <w:rFonts w:cstheme="majorBidi"/>
          <w:szCs w:val="24"/>
          <w:lang w:bidi="fa-IR"/>
        </w:rPr>
      </w:pPr>
      <w:r w:rsidRPr="0004264F">
        <w:rPr>
          <w:rFonts w:cstheme="majorBidi"/>
          <w:szCs w:val="24"/>
          <w:lang w:bidi="fa-IR"/>
        </w:rPr>
        <w:t>Since our purpose is to explore in-utero exposures, we calculate a weighted average of deposits for the nine months</w:t>
      </w:r>
      <w:r w:rsidR="00C35E38" w:rsidRPr="0004264F">
        <w:rPr>
          <w:rFonts w:cstheme="majorBidi"/>
          <w:szCs w:val="24"/>
          <w:lang w:bidi="fa-IR"/>
        </w:rPr>
        <w:t xml:space="preserve"> before birth</w:t>
      </w:r>
      <w:r w:rsidRPr="0004264F">
        <w:rPr>
          <w:rFonts w:cstheme="majorBidi"/>
          <w:szCs w:val="24"/>
          <w:lang w:bidi="fa-IR"/>
        </w:rPr>
        <w:t xml:space="preserve">, assuming an average of nine months of </w:t>
      </w:r>
      <w:r w:rsidR="00C35E38" w:rsidRPr="0004264F">
        <w:rPr>
          <w:rFonts w:cstheme="majorBidi"/>
          <w:szCs w:val="24"/>
          <w:lang w:bidi="fa-IR"/>
        </w:rPr>
        <w:t>gestation</w:t>
      </w:r>
      <w:r w:rsidRPr="0004264F">
        <w:rPr>
          <w:rFonts w:cstheme="majorBidi"/>
          <w:szCs w:val="24"/>
          <w:lang w:bidi="fa-IR"/>
        </w:rPr>
        <w:t>.</w:t>
      </w:r>
      <w:r w:rsidR="00ED4B0B" w:rsidRPr="0004264F">
        <w:rPr>
          <w:rFonts w:cstheme="majorBidi"/>
          <w:szCs w:val="24"/>
          <w:lang w:bidi="fa-IR"/>
        </w:rPr>
        <w:t xml:space="preserve"> </w:t>
      </w:r>
      <w:r w:rsidR="00D1090E" w:rsidRPr="0004264F">
        <w:rPr>
          <w:rFonts w:cstheme="majorBidi"/>
          <w:szCs w:val="24"/>
          <w:lang w:bidi="fa-IR"/>
        </w:rPr>
        <w:t>In so doing, we assign the current year of deposits to our in-utero deposit measure for months of October through December. For other months, the in-utero measure is a weighted average of current and previous year’s deposits</w:t>
      </w:r>
      <w:r w:rsidR="00C35E38" w:rsidRPr="0004264F">
        <w:rPr>
          <w:rFonts w:cstheme="majorBidi"/>
          <w:szCs w:val="24"/>
          <w:lang w:bidi="fa-IR"/>
        </w:rPr>
        <w:t>,</w:t>
      </w:r>
      <w:r w:rsidR="00D1090E" w:rsidRPr="0004264F">
        <w:rPr>
          <w:rFonts w:cstheme="majorBidi"/>
          <w:szCs w:val="24"/>
          <w:lang w:bidi="fa-IR"/>
        </w:rPr>
        <w:t xml:space="preserve"> where weights are based on </w:t>
      </w:r>
      <w:r w:rsidR="00C35E38" w:rsidRPr="0004264F">
        <w:rPr>
          <w:rFonts w:cstheme="majorBidi"/>
          <w:szCs w:val="24"/>
          <w:lang w:bidi="fa-IR"/>
        </w:rPr>
        <w:t>the number of</w:t>
      </w:r>
      <w:r w:rsidR="00D1090E" w:rsidRPr="0004264F">
        <w:rPr>
          <w:rFonts w:cstheme="majorBidi"/>
          <w:szCs w:val="24"/>
          <w:lang w:bidi="fa-IR"/>
        </w:rPr>
        <w:t xml:space="preserve"> months of a year </w:t>
      </w:r>
      <w:r w:rsidR="00C35E38" w:rsidRPr="0004264F">
        <w:rPr>
          <w:rFonts w:cstheme="majorBidi"/>
          <w:szCs w:val="24"/>
          <w:lang w:bidi="fa-IR"/>
        </w:rPr>
        <w:t xml:space="preserve">that overlap </w:t>
      </w:r>
      <w:r w:rsidR="00D1090E" w:rsidRPr="0004264F">
        <w:rPr>
          <w:rFonts w:cstheme="majorBidi"/>
          <w:szCs w:val="24"/>
          <w:lang w:bidi="fa-IR"/>
        </w:rPr>
        <w:t>with the last nine-month period. For instance, March deposits takes three-ninth</w:t>
      </w:r>
      <w:r w:rsidR="00C35E38" w:rsidRPr="0004264F">
        <w:rPr>
          <w:rFonts w:cstheme="majorBidi"/>
          <w:szCs w:val="24"/>
          <w:lang w:bidi="fa-IR"/>
        </w:rPr>
        <w:t>s</w:t>
      </w:r>
      <w:r w:rsidR="00D1090E" w:rsidRPr="0004264F">
        <w:rPr>
          <w:rFonts w:cstheme="majorBidi"/>
          <w:szCs w:val="24"/>
          <w:lang w:bidi="fa-IR"/>
        </w:rPr>
        <w:t xml:space="preserve"> of </w:t>
      </w:r>
      <w:r w:rsidR="00C35E38" w:rsidRPr="0004264F">
        <w:rPr>
          <w:rFonts w:cstheme="majorBidi"/>
          <w:szCs w:val="24"/>
          <w:lang w:bidi="fa-IR"/>
        </w:rPr>
        <w:t xml:space="preserve">the </w:t>
      </w:r>
      <w:r w:rsidR="00D1090E" w:rsidRPr="0004264F">
        <w:rPr>
          <w:rFonts w:cstheme="majorBidi"/>
          <w:szCs w:val="24"/>
          <w:lang w:bidi="fa-IR"/>
        </w:rPr>
        <w:t>current year’s deposits and six-ninth</w:t>
      </w:r>
      <w:r w:rsidR="00C35E38" w:rsidRPr="0004264F">
        <w:rPr>
          <w:rFonts w:cstheme="majorBidi"/>
          <w:szCs w:val="24"/>
          <w:lang w:bidi="fa-IR"/>
        </w:rPr>
        <w:t>s</w:t>
      </w:r>
      <w:r w:rsidR="00D1090E" w:rsidRPr="0004264F">
        <w:rPr>
          <w:rFonts w:cstheme="majorBidi"/>
          <w:szCs w:val="24"/>
          <w:lang w:bidi="fa-IR"/>
        </w:rPr>
        <w:t xml:space="preserve"> of the previous year’s deposits. </w:t>
      </w:r>
      <w:r w:rsidRPr="0004264F">
        <w:rPr>
          <w:rFonts w:cstheme="majorBidi"/>
          <w:szCs w:val="24"/>
          <w:lang w:bidi="fa-IR"/>
        </w:rPr>
        <w:t>We</w:t>
      </w:r>
      <w:r w:rsidR="00D1090E" w:rsidRPr="0004264F">
        <w:rPr>
          <w:rFonts w:cstheme="majorBidi"/>
          <w:szCs w:val="24"/>
          <w:lang w:bidi="fa-IR"/>
        </w:rPr>
        <w:t xml:space="preserve"> then</w:t>
      </w:r>
      <w:r w:rsidRPr="0004264F">
        <w:rPr>
          <w:rFonts w:cstheme="majorBidi"/>
          <w:szCs w:val="24"/>
          <w:lang w:bidi="fa-IR"/>
        </w:rPr>
        <w:t xml:space="preserve"> merge DMF-census sample to bank deposit data based on inferred county-of-birth and the weighted average of previous nine-month </w:t>
      </w:r>
      <w:r w:rsidR="009C4306" w:rsidRPr="0004264F">
        <w:rPr>
          <w:rFonts w:cstheme="majorBidi"/>
          <w:szCs w:val="24"/>
          <w:lang w:bidi="fa-IR"/>
        </w:rPr>
        <w:t>deposits</w:t>
      </w:r>
      <w:r w:rsidRPr="0004264F">
        <w:rPr>
          <w:rFonts w:cstheme="majorBidi"/>
          <w:szCs w:val="24"/>
          <w:lang w:bidi="fa-IR"/>
        </w:rPr>
        <w:t>.</w:t>
      </w:r>
    </w:p>
    <w:p w14:paraId="2C24E87F" w14:textId="2E51638F" w:rsidR="006E03A6" w:rsidRPr="0004264F" w:rsidRDefault="006E03A6" w:rsidP="00D1090E">
      <w:pPr>
        <w:spacing w:after="120" w:line="480" w:lineRule="auto"/>
        <w:ind w:firstLine="720"/>
        <w:jc w:val="both"/>
        <w:rPr>
          <w:rFonts w:cstheme="majorBidi"/>
          <w:szCs w:val="24"/>
          <w:lang w:bidi="fa-IR"/>
        </w:rPr>
      </w:pPr>
      <w:r w:rsidRPr="0004264F">
        <w:rPr>
          <w:rFonts w:cstheme="majorBidi"/>
          <w:szCs w:val="24"/>
          <w:lang w:bidi="fa-IR"/>
        </w:rPr>
        <w:t xml:space="preserve">To control for other county-level sociodemographic changes, we use full-count decennial censuses from </w:t>
      </w:r>
      <w:r w:rsidRPr="0004264F">
        <w:rPr>
          <w:rFonts w:cstheme="majorBidi"/>
          <w:szCs w:val="24"/>
          <w:lang w:bidi="fa-IR"/>
        </w:rPr>
        <w:fldChar w:fldCharType="begin" w:fldLock="1"/>
      </w:r>
      <w:r w:rsidRPr="0004264F">
        <w:rPr>
          <w:rFonts w:cstheme="majorBidi"/>
          <w:szCs w:val="24"/>
          <w:lang w:bidi="fa-IR"/>
        </w:rPr>
        <w:instrText>ADDIN CSL_CITATION {"citationItems":[{"id":"ITEM-1","itemData":{"author":[{"dropping-particle":"","family":"Ruggles","given":"Steven","non-dropping-particle":"","parse-names":false,"suffix":""},{"dropping-particle":"","family":"Flood","given":"Sarah","non-dropping-particle":"","parse-names":false,"suffix":""},{"dropping-particle":"","family":"Goeken","given":"Ronald","non-dropping-particle":"","parse-names":false,"suffix":""},{"dropping-particle":"","family":"Grover","given":"Josiah","non-dropping-particle":"","parse-names":false,"suffix":""},{"dropping-particle":"","family":"Meyer","given":"Erin","non-dropping-particle":"","parse-names":false,"suffix":""}],"container-title":"Minneapolis, MN: IPUMS","id":"ITEM-1","issued":{"date-parts":[["2020"]]},"title":"IPUMS USA: Version 10.0 [dataset].","type":"article-journal"},"uris":["http://www.mendeley.com/documents/?uuid=341de411-e72e-3f4b-9c1c-26bb79663571"]}],"mendeley":{"formattedCitation":"(Ruggles et al., 2020)","manualFormatting":"Ruggles et al. (2020)","plainTextFormattedCitation":"(Ruggles et al., 2020)","previouslyFormattedCitation":"(Ruggles et al., 2020)"},"properties":{"noteIndex":0},"schema":"https://github.com/citation-style-language/schema/raw/master/csl-citation.json"}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Ruggles et al. (2020)</w:t>
      </w:r>
      <w:r w:rsidRPr="0004264F">
        <w:rPr>
          <w:rFonts w:cstheme="majorBidi"/>
          <w:szCs w:val="24"/>
          <w:lang w:bidi="fa-IR"/>
        </w:rPr>
        <w:fldChar w:fldCharType="end"/>
      </w:r>
      <w:r w:rsidRPr="0004264F">
        <w:rPr>
          <w:rFonts w:cstheme="majorBidi"/>
          <w:szCs w:val="24"/>
          <w:lang w:bidi="fa-IR"/>
        </w:rPr>
        <w:t xml:space="preserve"> for the decennial years 1920-1940. We then linearly interpolate covariates for inter-decennial years. Moreover, for the analysis to explore the association of bank deposits with other economic variables, we use county-level retail sale per capita and state-level income per capita extracted from </w:t>
      </w:r>
      <w:r w:rsidRPr="0004264F">
        <w:rPr>
          <w:rFonts w:cstheme="majorBidi"/>
          <w:szCs w:val="24"/>
          <w:lang w:bidi="fa-IR"/>
        </w:rPr>
        <w:fldChar w:fldCharType="begin" w:fldLock="1"/>
      </w:r>
      <w:r w:rsidR="00314766" w:rsidRPr="0004264F">
        <w:rPr>
          <w:rFonts w:cstheme="majorBidi"/>
          <w:szCs w:val="24"/>
          <w:lang w:bidi="fa-IR"/>
        </w:rPr>
        <w:instrText>ADDIN CSL_CITATION {"citationItems":[{"id":"ITEM-1","itemData":{"DOI":"10.1162/REST.89.1.1","ISSN":"0034-6535","abstract":"The article examines the impact of New Deal relief programs on infant mortality, non-infant mortality, and general fertility rates in major U.S. cities between 1929 and 1940. Effects are estimated using a variety of specifications and techniques for a panel of 114 cities that reported information on relief spending between 1929 and 1940. The significant rise in relief spending during the New Deal contributed to reductions in infant mortality, suicide rates, and some other causes of death, while contributing to increases in the general fertility rate. Similar to Ruhm's (2000) findings for the modern United States, the article finds that many types of death rates were pro-cyclical during the 1930s. Estimates of the relief costs associated with saving a life (adjusted for inflation) are similar to those found in studies of modern social insurance programs. © 2007 by the President and Fellows of Harvard College and the Massachusetts Institute of Technology.","author":[{"dropping-particle":"V.","family":"Fishback","given":"Price","non-dropping-particle":"","parse-names":false,"suffix":""},{"dropping-particle":"","family":"Haines","given":"Michael R.","non-dropping-particle":"","parse-names":false,"suffix":""},{"dropping-particle":"","family":"Kantor","given":"Shawn","non-dropping-particle":"","parse-names":false,"suffix":""}],"container-title":"The Review of Economics and Statistics","id":"ITEM-1","issue":"1","issued":{"date-parts":[["2007","2","1"]]},"page":"1-14","publisher":"MIT Press","title":"Births, Deaths, and New Deal Relief during the Great Depression","type":"article-journal","volume":"89"},"uris":["http://www.mendeley.com/documents/?uuid=7af75157-3dc7-37af-bcd8-5ffcdd4156a4"]}],"mendeley":{"formattedCitation":"(Fishback et al., 2007)","manualFormatting":"Fishback et al. (2007)","plainTextFormattedCitation":"(Fishback et al., 2007)","previouslyFormattedCitation":"(Fishback et al., 2007)"},"properties":{"noteIndex":0},"schema":"https://github.com/citation-style-language/schema/raw/master/csl-citation.json"}</w:instrText>
      </w:r>
      <w:r w:rsidRPr="0004264F">
        <w:rPr>
          <w:rFonts w:cstheme="majorBidi"/>
          <w:szCs w:val="24"/>
          <w:lang w:bidi="fa-IR"/>
        </w:rPr>
        <w:fldChar w:fldCharType="separate"/>
      </w:r>
      <w:r w:rsidRPr="0004264F">
        <w:rPr>
          <w:rFonts w:cstheme="majorBidi"/>
          <w:noProof/>
          <w:szCs w:val="24"/>
          <w:lang w:bidi="fa-IR"/>
        </w:rPr>
        <w:t>Fishback et al. (2007)</w:t>
      </w:r>
      <w:r w:rsidRPr="0004264F">
        <w:rPr>
          <w:rFonts w:cstheme="majorBidi"/>
          <w:szCs w:val="24"/>
          <w:lang w:bidi="fa-IR"/>
        </w:rPr>
        <w:fldChar w:fldCharType="end"/>
      </w:r>
      <w:r w:rsidRPr="0004264F">
        <w:rPr>
          <w:rFonts w:cstheme="majorBidi"/>
          <w:szCs w:val="24"/>
          <w:lang w:bidi="fa-IR"/>
        </w:rPr>
        <w:t>.</w:t>
      </w:r>
    </w:p>
    <w:p w14:paraId="57187F79" w14:textId="32FAC700" w:rsidR="00204C5C" w:rsidRPr="0004264F" w:rsidRDefault="00AF7986" w:rsidP="009D11D4">
      <w:pPr>
        <w:spacing w:after="120" w:line="480" w:lineRule="auto"/>
        <w:ind w:firstLine="720"/>
        <w:jc w:val="both"/>
        <w:rPr>
          <w:rFonts w:cstheme="majorBidi"/>
          <w:b/>
          <w:bCs/>
          <w:sz w:val="28"/>
          <w:szCs w:val="28"/>
          <w:lang w:bidi="fa-IR"/>
        </w:rPr>
      </w:pPr>
      <w:r w:rsidRPr="0004264F">
        <w:rPr>
          <w:rFonts w:cstheme="majorBidi"/>
          <w:szCs w:val="24"/>
          <w:lang w:bidi="fa-IR"/>
        </w:rPr>
        <w:lastRenderedPageBreak/>
        <w:t xml:space="preserve">The final sample includes </w:t>
      </w:r>
      <w:r w:rsidR="00E340DA" w:rsidRPr="0004264F">
        <w:rPr>
          <w:rFonts w:cstheme="majorBidi"/>
          <w:szCs w:val="24"/>
          <w:lang w:bidi="fa-IR"/>
        </w:rPr>
        <w:t>1,221,113</w:t>
      </w:r>
      <w:r w:rsidR="003B4625" w:rsidRPr="0004264F">
        <w:rPr>
          <w:rFonts w:cstheme="majorBidi"/>
          <w:szCs w:val="24"/>
          <w:lang w:bidi="fa-IR"/>
        </w:rPr>
        <w:t xml:space="preserve"> </w:t>
      </w:r>
      <w:r w:rsidR="00F6483B" w:rsidRPr="0004264F">
        <w:rPr>
          <w:rFonts w:cstheme="majorBidi"/>
          <w:szCs w:val="24"/>
          <w:lang w:bidi="fa-IR"/>
        </w:rPr>
        <w:t xml:space="preserve">individuals </w:t>
      </w:r>
      <w:r w:rsidR="003B4625" w:rsidRPr="0004264F">
        <w:rPr>
          <w:rFonts w:cstheme="majorBidi"/>
          <w:szCs w:val="24"/>
          <w:lang w:bidi="fa-IR"/>
        </w:rPr>
        <w:t xml:space="preserve">from </w:t>
      </w:r>
      <w:r w:rsidR="00973F69" w:rsidRPr="0004264F">
        <w:rPr>
          <w:rFonts w:cstheme="majorBidi"/>
          <w:szCs w:val="24"/>
          <w:lang w:bidi="fa-IR"/>
        </w:rPr>
        <w:t>3,042</w:t>
      </w:r>
      <w:r w:rsidR="003B4625" w:rsidRPr="0004264F">
        <w:rPr>
          <w:rFonts w:cstheme="majorBidi"/>
          <w:szCs w:val="24"/>
          <w:lang w:bidi="fa-IR"/>
        </w:rPr>
        <w:t xml:space="preserve"> counties in 47 states born between 192</w:t>
      </w:r>
      <w:r w:rsidR="00E340DA" w:rsidRPr="0004264F">
        <w:rPr>
          <w:rFonts w:cstheme="majorBidi"/>
          <w:szCs w:val="24"/>
          <w:lang w:bidi="fa-IR"/>
        </w:rPr>
        <w:t>6</w:t>
      </w:r>
      <w:r w:rsidR="003B4625" w:rsidRPr="0004264F">
        <w:rPr>
          <w:rFonts w:cstheme="majorBidi"/>
          <w:szCs w:val="24"/>
          <w:lang w:bidi="fa-IR"/>
        </w:rPr>
        <w:t>-19</w:t>
      </w:r>
      <w:r w:rsidR="00A06094" w:rsidRPr="0004264F">
        <w:rPr>
          <w:rFonts w:cstheme="majorBidi"/>
          <w:szCs w:val="24"/>
          <w:lang w:bidi="fa-IR"/>
        </w:rPr>
        <w:t>36</w:t>
      </w:r>
      <w:r w:rsidR="003B4625" w:rsidRPr="0004264F">
        <w:rPr>
          <w:rFonts w:cstheme="majorBidi"/>
          <w:szCs w:val="24"/>
          <w:lang w:bidi="fa-IR"/>
        </w:rPr>
        <w:t xml:space="preserve"> </w:t>
      </w:r>
      <w:r w:rsidR="00F6483B" w:rsidRPr="0004264F">
        <w:rPr>
          <w:rFonts w:cstheme="majorBidi"/>
          <w:szCs w:val="24"/>
          <w:lang w:bidi="fa-IR"/>
        </w:rPr>
        <w:t xml:space="preserve">who </w:t>
      </w:r>
      <w:r w:rsidR="003B4625" w:rsidRPr="0004264F">
        <w:rPr>
          <w:rFonts w:cstheme="majorBidi"/>
          <w:szCs w:val="24"/>
          <w:lang w:bidi="fa-IR"/>
        </w:rPr>
        <w:t>died between 19</w:t>
      </w:r>
      <w:r w:rsidR="00973F69" w:rsidRPr="0004264F">
        <w:rPr>
          <w:rFonts w:cstheme="majorBidi"/>
          <w:szCs w:val="24"/>
          <w:lang w:bidi="fa-IR"/>
        </w:rPr>
        <w:t>75</w:t>
      </w:r>
      <w:r w:rsidR="003B4625" w:rsidRPr="0004264F">
        <w:rPr>
          <w:rFonts w:cstheme="majorBidi"/>
          <w:szCs w:val="24"/>
          <w:lang w:bidi="fa-IR"/>
        </w:rPr>
        <w:t>-2005.</w:t>
      </w:r>
      <w:r w:rsidR="00D07C35" w:rsidRPr="0004264F">
        <w:rPr>
          <w:rStyle w:val="FootnoteReference"/>
          <w:rFonts w:cstheme="majorBidi"/>
          <w:szCs w:val="24"/>
          <w:lang w:bidi="fa-IR"/>
        </w:rPr>
        <w:footnoteReference w:id="10"/>
      </w:r>
      <w:r w:rsidR="00D07C35" w:rsidRPr="0004264F">
        <w:rPr>
          <w:rFonts w:cstheme="majorBidi"/>
          <w:szCs w:val="24"/>
          <w:lang w:bidi="fa-IR"/>
        </w:rPr>
        <w:t xml:space="preserve"> Summary statistics </w:t>
      </w:r>
      <w:r w:rsidR="003E5780" w:rsidRPr="0004264F">
        <w:rPr>
          <w:rFonts w:cstheme="majorBidi"/>
          <w:szCs w:val="24"/>
          <w:lang w:bidi="fa-IR"/>
        </w:rPr>
        <w:t xml:space="preserve">of the final sample </w:t>
      </w:r>
      <w:r w:rsidR="00F6483B" w:rsidRPr="0004264F">
        <w:rPr>
          <w:rFonts w:cstheme="majorBidi"/>
          <w:szCs w:val="24"/>
          <w:lang w:bidi="fa-IR"/>
        </w:rPr>
        <w:t xml:space="preserve">are </w:t>
      </w:r>
      <w:r w:rsidR="003E5780" w:rsidRPr="0004264F">
        <w:rPr>
          <w:rFonts w:cstheme="majorBidi"/>
          <w:szCs w:val="24"/>
          <w:lang w:bidi="fa-IR"/>
        </w:rPr>
        <w:t xml:space="preserve">reported in </w:t>
      </w:r>
      <w:r w:rsidR="003E5780" w:rsidRPr="0004264F">
        <w:rPr>
          <w:rFonts w:cstheme="majorBidi"/>
          <w:szCs w:val="24"/>
          <w:lang w:bidi="fa-IR"/>
        </w:rPr>
        <w:fldChar w:fldCharType="begin"/>
      </w:r>
      <w:r w:rsidR="003E5780" w:rsidRPr="0004264F">
        <w:rPr>
          <w:rFonts w:cstheme="majorBidi"/>
          <w:szCs w:val="24"/>
          <w:lang w:bidi="fa-IR"/>
        </w:rPr>
        <w:instrText xml:space="preserve"> REF _Ref97676908 \h </w:instrText>
      </w:r>
      <w:r w:rsidR="00C61E40" w:rsidRPr="0004264F">
        <w:rPr>
          <w:rFonts w:cstheme="majorBidi"/>
          <w:szCs w:val="24"/>
          <w:lang w:bidi="fa-IR"/>
        </w:rPr>
        <w:instrText xml:space="preserve"> \* MERGEFORMAT </w:instrText>
      </w:r>
      <w:r w:rsidR="003E5780" w:rsidRPr="0004264F">
        <w:rPr>
          <w:rFonts w:cstheme="majorBidi"/>
          <w:szCs w:val="24"/>
          <w:lang w:bidi="fa-IR"/>
        </w:rPr>
      </w:r>
      <w:r w:rsidR="003E5780" w:rsidRPr="0004264F">
        <w:rPr>
          <w:rFonts w:cstheme="majorBidi"/>
          <w:szCs w:val="24"/>
          <w:lang w:bidi="fa-IR"/>
        </w:rPr>
        <w:fldChar w:fldCharType="separate"/>
      </w:r>
      <w:r w:rsidR="00CA5B9D" w:rsidRPr="0004264F">
        <w:rPr>
          <w:rFonts w:cstheme="majorBidi"/>
        </w:rPr>
        <w:t xml:space="preserve">Table </w:t>
      </w:r>
      <w:r w:rsidR="00CA5B9D" w:rsidRPr="0004264F">
        <w:rPr>
          <w:rFonts w:cstheme="majorBidi"/>
          <w:noProof/>
        </w:rPr>
        <w:t>1</w:t>
      </w:r>
      <w:r w:rsidR="003E5780" w:rsidRPr="0004264F">
        <w:rPr>
          <w:rFonts w:cstheme="majorBidi"/>
          <w:szCs w:val="24"/>
          <w:lang w:bidi="fa-IR"/>
        </w:rPr>
        <w:fldChar w:fldCharType="end"/>
      </w:r>
      <w:r w:rsidR="003E5780" w:rsidRPr="0004264F">
        <w:rPr>
          <w:rFonts w:cstheme="majorBidi"/>
          <w:szCs w:val="24"/>
          <w:lang w:bidi="fa-IR"/>
        </w:rPr>
        <w:t xml:space="preserve">. </w:t>
      </w:r>
      <w:r w:rsidR="0030189D" w:rsidRPr="0004264F">
        <w:rPr>
          <w:rFonts w:cstheme="majorBidi"/>
          <w:szCs w:val="24"/>
          <w:lang w:bidi="fa-IR"/>
        </w:rPr>
        <w:t>The average</w:t>
      </w:r>
      <w:r w:rsidR="00933920" w:rsidRPr="0004264F">
        <w:rPr>
          <w:rFonts w:cstheme="majorBidi"/>
          <w:szCs w:val="24"/>
          <w:lang w:bidi="fa-IR"/>
        </w:rPr>
        <w:t xml:space="preserve"> per capita bank deposit is $</w:t>
      </w:r>
      <w:r w:rsidR="00E340DA" w:rsidRPr="0004264F">
        <w:rPr>
          <w:rFonts w:cstheme="majorBidi"/>
          <w:szCs w:val="24"/>
          <w:lang w:bidi="fa-IR"/>
        </w:rPr>
        <w:t>331</w:t>
      </w:r>
      <w:r w:rsidR="00933920" w:rsidRPr="0004264F">
        <w:rPr>
          <w:rFonts w:cstheme="majorBidi"/>
          <w:szCs w:val="24"/>
          <w:lang w:bidi="fa-IR"/>
        </w:rPr>
        <w:t xml:space="preserve">. Over the sample period, roughly </w:t>
      </w:r>
      <w:r w:rsidR="00657815" w:rsidRPr="0004264F">
        <w:rPr>
          <w:rFonts w:cstheme="majorBidi"/>
          <w:szCs w:val="24"/>
          <w:lang w:bidi="fa-IR"/>
        </w:rPr>
        <w:t>10</w:t>
      </w:r>
      <w:r w:rsidR="00E340DA" w:rsidRPr="0004264F">
        <w:rPr>
          <w:rFonts w:cstheme="majorBidi"/>
          <w:szCs w:val="24"/>
          <w:lang w:bidi="fa-IR"/>
        </w:rPr>
        <w:t xml:space="preserve"> </w:t>
      </w:r>
      <w:r w:rsidR="00933920" w:rsidRPr="0004264F">
        <w:rPr>
          <w:rFonts w:cstheme="majorBidi"/>
          <w:szCs w:val="24"/>
          <w:lang w:bidi="fa-IR"/>
        </w:rPr>
        <w:t xml:space="preserve">percent of </w:t>
      </w:r>
      <w:r w:rsidR="00F6483B" w:rsidRPr="0004264F">
        <w:rPr>
          <w:rFonts w:cstheme="majorBidi"/>
          <w:szCs w:val="24"/>
          <w:lang w:bidi="fa-IR"/>
        </w:rPr>
        <w:t xml:space="preserve">individuals </w:t>
      </w:r>
      <w:r w:rsidR="00933920" w:rsidRPr="0004264F">
        <w:rPr>
          <w:rFonts w:cstheme="majorBidi"/>
          <w:szCs w:val="24"/>
          <w:lang w:bidi="fa-IR"/>
        </w:rPr>
        <w:t xml:space="preserve">are born in counties that experienced a </w:t>
      </w:r>
      <w:r w:rsidR="009D11D4" w:rsidRPr="0004264F">
        <w:rPr>
          <w:rFonts w:cstheme="majorBidi"/>
          <w:szCs w:val="24"/>
          <w:lang w:bidi="fa-IR"/>
        </w:rPr>
        <w:t>5</w:t>
      </w:r>
      <w:r w:rsidR="002C57D5" w:rsidRPr="0004264F">
        <w:rPr>
          <w:rFonts w:cstheme="majorBidi"/>
          <w:szCs w:val="24"/>
          <w:lang w:bidi="fa-IR"/>
        </w:rPr>
        <w:t xml:space="preserve"> to </w:t>
      </w:r>
      <w:r w:rsidR="00E340DA" w:rsidRPr="0004264F">
        <w:rPr>
          <w:rFonts w:cstheme="majorBidi"/>
          <w:szCs w:val="24"/>
          <w:lang w:bidi="fa-IR"/>
        </w:rPr>
        <w:t>10</w:t>
      </w:r>
      <w:r w:rsidR="009D11D4" w:rsidRPr="0004264F">
        <w:rPr>
          <w:rFonts w:cstheme="majorBidi"/>
          <w:szCs w:val="24"/>
          <w:lang w:bidi="fa-IR"/>
        </w:rPr>
        <w:t xml:space="preserve"> </w:t>
      </w:r>
      <w:r w:rsidR="00933920" w:rsidRPr="0004264F">
        <w:rPr>
          <w:rFonts w:cstheme="majorBidi"/>
          <w:szCs w:val="24"/>
          <w:lang w:bidi="fa-IR"/>
        </w:rPr>
        <w:t>percent drop in total banking deposits</w:t>
      </w:r>
      <w:r w:rsidR="004B3F26" w:rsidRPr="0004264F">
        <w:rPr>
          <w:rFonts w:cstheme="majorBidi"/>
          <w:szCs w:val="24"/>
          <w:lang w:bidi="fa-IR"/>
        </w:rPr>
        <w:t xml:space="preserve"> relative to the county-specific previous year’s value</w:t>
      </w:r>
      <w:r w:rsidR="00933920" w:rsidRPr="0004264F">
        <w:rPr>
          <w:rFonts w:cstheme="majorBidi"/>
          <w:szCs w:val="24"/>
          <w:lang w:bidi="fa-IR"/>
        </w:rPr>
        <w:t>.</w:t>
      </w:r>
      <w:r w:rsidR="00E340DA" w:rsidRPr="0004264F">
        <w:rPr>
          <w:rFonts w:cstheme="majorBidi"/>
          <w:szCs w:val="24"/>
          <w:lang w:bidi="fa-IR"/>
        </w:rPr>
        <w:t xml:space="preserve"> About 23 percent of individuals live in counties that experienced a drop of more than 10 percent in deposits.</w:t>
      </w:r>
      <w:r w:rsidR="00933920" w:rsidRPr="0004264F">
        <w:rPr>
          <w:rFonts w:cstheme="majorBidi"/>
          <w:szCs w:val="24"/>
          <w:lang w:bidi="fa-IR"/>
        </w:rPr>
        <w:t xml:space="preserve"> </w:t>
      </w:r>
      <w:r w:rsidR="009C4A77" w:rsidRPr="0004264F">
        <w:rPr>
          <w:rFonts w:cstheme="majorBidi"/>
          <w:szCs w:val="24"/>
          <w:lang w:bidi="fa-IR"/>
        </w:rPr>
        <w:t xml:space="preserve">The top and middle panels of </w:t>
      </w:r>
      <w:r w:rsidR="00AA09F9" w:rsidRPr="0004264F">
        <w:rPr>
          <w:rFonts w:cstheme="majorBidi"/>
          <w:szCs w:val="24"/>
          <w:lang w:bidi="fa-IR"/>
        </w:rPr>
        <w:fldChar w:fldCharType="begin"/>
      </w:r>
      <w:r w:rsidR="00AA09F9" w:rsidRPr="0004264F">
        <w:rPr>
          <w:rFonts w:cstheme="majorBidi"/>
          <w:szCs w:val="24"/>
          <w:lang w:bidi="fa-IR"/>
        </w:rPr>
        <w:instrText xml:space="preserve"> REF _Ref97686105 \h </w:instrText>
      </w:r>
      <w:r w:rsidR="00C61E40" w:rsidRPr="0004264F">
        <w:rPr>
          <w:rFonts w:cstheme="majorBidi"/>
          <w:szCs w:val="24"/>
          <w:lang w:bidi="fa-IR"/>
        </w:rPr>
        <w:instrText xml:space="preserve"> \* MERGEFORMAT </w:instrText>
      </w:r>
      <w:r w:rsidR="00AA09F9" w:rsidRPr="0004264F">
        <w:rPr>
          <w:rFonts w:cstheme="majorBidi"/>
          <w:szCs w:val="24"/>
          <w:lang w:bidi="fa-IR"/>
        </w:rPr>
      </w:r>
      <w:r w:rsidR="00AA09F9" w:rsidRPr="0004264F">
        <w:rPr>
          <w:rFonts w:cstheme="majorBidi"/>
          <w:szCs w:val="24"/>
          <w:lang w:bidi="fa-IR"/>
        </w:rPr>
        <w:fldChar w:fldCharType="separate"/>
      </w:r>
      <w:r w:rsidR="00CA5B9D" w:rsidRPr="0004264F">
        <w:rPr>
          <w:rFonts w:cstheme="majorBidi"/>
        </w:rPr>
        <w:t xml:space="preserve">Figure </w:t>
      </w:r>
      <w:r w:rsidR="00CA5B9D" w:rsidRPr="0004264F">
        <w:rPr>
          <w:rFonts w:cstheme="majorBidi"/>
          <w:noProof/>
        </w:rPr>
        <w:t>1</w:t>
      </w:r>
      <w:r w:rsidR="00AA09F9" w:rsidRPr="0004264F">
        <w:rPr>
          <w:rFonts w:cstheme="majorBidi"/>
          <w:szCs w:val="24"/>
          <w:lang w:bidi="fa-IR"/>
        </w:rPr>
        <w:fldChar w:fldCharType="end"/>
      </w:r>
      <w:r w:rsidR="00AA09F9" w:rsidRPr="0004264F">
        <w:rPr>
          <w:rFonts w:cstheme="majorBidi"/>
          <w:szCs w:val="24"/>
          <w:lang w:bidi="fa-IR"/>
        </w:rPr>
        <w:t xml:space="preserve"> depict the cross-sectional geographic distribution of per capita deposits</w:t>
      </w:r>
      <w:r w:rsidR="009C4A77" w:rsidRPr="0004264F">
        <w:rPr>
          <w:rFonts w:cstheme="majorBidi"/>
          <w:szCs w:val="24"/>
          <w:lang w:bidi="fa-IR"/>
        </w:rPr>
        <w:t xml:space="preserve"> and</w:t>
      </w:r>
      <w:r w:rsidR="00AA09F9" w:rsidRPr="0004264F">
        <w:rPr>
          <w:rFonts w:cstheme="majorBidi"/>
          <w:szCs w:val="24"/>
          <w:lang w:bidi="fa-IR"/>
        </w:rPr>
        <w:t xml:space="preserve"> per capita retail sale</w:t>
      </w:r>
      <w:r w:rsidR="00F6483B" w:rsidRPr="0004264F">
        <w:rPr>
          <w:rFonts w:cstheme="majorBidi"/>
          <w:szCs w:val="24"/>
          <w:lang w:bidi="fa-IR"/>
        </w:rPr>
        <w:t>s</w:t>
      </w:r>
      <w:r w:rsidR="00AA09F9" w:rsidRPr="0004264F">
        <w:rPr>
          <w:rFonts w:cstheme="majorBidi"/>
          <w:szCs w:val="24"/>
          <w:lang w:bidi="fa-IR"/>
        </w:rPr>
        <w:t>. There is a visual correlation between our proxy for economic conditions (bank deposits) and a measure of local consumption expenditure (retail sale</w:t>
      </w:r>
      <w:r w:rsidR="00F6483B" w:rsidRPr="0004264F">
        <w:rPr>
          <w:rFonts w:cstheme="majorBidi"/>
          <w:szCs w:val="24"/>
          <w:lang w:bidi="fa-IR"/>
        </w:rPr>
        <w:t>s</w:t>
      </w:r>
      <w:r w:rsidR="00AA09F9" w:rsidRPr="0004264F">
        <w:rPr>
          <w:rFonts w:cstheme="majorBidi"/>
          <w:szCs w:val="24"/>
          <w:lang w:bidi="fa-IR"/>
        </w:rPr>
        <w:t xml:space="preserve"> per capita). </w:t>
      </w:r>
      <w:r w:rsidR="009C4A77" w:rsidRPr="0004264F">
        <w:rPr>
          <w:rFonts w:cstheme="majorBidi"/>
          <w:szCs w:val="24"/>
          <w:lang w:bidi="fa-IR"/>
        </w:rPr>
        <w:t xml:space="preserve">The bottom panel of </w:t>
      </w:r>
      <w:r w:rsidR="009C4A77" w:rsidRPr="0004264F">
        <w:rPr>
          <w:rFonts w:cstheme="majorBidi"/>
          <w:szCs w:val="24"/>
          <w:lang w:bidi="fa-IR"/>
        </w:rPr>
        <w:fldChar w:fldCharType="begin"/>
      </w:r>
      <w:r w:rsidR="009C4A77" w:rsidRPr="0004264F">
        <w:rPr>
          <w:rFonts w:cstheme="majorBidi"/>
          <w:szCs w:val="24"/>
          <w:lang w:bidi="fa-IR"/>
        </w:rPr>
        <w:instrText xml:space="preserve"> REF _Ref97686105 \h  \* MERGEFORMAT </w:instrText>
      </w:r>
      <w:r w:rsidR="009C4A77" w:rsidRPr="0004264F">
        <w:rPr>
          <w:rFonts w:cstheme="majorBidi"/>
          <w:szCs w:val="24"/>
          <w:lang w:bidi="fa-IR"/>
        </w:rPr>
      </w:r>
      <w:r w:rsidR="009C4A77" w:rsidRPr="0004264F">
        <w:rPr>
          <w:rFonts w:cstheme="majorBidi"/>
          <w:szCs w:val="24"/>
          <w:lang w:bidi="fa-IR"/>
        </w:rPr>
        <w:fldChar w:fldCharType="separate"/>
      </w:r>
      <w:r w:rsidR="00CA5B9D" w:rsidRPr="0004264F">
        <w:rPr>
          <w:rFonts w:cstheme="majorBidi"/>
        </w:rPr>
        <w:t xml:space="preserve">Figure </w:t>
      </w:r>
      <w:r w:rsidR="00CA5B9D" w:rsidRPr="0004264F">
        <w:rPr>
          <w:rFonts w:cstheme="majorBidi"/>
          <w:noProof/>
        </w:rPr>
        <w:t>1</w:t>
      </w:r>
      <w:r w:rsidR="009C4A77" w:rsidRPr="0004264F">
        <w:rPr>
          <w:rFonts w:cstheme="majorBidi"/>
          <w:szCs w:val="24"/>
          <w:lang w:bidi="fa-IR"/>
        </w:rPr>
        <w:fldChar w:fldCharType="end"/>
      </w:r>
      <w:r w:rsidR="009C4A77" w:rsidRPr="0004264F">
        <w:rPr>
          <w:rFonts w:cstheme="majorBidi"/>
          <w:szCs w:val="24"/>
          <w:lang w:bidi="fa-IR"/>
        </w:rPr>
        <w:t xml:space="preserve"> illustrates the distribution of</w:t>
      </w:r>
      <w:r w:rsidR="00E2387A" w:rsidRPr="0004264F">
        <w:rPr>
          <w:rFonts w:cstheme="majorBidi"/>
          <w:szCs w:val="24"/>
          <w:lang w:bidi="fa-IR"/>
        </w:rPr>
        <w:t xml:space="preserve"> age-at-death</w:t>
      </w:r>
      <w:r w:rsidR="009C4A77" w:rsidRPr="0004264F">
        <w:rPr>
          <w:rFonts w:cstheme="majorBidi"/>
          <w:szCs w:val="24"/>
          <w:lang w:bidi="fa-IR"/>
        </w:rPr>
        <w:t xml:space="preserve"> by county-of-birth for cohorts born in 1930. </w:t>
      </w:r>
      <w:r w:rsidR="00AA09F9" w:rsidRPr="0004264F">
        <w:rPr>
          <w:rFonts w:cstheme="majorBidi"/>
          <w:szCs w:val="24"/>
          <w:lang w:bidi="fa-IR"/>
        </w:rPr>
        <w:t xml:space="preserve">There is also a visual correlation between these two measures and </w:t>
      </w:r>
      <w:r w:rsidR="008B0D6D" w:rsidRPr="0004264F">
        <w:rPr>
          <w:rFonts w:cstheme="majorBidi"/>
          <w:szCs w:val="24"/>
          <w:lang w:bidi="fa-IR"/>
        </w:rPr>
        <w:t>long-run</w:t>
      </w:r>
      <w:r w:rsidR="00AA09F9" w:rsidRPr="0004264F">
        <w:rPr>
          <w:rFonts w:cstheme="majorBidi"/>
          <w:szCs w:val="24"/>
          <w:lang w:bidi="fa-IR"/>
        </w:rPr>
        <w:t xml:space="preserve"> longevity. In a cross-sectional and correlational manner, </w:t>
      </w:r>
      <w:r w:rsidR="00AA09F9" w:rsidRPr="0004264F">
        <w:rPr>
          <w:rFonts w:cstheme="majorBidi"/>
          <w:szCs w:val="24"/>
          <w:lang w:bidi="fa-IR"/>
        </w:rPr>
        <w:fldChar w:fldCharType="begin"/>
      </w:r>
      <w:r w:rsidR="00AA09F9" w:rsidRPr="0004264F">
        <w:rPr>
          <w:rFonts w:cstheme="majorBidi"/>
          <w:szCs w:val="24"/>
          <w:lang w:bidi="fa-IR"/>
        </w:rPr>
        <w:instrText xml:space="preserve"> REF _Ref97686391 \h </w:instrText>
      </w:r>
      <w:r w:rsidR="00C61E40" w:rsidRPr="0004264F">
        <w:rPr>
          <w:rFonts w:cstheme="majorBidi"/>
          <w:szCs w:val="24"/>
          <w:lang w:bidi="fa-IR"/>
        </w:rPr>
        <w:instrText xml:space="preserve"> \* MERGEFORMAT </w:instrText>
      </w:r>
      <w:r w:rsidR="00AA09F9" w:rsidRPr="0004264F">
        <w:rPr>
          <w:rFonts w:cstheme="majorBidi"/>
          <w:szCs w:val="24"/>
          <w:lang w:bidi="fa-IR"/>
        </w:rPr>
      </w:r>
      <w:r w:rsidR="00AA09F9" w:rsidRPr="0004264F">
        <w:rPr>
          <w:rFonts w:cstheme="majorBidi"/>
          <w:szCs w:val="24"/>
          <w:lang w:bidi="fa-IR"/>
        </w:rPr>
        <w:fldChar w:fldCharType="separate"/>
      </w:r>
      <w:r w:rsidR="00CA5B9D" w:rsidRPr="0004264F">
        <w:rPr>
          <w:rFonts w:cstheme="majorBidi"/>
        </w:rPr>
        <w:t xml:space="preserve">Figure </w:t>
      </w:r>
      <w:r w:rsidR="00CA5B9D" w:rsidRPr="0004264F">
        <w:rPr>
          <w:rFonts w:cstheme="majorBidi"/>
          <w:noProof/>
        </w:rPr>
        <w:t>3</w:t>
      </w:r>
      <w:r w:rsidR="00AA09F9" w:rsidRPr="0004264F">
        <w:rPr>
          <w:rFonts w:cstheme="majorBidi"/>
          <w:szCs w:val="24"/>
          <w:lang w:bidi="fa-IR"/>
        </w:rPr>
        <w:fldChar w:fldCharType="end"/>
      </w:r>
      <w:r w:rsidR="00AA09F9" w:rsidRPr="0004264F">
        <w:rPr>
          <w:rFonts w:cstheme="majorBidi"/>
          <w:szCs w:val="24"/>
          <w:lang w:bidi="fa-IR"/>
        </w:rPr>
        <w:t xml:space="preserve"> </w:t>
      </w:r>
      <w:r w:rsidR="009C4A77" w:rsidRPr="0004264F">
        <w:rPr>
          <w:rFonts w:cstheme="majorBidi"/>
          <w:szCs w:val="24"/>
          <w:lang w:bidi="fa-IR"/>
        </w:rPr>
        <w:t>depicts</w:t>
      </w:r>
      <w:r w:rsidR="00AA09F9" w:rsidRPr="0004264F">
        <w:rPr>
          <w:rFonts w:cstheme="majorBidi"/>
          <w:szCs w:val="24"/>
          <w:lang w:bidi="fa-IR"/>
        </w:rPr>
        <w:t xml:space="preserve"> the </w:t>
      </w:r>
      <w:r w:rsidR="00D828FA" w:rsidRPr="0004264F">
        <w:rPr>
          <w:rFonts w:cstheme="majorBidi"/>
          <w:szCs w:val="24"/>
          <w:lang w:bidi="fa-IR"/>
        </w:rPr>
        <w:t xml:space="preserve">differences in the </w:t>
      </w:r>
      <w:r w:rsidR="00AA09F9" w:rsidRPr="0004264F">
        <w:rPr>
          <w:rFonts w:cstheme="majorBidi"/>
          <w:szCs w:val="24"/>
          <w:lang w:bidi="fa-IR"/>
        </w:rPr>
        <w:t xml:space="preserve">density distribution of age at death in the subsample of </w:t>
      </w:r>
      <w:r w:rsidR="008B0D6D" w:rsidRPr="0004264F">
        <w:rPr>
          <w:rFonts w:cstheme="majorBidi"/>
          <w:szCs w:val="24"/>
          <w:lang w:bidi="fa-IR"/>
        </w:rPr>
        <w:t>above-median</w:t>
      </w:r>
      <w:r w:rsidR="00AA09F9" w:rsidRPr="0004264F">
        <w:rPr>
          <w:rFonts w:cstheme="majorBidi"/>
          <w:szCs w:val="24"/>
          <w:lang w:bidi="fa-IR"/>
        </w:rPr>
        <w:t xml:space="preserve"> per capita </w:t>
      </w:r>
      <w:r w:rsidR="00D828FA" w:rsidRPr="0004264F">
        <w:rPr>
          <w:rFonts w:cstheme="majorBidi"/>
          <w:szCs w:val="24"/>
          <w:lang w:bidi="fa-IR"/>
        </w:rPr>
        <w:t>deposit</w:t>
      </w:r>
      <w:r w:rsidR="00AA09F9" w:rsidRPr="0004264F">
        <w:rPr>
          <w:rFonts w:cstheme="majorBidi"/>
          <w:szCs w:val="24"/>
          <w:lang w:bidi="fa-IR"/>
        </w:rPr>
        <w:t xml:space="preserve"> (in green) </w:t>
      </w:r>
      <w:r w:rsidR="00D828FA" w:rsidRPr="0004264F">
        <w:rPr>
          <w:rFonts w:cstheme="majorBidi"/>
          <w:szCs w:val="24"/>
          <w:lang w:bidi="fa-IR"/>
        </w:rPr>
        <w:t>versus</w:t>
      </w:r>
      <w:r w:rsidR="00AA09F9" w:rsidRPr="0004264F">
        <w:rPr>
          <w:rFonts w:cstheme="majorBidi"/>
          <w:szCs w:val="24"/>
          <w:lang w:bidi="fa-IR"/>
        </w:rPr>
        <w:t xml:space="preserve"> below median per capita </w:t>
      </w:r>
      <w:r w:rsidR="00D828FA" w:rsidRPr="0004264F">
        <w:rPr>
          <w:rFonts w:cstheme="majorBidi"/>
          <w:szCs w:val="24"/>
          <w:lang w:bidi="fa-IR"/>
        </w:rPr>
        <w:t>deposit</w:t>
      </w:r>
      <w:r w:rsidR="00AA09F9" w:rsidRPr="0004264F">
        <w:rPr>
          <w:rFonts w:cstheme="majorBidi"/>
          <w:szCs w:val="24"/>
          <w:lang w:bidi="fa-IR"/>
        </w:rPr>
        <w:t xml:space="preserve"> (in red). </w:t>
      </w:r>
      <w:r w:rsidR="00420191" w:rsidRPr="0004264F">
        <w:rPr>
          <w:rFonts w:cstheme="majorBidi"/>
          <w:szCs w:val="24"/>
          <w:lang w:bidi="fa-IR"/>
        </w:rPr>
        <w:t xml:space="preserve">While these are suggestive figures, they do not convey any informative interpretation </w:t>
      </w:r>
      <w:r w:rsidR="004E1DF1" w:rsidRPr="0004264F">
        <w:rPr>
          <w:rFonts w:cstheme="majorBidi"/>
          <w:szCs w:val="24"/>
          <w:lang w:bidi="fa-IR"/>
        </w:rPr>
        <w:t>of</w:t>
      </w:r>
      <w:r w:rsidR="00420191" w:rsidRPr="0004264F">
        <w:rPr>
          <w:rFonts w:cstheme="majorBidi"/>
          <w:szCs w:val="24"/>
          <w:lang w:bidi="fa-IR"/>
        </w:rPr>
        <w:t xml:space="preserve"> the statistical association. </w:t>
      </w:r>
    </w:p>
    <w:p w14:paraId="3F31EA92" w14:textId="0E1B0272" w:rsidR="00204C5C" w:rsidRPr="0004264F" w:rsidRDefault="000F7C59" w:rsidP="009B353A">
      <w:pPr>
        <w:pStyle w:val="Heading1"/>
        <w:rPr>
          <w:rFonts w:asciiTheme="majorBidi" w:hAnsiTheme="majorBidi"/>
        </w:rPr>
      </w:pPr>
      <w:bookmarkStart w:id="3" w:name="_Ref98081123"/>
      <w:r w:rsidRPr="0004264F">
        <w:rPr>
          <w:rFonts w:asciiTheme="majorBidi" w:hAnsiTheme="majorBidi"/>
        </w:rPr>
        <w:t>Econometric Method</w:t>
      </w:r>
      <w:bookmarkEnd w:id="3"/>
    </w:p>
    <w:p w14:paraId="3D397D7F" w14:textId="51BA0783" w:rsidR="000F7C59" w:rsidRPr="0004264F" w:rsidRDefault="00F6483B" w:rsidP="0070409F">
      <w:pPr>
        <w:spacing w:before="60" w:after="60" w:line="480" w:lineRule="auto"/>
        <w:ind w:firstLine="720"/>
        <w:rPr>
          <w:rFonts w:cstheme="majorBidi"/>
          <w:szCs w:val="24"/>
        </w:rPr>
      </w:pPr>
      <w:r w:rsidRPr="0004264F">
        <w:rPr>
          <w:rFonts w:cstheme="majorBidi"/>
          <w:szCs w:val="24"/>
        </w:rPr>
        <w:t xml:space="preserve">Our identification strategy exploits </w:t>
      </w:r>
      <w:r w:rsidR="009C4A77" w:rsidRPr="0004264F">
        <w:rPr>
          <w:rFonts w:cstheme="majorBidi"/>
          <w:szCs w:val="24"/>
        </w:rPr>
        <w:t>within</w:t>
      </w:r>
      <w:r w:rsidR="004E1DF1" w:rsidRPr="0004264F">
        <w:rPr>
          <w:rFonts w:cstheme="majorBidi"/>
          <w:szCs w:val="24"/>
        </w:rPr>
        <w:t>-county</w:t>
      </w:r>
      <w:r w:rsidR="0070409F" w:rsidRPr="0004264F">
        <w:rPr>
          <w:rFonts w:cstheme="majorBidi"/>
          <w:szCs w:val="24"/>
        </w:rPr>
        <w:t xml:space="preserve"> and </w:t>
      </w:r>
      <w:r w:rsidR="008B0D6D" w:rsidRPr="0004264F">
        <w:rPr>
          <w:rFonts w:cstheme="majorBidi"/>
          <w:szCs w:val="24"/>
        </w:rPr>
        <w:t>over-time</w:t>
      </w:r>
      <w:r w:rsidR="0070409F" w:rsidRPr="0004264F">
        <w:rPr>
          <w:rFonts w:cstheme="majorBidi"/>
          <w:szCs w:val="24"/>
        </w:rPr>
        <w:t xml:space="preserve"> variations in bank deposits. Specifically, we implement regressions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00"/>
        <w:gridCol w:w="496"/>
      </w:tblGrid>
      <w:tr w:rsidR="000E737E" w:rsidRPr="0004264F" w14:paraId="28A194FD" w14:textId="77777777" w:rsidTr="00142BC8">
        <w:tc>
          <w:tcPr>
            <w:tcW w:w="265" w:type="dxa"/>
            <w:vAlign w:val="center"/>
          </w:tcPr>
          <w:p w14:paraId="110562C5" w14:textId="77777777" w:rsidR="000E737E" w:rsidRPr="0004264F" w:rsidRDefault="000E737E" w:rsidP="000E737E">
            <w:pPr>
              <w:spacing w:before="60" w:after="60" w:line="480" w:lineRule="auto"/>
              <w:jc w:val="center"/>
              <w:rPr>
                <w:rFonts w:cstheme="majorBidi"/>
                <w:szCs w:val="24"/>
              </w:rPr>
            </w:pPr>
          </w:p>
        </w:tc>
        <w:tc>
          <w:tcPr>
            <w:tcW w:w="8820" w:type="dxa"/>
            <w:vAlign w:val="center"/>
          </w:tcPr>
          <w:p w14:paraId="16AAE27B" w14:textId="6190646C" w:rsidR="000E737E" w:rsidRPr="0004264F" w:rsidRDefault="00142BC8" w:rsidP="000E737E">
            <w:pPr>
              <w:spacing w:before="60" w:after="60" w:line="480" w:lineRule="auto"/>
              <w:jc w:val="center"/>
              <w:rPr>
                <w:rFonts w:cstheme="majorBidi"/>
                <w:szCs w:val="24"/>
              </w:rPr>
            </w:pPr>
            <m:oMath>
              <m:r>
                <w:rPr>
                  <w:rFonts w:ascii="Cambria Math" w:hAnsi="Cambria Math" w:cstheme="majorBidi"/>
                  <w:szCs w:val="24"/>
                </w:rPr>
                <m:t>D</m:t>
              </m:r>
              <m:sSub>
                <m:sSubPr>
                  <m:ctrlPr>
                    <w:rPr>
                      <w:rFonts w:ascii="Cambria Math" w:hAnsi="Cambria Math" w:cstheme="majorBidi"/>
                      <w:i/>
                      <w:szCs w:val="24"/>
                    </w:rPr>
                  </m:ctrlPr>
                </m:sSubPr>
                <m:e>
                  <m:r>
                    <w:rPr>
                      <w:rFonts w:ascii="Cambria Math" w:hAnsi="Cambria Math" w:cstheme="majorBidi"/>
                      <w:szCs w:val="24"/>
                    </w:rPr>
                    <m:t>A</m:t>
                  </m:r>
                </m:e>
                <m:sub>
                  <m:r>
                    <w:rPr>
                      <w:rFonts w:ascii="Cambria Math" w:hAnsi="Cambria Math" w:cstheme="majorBidi"/>
                      <w:szCs w:val="24"/>
                    </w:rPr>
                    <m:t>icsb</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α</m:t>
                  </m:r>
                </m:e>
                <m:sub>
                  <m:r>
                    <w:rPr>
                      <w:rFonts w:ascii="Cambria Math" w:hAnsi="Cambria Math" w:cstheme="majorBidi"/>
                      <w:szCs w:val="24"/>
                    </w:rPr>
                    <m:t>0</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α</m:t>
                  </m:r>
                </m:e>
                <m:sub>
                  <m:r>
                    <w:rPr>
                      <w:rFonts w:ascii="Cambria Math" w:hAnsi="Cambria Math" w:cstheme="majorBidi"/>
                      <w:szCs w:val="24"/>
                    </w:rPr>
                    <m:t>1</m:t>
                  </m:r>
                </m:sub>
              </m:sSub>
              <m:r>
                <w:rPr>
                  <w:rFonts w:ascii="Cambria Math" w:hAnsi="Cambria Math" w:cstheme="majorBidi"/>
                  <w:szCs w:val="24"/>
                </w:rPr>
                <m:t>PCB</m:t>
              </m:r>
              <m:sSub>
                <m:sSubPr>
                  <m:ctrlPr>
                    <w:rPr>
                      <w:rFonts w:ascii="Cambria Math" w:hAnsi="Cambria Math" w:cstheme="majorBidi"/>
                      <w:i/>
                      <w:szCs w:val="24"/>
                    </w:rPr>
                  </m:ctrlPr>
                </m:sSubPr>
                <m:e>
                  <m:r>
                    <w:rPr>
                      <w:rFonts w:ascii="Cambria Math" w:hAnsi="Cambria Math" w:cstheme="majorBidi"/>
                      <w:szCs w:val="24"/>
                    </w:rPr>
                    <m:t>D</m:t>
                  </m:r>
                </m:e>
                <m:sub>
                  <m:r>
                    <w:rPr>
                      <w:rFonts w:ascii="Cambria Math" w:hAnsi="Cambria Math" w:cstheme="majorBidi"/>
                      <w:szCs w:val="24"/>
                    </w:rPr>
                    <m:t>cs</m:t>
                  </m:r>
                  <m:sSup>
                    <m:sSupPr>
                      <m:ctrlPr>
                        <w:rPr>
                          <w:rFonts w:ascii="Cambria Math" w:hAnsi="Cambria Math" w:cstheme="majorBidi"/>
                          <w:i/>
                          <w:szCs w:val="24"/>
                        </w:rPr>
                      </m:ctrlPr>
                    </m:sSupPr>
                    <m:e>
                      <m:r>
                        <w:rPr>
                          <w:rFonts w:ascii="Cambria Math" w:hAnsi="Cambria Math" w:cstheme="majorBidi"/>
                          <w:szCs w:val="24"/>
                        </w:rPr>
                        <m:t>b</m:t>
                      </m:r>
                    </m:e>
                    <m:sup>
                      <m:r>
                        <w:rPr>
                          <w:rFonts w:ascii="Cambria Math" w:hAnsi="Cambria Math" w:cstheme="majorBidi"/>
                          <w:szCs w:val="24"/>
                        </w:rPr>
                        <m:t>*</m:t>
                      </m:r>
                    </m:sup>
                  </m:sSup>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α</m:t>
                  </m:r>
                </m:e>
                <m:sub>
                  <m:r>
                    <w:rPr>
                      <w:rFonts w:ascii="Cambria Math" w:hAnsi="Cambria Math" w:cstheme="majorBidi"/>
                      <w:szCs w:val="24"/>
                    </w:rPr>
                    <m:t>2</m:t>
                  </m:r>
                </m:sub>
              </m:sSub>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icsb</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α</m:t>
                  </m:r>
                </m:e>
                <m:sub>
                  <m:r>
                    <w:rPr>
                      <w:rFonts w:ascii="Cambria Math" w:hAnsi="Cambria Math" w:cstheme="majorBidi"/>
                      <w:szCs w:val="24"/>
                    </w:rPr>
                    <m:t>3</m:t>
                  </m:r>
                </m:sub>
              </m:sSub>
              <m:sSub>
                <m:sSubPr>
                  <m:ctrlPr>
                    <w:rPr>
                      <w:rFonts w:ascii="Cambria Math" w:hAnsi="Cambria Math" w:cstheme="majorBidi"/>
                      <w:i/>
                      <w:szCs w:val="24"/>
                    </w:rPr>
                  </m:ctrlPr>
                </m:sSubPr>
                <m:e>
                  <m:r>
                    <w:rPr>
                      <w:rFonts w:ascii="Cambria Math" w:hAnsi="Cambria Math" w:cstheme="majorBidi"/>
                      <w:szCs w:val="24"/>
                    </w:rPr>
                    <m:t>Z</m:t>
                  </m:r>
                </m:e>
                <m:sub>
                  <m:r>
                    <w:rPr>
                      <w:rFonts w:ascii="Cambria Math" w:hAnsi="Cambria Math" w:cstheme="majorBidi"/>
                      <w:szCs w:val="24"/>
                    </w:rPr>
                    <m:t>csb</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ξ</m:t>
                  </m:r>
                </m:e>
                <m:sub>
                  <m:r>
                    <w:rPr>
                      <w:rFonts w:ascii="Cambria Math" w:hAnsi="Cambria Math" w:cstheme="majorBidi"/>
                      <w:szCs w:val="24"/>
                    </w:rPr>
                    <m:t>c</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ζ</m:t>
                  </m:r>
                </m:e>
                <m:sub>
                  <m:r>
                    <w:rPr>
                      <w:rFonts w:ascii="Cambria Math" w:hAnsi="Cambria Math" w:cstheme="majorBidi"/>
                      <w:szCs w:val="24"/>
                    </w:rPr>
                    <m:t>b</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η</m:t>
                  </m:r>
                </m:e>
                <m:sub>
                  <m:r>
                    <w:rPr>
                      <w:rFonts w:ascii="Cambria Math" w:hAnsi="Cambria Math" w:cstheme="majorBidi"/>
                      <w:szCs w:val="24"/>
                    </w:rPr>
                    <m:t>sb</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ε</m:t>
                  </m:r>
                </m:e>
                <m:sub>
                  <m:r>
                    <w:rPr>
                      <w:rFonts w:ascii="Cambria Math" w:hAnsi="Cambria Math" w:cstheme="majorBidi"/>
                      <w:szCs w:val="24"/>
                    </w:rPr>
                    <m:t>icsb</m:t>
                  </m:r>
                </m:sub>
              </m:sSub>
            </m:oMath>
            <w:r w:rsidR="006835DC" w:rsidRPr="0004264F">
              <w:rPr>
                <w:rFonts w:eastAsiaTheme="minorEastAsia" w:cstheme="majorBidi"/>
                <w:szCs w:val="24"/>
              </w:rPr>
              <w:t>,</w:t>
            </w:r>
          </w:p>
        </w:tc>
        <w:tc>
          <w:tcPr>
            <w:tcW w:w="265" w:type="dxa"/>
            <w:vAlign w:val="center"/>
          </w:tcPr>
          <w:p w14:paraId="34BF4407" w14:textId="04436373" w:rsidR="000E737E" w:rsidRPr="0004264F" w:rsidRDefault="000E737E" w:rsidP="000E737E">
            <w:pPr>
              <w:spacing w:before="60" w:after="60" w:line="480" w:lineRule="auto"/>
              <w:jc w:val="center"/>
              <w:rPr>
                <w:rFonts w:cstheme="majorBidi"/>
                <w:szCs w:val="24"/>
              </w:rPr>
            </w:pPr>
            <w:r w:rsidRPr="0004264F">
              <w:rPr>
                <w:rFonts w:cstheme="majorBidi"/>
                <w:szCs w:val="24"/>
              </w:rPr>
              <w:t>(</w:t>
            </w:r>
            <w:bookmarkStart w:id="4" w:name="eq1"/>
            <w:r w:rsidRPr="0004264F">
              <w:rPr>
                <w:rFonts w:cstheme="majorBidi"/>
                <w:szCs w:val="24"/>
              </w:rPr>
              <w:t>1</w:t>
            </w:r>
            <w:bookmarkEnd w:id="4"/>
            <w:r w:rsidRPr="0004264F">
              <w:rPr>
                <w:rFonts w:cstheme="majorBidi"/>
                <w:szCs w:val="24"/>
              </w:rPr>
              <w:t>)</w:t>
            </w:r>
          </w:p>
        </w:tc>
      </w:tr>
    </w:tbl>
    <w:p w14:paraId="25FA3CB5" w14:textId="49C0C8FC" w:rsidR="007A59ED" w:rsidRPr="0004264F" w:rsidRDefault="006835DC" w:rsidP="00166685">
      <w:pPr>
        <w:spacing w:before="60" w:after="60" w:line="480" w:lineRule="auto"/>
        <w:ind w:firstLine="720"/>
        <w:jc w:val="both"/>
        <w:rPr>
          <w:rFonts w:eastAsiaTheme="minorEastAsia" w:cstheme="majorBidi"/>
          <w:szCs w:val="24"/>
        </w:rPr>
      </w:pPr>
      <w:r w:rsidRPr="0004264F">
        <w:rPr>
          <w:rFonts w:cstheme="majorBidi"/>
          <w:szCs w:val="24"/>
        </w:rPr>
        <w:t>W</w:t>
      </w:r>
      <w:r w:rsidR="00292C5D" w:rsidRPr="0004264F">
        <w:rPr>
          <w:rFonts w:cstheme="majorBidi"/>
          <w:szCs w:val="24"/>
        </w:rPr>
        <w:t>here the outcome is age at death (</w:t>
      </w:r>
      <m:oMath>
        <m:r>
          <w:rPr>
            <w:rFonts w:ascii="Cambria Math" w:hAnsi="Cambria Math" w:cstheme="majorBidi"/>
            <w:szCs w:val="24"/>
          </w:rPr>
          <m:t>DA</m:t>
        </m:r>
      </m:oMath>
      <w:r w:rsidR="00292C5D" w:rsidRPr="0004264F">
        <w:rPr>
          <w:rFonts w:eastAsiaTheme="minorEastAsia" w:cstheme="majorBidi"/>
          <w:szCs w:val="24"/>
        </w:rPr>
        <w:t xml:space="preserve">) of individual </w:t>
      </w:r>
      <m:oMath>
        <m:r>
          <w:rPr>
            <w:rFonts w:ascii="Cambria Math" w:eastAsiaTheme="minorEastAsia" w:hAnsi="Cambria Math" w:cstheme="majorBidi"/>
            <w:szCs w:val="24"/>
          </w:rPr>
          <m:t>i</m:t>
        </m:r>
      </m:oMath>
      <w:r w:rsidR="00292C5D" w:rsidRPr="0004264F">
        <w:rPr>
          <w:rFonts w:eastAsiaTheme="minorEastAsia" w:cstheme="majorBidi"/>
          <w:szCs w:val="24"/>
        </w:rPr>
        <w:t xml:space="preserve"> born in county</w:t>
      </w:r>
      <w:r w:rsidR="009D11D4" w:rsidRPr="0004264F">
        <w:rPr>
          <w:rFonts w:eastAsiaTheme="minorEastAsia" w:cstheme="majorBidi"/>
          <w:szCs w:val="24"/>
        </w:rPr>
        <w:t>-of-birth</w:t>
      </w:r>
      <w:r w:rsidR="00292C5D" w:rsidRPr="0004264F">
        <w:rPr>
          <w:rFonts w:eastAsiaTheme="minorEastAsia" w:cstheme="majorBidi"/>
          <w:szCs w:val="24"/>
        </w:rPr>
        <w:t xml:space="preserve"> </w:t>
      </w:r>
      <m:oMath>
        <m:r>
          <w:rPr>
            <w:rFonts w:ascii="Cambria Math" w:eastAsiaTheme="minorEastAsia" w:hAnsi="Cambria Math" w:cstheme="majorBidi"/>
            <w:szCs w:val="24"/>
          </w:rPr>
          <m:t>c</m:t>
        </m:r>
      </m:oMath>
      <w:r w:rsidR="00292C5D" w:rsidRPr="0004264F">
        <w:rPr>
          <w:rFonts w:eastAsiaTheme="minorEastAsia" w:cstheme="majorBidi"/>
          <w:szCs w:val="24"/>
        </w:rPr>
        <w:t xml:space="preserve"> </w:t>
      </w:r>
      <w:r w:rsidR="002C57D5" w:rsidRPr="0004264F">
        <w:rPr>
          <w:rFonts w:eastAsiaTheme="minorEastAsia" w:cstheme="majorBidi"/>
          <w:szCs w:val="24"/>
        </w:rPr>
        <w:t xml:space="preserve">State Economic Area </w:t>
      </w:r>
      <m:oMath>
        <m:r>
          <w:rPr>
            <w:rFonts w:ascii="Cambria Math" w:eastAsiaTheme="minorEastAsia" w:hAnsi="Cambria Math" w:cstheme="majorBidi"/>
            <w:szCs w:val="24"/>
          </w:rPr>
          <m:t>s</m:t>
        </m:r>
      </m:oMath>
      <w:r w:rsidR="00292C5D" w:rsidRPr="0004264F">
        <w:rPr>
          <w:rFonts w:eastAsiaTheme="minorEastAsia" w:cstheme="majorBidi"/>
          <w:szCs w:val="24"/>
        </w:rPr>
        <w:t xml:space="preserve"> and birth year </w:t>
      </w:r>
      <m:oMath>
        <m:r>
          <w:rPr>
            <w:rFonts w:ascii="Cambria Math" w:eastAsiaTheme="minorEastAsia" w:hAnsi="Cambria Math" w:cstheme="majorBidi"/>
            <w:szCs w:val="24"/>
          </w:rPr>
          <m:t>b</m:t>
        </m:r>
      </m:oMath>
      <w:r w:rsidR="00292C5D" w:rsidRPr="0004264F">
        <w:rPr>
          <w:rFonts w:eastAsiaTheme="minorEastAsia" w:cstheme="majorBidi"/>
          <w:szCs w:val="24"/>
        </w:rPr>
        <w:t xml:space="preserve">. </w:t>
      </w:r>
      <w:r w:rsidR="002C57D5" w:rsidRPr="0004264F">
        <w:rPr>
          <w:rFonts w:eastAsiaTheme="minorEastAsia" w:cstheme="majorBidi"/>
          <w:szCs w:val="24"/>
        </w:rPr>
        <w:t xml:space="preserve">State Economic Areas (SEA) are geographic boundaries that </w:t>
      </w:r>
      <w:r w:rsidR="002C57D5" w:rsidRPr="0004264F">
        <w:rPr>
          <w:rFonts w:eastAsiaTheme="minorEastAsia" w:cstheme="majorBidi"/>
          <w:szCs w:val="24"/>
        </w:rPr>
        <w:lastRenderedPageBreak/>
        <w:t xml:space="preserve">covers several counties within the same state that have similar economic and demographic conditions </w:t>
      </w:r>
      <w:r w:rsidR="002C57D5" w:rsidRPr="0004264F">
        <w:rPr>
          <w:rFonts w:eastAsiaTheme="minorEastAsia" w:cstheme="majorBidi"/>
          <w:szCs w:val="24"/>
        </w:rPr>
        <w:fldChar w:fldCharType="begin" w:fldLock="1"/>
      </w:r>
      <w:r w:rsidR="00166685" w:rsidRPr="0004264F">
        <w:rPr>
          <w:rFonts w:eastAsiaTheme="minorEastAsia" w:cstheme="majorBidi"/>
          <w:szCs w:val="24"/>
        </w:rPr>
        <w:instrText>ADDIN CSL_CITATION {"citationItems":[{"id":"ITEM-1","itemData":{"author":[{"dropping-particle":"","family":"Bogue","given":"Donald J","non-dropping-particle":"","parse-names":false,"suffix":""}],"id":"ITEM-1","issued":{"date-parts":[["1951"]]},"publisher":"US Government Printing Office","title":"State economic areas: A description of the procedure used in making a functional grouping of the counties of the United States","type":"book"},"uris":["http://www.mendeley.com/documents/?uuid=628dd1cc-6191-4bab-83b4-3b3473d05d85"]}],"mendeley":{"formattedCitation":"(Bogue, 1951)","plainTextFormattedCitation":"(Bogue, 1951)","previouslyFormattedCitation":"(Bogue, 1951)"},"properties":{"noteIndex":0},"schema":"https://github.com/citation-style-language/schema/raw/master/csl-citation.json"}</w:instrText>
      </w:r>
      <w:r w:rsidR="002C57D5" w:rsidRPr="0004264F">
        <w:rPr>
          <w:rFonts w:eastAsiaTheme="minorEastAsia" w:cstheme="majorBidi"/>
          <w:szCs w:val="24"/>
        </w:rPr>
        <w:fldChar w:fldCharType="separate"/>
      </w:r>
      <w:r w:rsidR="002C57D5" w:rsidRPr="0004264F">
        <w:rPr>
          <w:rFonts w:eastAsiaTheme="minorEastAsia" w:cstheme="majorBidi"/>
          <w:noProof/>
          <w:szCs w:val="24"/>
        </w:rPr>
        <w:t>(Bogue, 1951)</w:t>
      </w:r>
      <w:r w:rsidR="002C57D5" w:rsidRPr="0004264F">
        <w:rPr>
          <w:rFonts w:eastAsiaTheme="minorEastAsia" w:cstheme="majorBidi"/>
          <w:szCs w:val="24"/>
        </w:rPr>
        <w:fldChar w:fldCharType="end"/>
      </w:r>
      <w:r w:rsidR="002C57D5" w:rsidRPr="0004264F">
        <w:rPr>
          <w:rFonts w:eastAsiaTheme="minorEastAsia" w:cstheme="majorBidi"/>
          <w:szCs w:val="24"/>
        </w:rPr>
        <w:t>. SEA was introduced in census 1950</w:t>
      </w:r>
      <w:r w:rsidR="00166685" w:rsidRPr="0004264F">
        <w:rPr>
          <w:rFonts w:eastAsiaTheme="minorEastAsia" w:cstheme="majorBidi"/>
          <w:szCs w:val="24"/>
        </w:rPr>
        <w:t xml:space="preserve"> and then was applied to counties in 1940 census. Since the period of the Great Depression was accompanied by vast changes in economic conditions, we prefer exploiting within-SEA across-counties variations to better isolate the impacts of economic conditions. </w:t>
      </w:r>
      <w:r w:rsidR="001628DE" w:rsidRPr="0004264F">
        <w:rPr>
          <w:rFonts w:eastAsiaTheme="minorEastAsia" w:cstheme="majorBidi"/>
          <w:szCs w:val="24"/>
        </w:rPr>
        <w:t xml:space="preserve">The parameter </w:t>
      </w:r>
      <m:oMath>
        <m:r>
          <w:rPr>
            <w:rFonts w:ascii="Cambria Math" w:eastAsiaTheme="minorEastAsia" w:hAnsi="Cambria Math" w:cstheme="majorBidi"/>
            <w:szCs w:val="24"/>
          </w:rPr>
          <m:t>PCBD</m:t>
        </m:r>
      </m:oMath>
      <w:r w:rsidR="001628DE" w:rsidRPr="0004264F">
        <w:rPr>
          <w:rFonts w:eastAsiaTheme="minorEastAsia" w:cstheme="majorBidi"/>
          <w:szCs w:val="24"/>
        </w:rPr>
        <w:t xml:space="preserve"> represents per capita bank deposits assigned to each individual based on county</w:t>
      </w:r>
      <w:r w:rsidR="009D11D4" w:rsidRPr="0004264F">
        <w:rPr>
          <w:rFonts w:eastAsiaTheme="minorEastAsia" w:cstheme="majorBidi"/>
          <w:szCs w:val="24"/>
        </w:rPr>
        <w:t>-of-birth</w:t>
      </w:r>
      <w:r w:rsidR="001628DE" w:rsidRPr="0004264F">
        <w:rPr>
          <w:rFonts w:eastAsiaTheme="minorEastAsia" w:cstheme="majorBidi"/>
          <w:szCs w:val="24"/>
        </w:rPr>
        <w:t xml:space="preserve"> and </w:t>
      </w:r>
      <w:r w:rsidR="009D11D4" w:rsidRPr="0004264F">
        <w:rPr>
          <w:rFonts w:eastAsiaTheme="minorEastAsia" w:cstheme="majorBidi"/>
          <w:szCs w:val="24"/>
        </w:rPr>
        <w:t xml:space="preserve">the average of nine months leading to </w:t>
      </w:r>
      <w:r w:rsidR="001470F5" w:rsidRPr="0004264F">
        <w:rPr>
          <w:rFonts w:eastAsiaTheme="minorEastAsia" w:cstheme="majorBidi"/>
          <w:szCs w:val="24"/>
        </w:rPr>
        <w:t>birth</w:t>
      </w:r>
      <w:r w:rsidR="0084056D" w:rsidRPr="0004264F">
        <w:rPr>
          <w:rFonts w:eastAsiaTheme="minorEastAsia" w:cstheme="majorBidi"/>
          <w:szCs w:val="24"/>
        </w:rPr>
        <w:t xml:space="preserve"> (</w:t>
      </w:r>
      <m:oMath>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b</m:t>
            </m:r>
          </m:e>
          <m:sup>
            <m:r>
              <w:rPr>
                <w:rFonts w:ascii="Cambria Math" w:eastAsiaTheme="minorEastAsia" w:hAnsi="Cambria Math" w:cstheme="majorBidi"/>
                <w:szCs w:val="24"/>
              </w:rPr>
              <m:t>*</m:t>
            </m:r>
          </m:sup>
        </m:sSup>
      </m:oMath>
      <w:r w:rsidR="0084056D" w:rsidRPr="0004264F">
        <w:rPr>
          <w:rFonts w:eastAsiaTheme="minorEastAsia" w:cstheme="majorBidi"/>
          <w:szCs w:val="24"/>
        </w:rPr>
        <w:t>)</w:t>
      </w:r>
      <w:r w:rsidR="001628DE" w:rsidRPr="0004264F">
        <w:rPr>
          <w:rFonts w:eastAsiaTheme="minorEastAsia" w:cstheme="majorBidi"/>
          <w:szCs w:val="24"/>
        </w:rPr>
        <w:t>.</w:t>
      </w:r>
      <w:r w:rsidR="002435A0" w:rsidRPr="0004264F">
        <w:rPr>
          <w:rFonts w:eastAsiaTheme="minorEastAsia" w:cstheme="majorBidi"/>
          <w:szCs w:val="24"/>
        </w:rPr>
        <w:t xml:space="preserve"> To ease the interpretation, we standardize this variable with respect to the mean and standard deviation of the sample</w:t>
      </w:r>
      <w:r w:rsidR="000D3735" w:rsidRPr="0004264F">
        <w:rPr>
          <w:rFonts w:eastAsiaTheme="minorEastAsia" w:cstheme="majorBidi"/>
          <w:szCs w:val="24"/>
        </w:rPr>
        <w:t xml:space="preserve">. </w:t>
      </w:r>
      <w:r w:rsidR="00AD6720" w:rsidRPr="0004264F">
        <w:rPr>
          <w:rFonts w:eastAsiaTheme="minorEastAsia" w:cstheme="majorBidi"/>
          <w:szCs w:val="24"/>
        </w:rPr>
        <w:t xml:space="preserve">In </w:t>
      </w:r>
      <m:oMath>
        <m:r>
          <w:rPr>
            <w:rFonts w:ascii="Cambria Math" w:eastAsiaTheme="minorEastAsia" w:hAnsi="Cambria Math" w:cstheme="majorBidi"/>
            <w:szCs w:val="24"/>
          </w:rPr>
          <m:t>X</m:t>
        </m:r>
      </m:oMath>
      <w:r w:rsidR="00AD6720" w:rsidRPr="0004264F">
        <w:rPr>
          <w:rFonts w:eastAsiaTheme="minorEastAsia" w:cstheme="majorBidi"/>
          <w:szCs w:val="24"/>
        </w:rPr>
        <w:t xml:space="preserve">, we include as individual controls dummies for race, gender, and ethnicity. The matrix </w:t>
      </w:r>
      <m:oMath>
        <m:r>
          <w:rPr>
            <w:rFonts w:ascii="Cambria Math" w:eastAsiaTheme="minorEastAsia" w:hAnsi="Cambria Math" w:cstheme="majorBidi"/>
            <w:szCs w:val="24"/>
          </w:rPr>
          <m:t>X</m:t>
        </m:r>
      </m:oMath>
      <w:r w:rsidR="00AD6720" w:rsidRPr="0004264F">
        <w:rPr>
          <w:rFonts w:eastAsiaTheme="minorEastAsia" w:cstheme="majorBidi"/>
          <w:szCs w:val="24"/>
        </w:rPr>
        <w:t xml:space="preserve"> also contains parental characteristics</w:t>
      </w:r>
      <w:r w:rsidR="00F361FC" w:rsidRPr="0004264F">
        <w:rPr>
          <w:rFonts w:eastAsiaTheme="minorEastAsia" w:cstheme="majorBidi"/>
          <w:szCs w:val="24"/>
        </w:rPr>
        <w:t>,</w:t>
      </w:r>
      <w:r w:rsidR="00AD6720" w:rsidRPr="0004264F">
        <w:rPr>
          <w:rFonts w:eastAsiaTheme="minorEastAsia" w:cstheme="majorBidi"/>
          <w:szCs w:val="24"/>
        </w:rPr>
        <w:t xml:space="preserve"> including </w:t>
      </w:r>
      <w:r w:rsidR="0083607A" w:rsidRPr="0004264F">
        <w:rPr>
          <w:rFonts w:eastAsiaTheme="minorEastAsia" w:cstheme="majorBidi"/>
          <w:szCs w:val="24"/>
        </w:rPr>
        <w:t>dummies for maternal education, paternal education</w:t>
      </w:r>
      <w:r w:rsidR="00F6483B" w:rsidRPr="0004264F">
        <w:rPr>
          <w:rFonts w:eastAsiaTheme="minorEastAsia" w:cstheme="majorBidi"/>
          <w:szCs w:val="24"/>
        </w:rPr>
        <w:t>,</w:t>
      </w:r>
      <w:r w:rsidR="0083607A" w:rsidRPr="0004264F">
        <w:rPr>
          <w:rFonts w:eastAsiaTheme="minorEastAsia" w:cstheme="majorBidi"/>
          <w:szCs w:val="24"/>
        </w:rPr>
        <w:t xml:space="preserve"> and socioeconomic status. </w:t>
      </w:r>
      <w:r w:rsidR="000956F8" w:rsidRPr="0004264F">
        <w:rPr>
          <w:rFonts w:eastAsiaTheme="minorEastAsia" w:cstheme="majorBidi"/>
          <w:szCs w:val="24"/>
        </w:rPr>
        <w:t xml:space="preserve">The parameter </w:t>
      </w:r>
      <m:oMath>
        <m:r>
          <w:rPr>
            <w:rFonts w:ascii="Cambria Math" w:eastAsiaTheme="minorEastAsia" w:hAnsi="Cambria Math" w:cstheme="majorBidi"/>
            <w:szCs w:val="24"/>
          </w:rPr>
          <m:t>Z</m:t>
        </m:r>
      </m:oMath>
      <w:r w:rsidR="000956F8" w:rsidRPr="0004264F">
        <w:rPr>
          <w:rFonts w:eastAsiaTheme="minorEastAsia" w:cstheme="majorBidi"/>
          <w:szCs w:val="24"/>
        </w:rPr>
        <w:t xml:space="preserve"> </w:t>
      </w:r>
      <w:r w:rsidR="00D05E83" w:rsidRPr="0004264F">
        <w:rPr>
          <w:rFonts w:eastAsiaTheme="minorEastAsia" w:cstheme="majorBidi"/>
          <w:szCs w:val="24"/>
        </w:rPr>
        <w:t>represents a series of county</w:t>
      </w:r>
      <w:r w:rsidR="008F66BD" w:rsidRPr="0004264F">
        <w:rPr>
          <w:rFonts w:eastAsiaTheme="minorEastAsia" w:cstheme="majorBidi"/>
          <w:szCs w:val="24"/>
        </w:rPr>
        <w:t>-</w:t>
      </w:r>
      <w:r w:rsidR="00D05E83" w:rsidRPr="0004264F">
        <w:rPr>
          <w:rFonts w:eastAsiaTheme="minorEastAsia" w:cstheme="majorBidi"/>
          <w:szCs w:val="24"/>
        </w:rPr>
        <w:t>by</w:t>
      </w:r>
      <w:r w:rsidR="008F66BD" w:rsidRPr="0004264F">
        <w:rPr>
          <w:rFonts w:eastAsiaTheme="minorEastAsia" w:cstheme="majorBidi"/>
          <w:szCs w:val="24"/>
        </w:rPr>
        <w:t>-</w:t>
      </w:r>
      <w:r w:rsidR="00D05E83" w:rsidRPr="0004264F">
        <w:rPr>
          <w:rFonts w:eastAsiaTheme="minorEastAsia" w:cstheme="majorBidi"/>
          <w:szCs w:val="24"/>
        </w:rPr>
        <w:t xml:space="preserve">birth year covariates constructed based on full-count decennial censuses 1920-1940 and interpolated for inter-decennial years. These covariates include </w:t>
      </w:r>
      <w:r w:rsidR="00A0625B" w:rsidRPr="0004264F">
        <w:rPr>
          <w:rFonts w:eastAsiaTheme="minorEastAsia" w:cstheme="majorBidi"/>
          <w:szCs w:val="24"/>
        </w:rPr>
        <w:t xml:space="preserve">the share of homeowners, </w:t>
      </w:r>
      <w:r w:rsidR="00520151" w:rsidRPr="0004264F">
        <w:rPr>
          <w:rFonts w:eastAsiaTheme="minorEastAsia" w:cstheme="majorBidi"/>
          <w:szCs w:val="24"/>
        </w:rPr>
        <w:t xml:space="preserve">the </w:t>
      </w:r>
      <w:r w:rsidR="00A0625B" w:rsidRPr="0004264F">
        <w:rPr>
          <w:rFonts w:eastAsiaTheme="minorEastAsia" w:cstheme="majorBidi"/>
          <w:szCs w:val="24"/>
        </w:rPr>
        <w:t xml:space="preserve">share of married people, </w:t>
      </w:r>
      <w:r w:rsidR="00033EB9" w:rsidRPr="0004264F">
        <w:rPr>
          <w:rFonts w:eastAsiaTheme="minorEastAsia" w:cstheme="majorBidi"/>
          <w:szCs w:val="24"/>
        </w:rPr>
        <w:t xml:space="preserve">and </w:t>
      </w:r>
      <w:r w:rsidR="00520151" w:rsidRPr="0004264F">
        <w:rPr>
          <w:rFonts w:eastAsiaTheme="minorEastAsia" w:cstheme="majorBidi"/>
          <w:szCs w:val="24"/>
        </w:rPr>
        <w:t xml:space="preserve">the </w:t>
      </w:r>
      <w:r w:rsidR="00A0625B" w:rsidRPr="0004264F">
        <w:rPr>
          <w:rFonts w:eastAsiaTheme="minorEastAsia" w:cstheme="majorBidi"/>
          <w:szCs w:val="24"/>
        </w:rPr>
        <w:t xml:space="preserve">average occupational income score. </w:t>
      </w:r>
      <w:r w:rsidR="0039144C" w:rsidRPr="0004264F">
        <w:rPr>
          <w:rFonts w:eastAsiaTheme="minorEastAsia" w:cstheme="majorBidi"/>
          <w:szCs w:val="24"/>
        </w:rPr>
        <w:t xml:space="preserve">The county fixed effects, represented by </w:t>
      </w:r>
      <m:oMath>
        <m:r>
          <w:rPr>
            <w:rFonts w:ascii="Cambria Math" w:eastAsiaTheme="minorEastAsia" w:hAnsi="Cambria Math" w:cstheme="majorBidi"/>
            <w:szCs w:val="24"/>
          </w:rPr>
          <m:t>ξ</m:t>
        </m:r>
      </m:oMath>
      <w:r w:rsidR="00B5619C" w:rsidRPr="0004264F">
        <w:rPr>
          <w:rFonts w:eastAsiaTheme="minorEastAsia" w:cstheme="majorBidi"/>
          <w:szCs w:val="24"/>
        </w:rPr>
        <w:t xml:space="preserve">, </w:t>
      </w:r>
      <w:r w:rsidR="008431E5" w:rsidRPr="0004264F">
        <w:rPr>
          <w:rFonts w:eastAsiaTheme="minorEastAsia" w:cstheme="majorBidi"/>
          <w:szCs w:val="24"/>
        </w:rPr>
        <w:t xml:space="preserve">control for time-invariant unobserved features of counties. </w:t>
      </w:r>
      <w:r w:rsidR="00217B93" w:rsidRPr="0004264F">
        <w:rPr>
          <w:rFonts w:eastAsiaTheme="minorEastAsia" w:cstheme="majorBidi"/>
          <w:szCs w:val="24"/>
        </w:rPr>
        <w:t xml:space="preserve">To account for temporal cohort-level changes in longevity, we add birth cohort fixed effects, represented by </w:t>
      </w:r>
      <m:oMath>
        <m:r>
          <w:rPr>
            <w:rFonts w:ascii="Cambria Math" w:eastAsiaTheme="minorEastAsia" w:hAnsi="Cambria Math" w:cstheme="majorBidi"/>
            <w:szCs w:val="24"/>
          </w:rPr>
          <m:t>ζ</m:t>
        </m:r>
      </m:oMath>
      <w:r w:rsidR="00217B93" w:rsidRPr="0004264F">
        <w:rPr>
          <w:rFonts w:eastAsiaTheme="minorEastAsia" w:cstheme="majorBidi"/>
          <w:szCs w:val="24"/>
        </w:rPr>
        <w:t xml:space="preserve">. </w:t>
      </w:r>
      <w:r w:rsidR="008431E5" w:rsidRPr="0004264F">
        <w:rPr>
          <w:rFonts w:eastAsiaTheme="minorEastAsia" w:cstheme="majorBidi"/>
          <w:szCs w:val="24"/>
        </w:rPr>
        <w:t xml:space="preserve">To account for all </w:t>
      </w:r>
      <w:r w:rsidR="00166685" w:rsidRPr="0004264F">
        <w:rPr>
          <w:rFonts w:eastAsiaTheme="minorEastAsia" w:cstheme="majorBidi"/>
          <w:szCs w:val="24"/>
        </w:rPr>
        <w:t>SEA</w:t>
      </w:r>
      <w:r w:rsidR="008431E5" w:rsidRPr="0004264F">
        <w:rPr>
          <w:rFonts w:eastAsiaTheme="minorEastAsia" w:cstheme="majorBidi"/>
          <w:szCs w:val="24"/>
        </w:rPr>
        <w:t xml:space="preserve">-by-year divergence in the outcome and other time-varying </w:t>
      </w:r>
      <w:r w:rsidR="00166685" w:rsidRPr="0004264F">
        <w:rPr>
          <w:rFonts w:eastAsiaTheme="minorEastAsia" w:cstheme="majorBidi"/>
          <w:szCs w:val="24"/>
        </w:rPr>
        <w:t xml:space="preserve">local </w:t>
      </w:r>
      <w:r w:rsidR="008431E5" w:rsidRPr="0004264F">
        <w:rPr>
          <w:rFonts w:eastAsiaTheme="minorEastAsia" w:cstheme="majorBidi"/>
          <w:szCs w:val="24"/>
        </w:rPr>
        <w:t xml:space="preserve">determinants, we include </w:t>
      </w:r>
      <w:r w:rsidR="00166685" w:rsidRPr="0004264F">
        <w:rPr>
          <w:rFonts w:eastAsiaTheme="minorEastAsia" w:cstheme="majorBidi"/>
          <w:szCs w:val="24"/>
        </w:rPr>
        <w:t>SEA</w:t>
      </w:r>
      <w:r w:rsidR="008431E5" w:rsidRPr="0004264F">
        <w:rPr>
          <w:rFonts w:eastAsiaTheme="minorEastAsia" w:cstheme="majorBidi"/>
          <w:szCs w:val="24"/>
        </w:rPr>
        <w:t xml:space="preserve">-by-birth-year fixed effects represented by </w:t>
      </w:r>
      <m:oMath>
        <m:r>
          <w:rPr>
            <w:rFonts w:ascii="Cambria Math" w:eastAsiaTheme="minorEastAsia" w:hAnsi="Cambria Math" w:cstheme="majorBidi"/>
            <w:szCs w:val="24"/>
          </w:rPr>
          <m:t>η</m:t>
        </m:r>
      </m:oMath>
      <w:r w:rsidR="008431E5" w:rsidRPr="0004264F">
        <w:rPr>
          <w:rFonts w:eastAsiaTheme="minorEastAsia" w:cstheme="majorBidi"/>
          <w:szCs w:val="24"/>
        </w:rPr>
        <w:t xml:space="preserve">. </w:t>
      </w:r>
      <w:r w:rsidR="00166685" w:rsidRPr="0004264F">
        <w:rPr>
          <w:rFonts w:eastAsiaTheme="minorEastAsia" w:cstheme="majorBidi"/>
          <w:szCs w:val="24"/>
        </w:rPr>
        <w:t xml:space="preserve">Therefore, the identifying variation comes from changes in bank deposits across counties within an SEA-year. </w:t>
      </w:r>
      <w:r w:rsidR="008431E5" w:rsidRPr="0004264F">
        <w:rPr>
          <w:rFonts w:eastAsiaTheme="minorEastAsia" w:cstheme="majorBidi"/>
          <w:szCs w:val="24"/>
        </w:rPr>
        <w:t xml:space="preserve">Finally, </w:t>
      </w:r>
      <m:oMath>
        <m:r>
          <w:rPr>
            <w:rFonts w:ascii="Cambria Math" w:eastAsiaTheme="minorEastAsia" w:hAnsi="Cambria Math" w:cstheme="majorBidi"/>
            <w:szCs w:val="24"/>
          </w:rPr>
          <m:t>ε</m:t>
        </m:r>
      </m:oMath>
      <w:r w:rsidR="008431E5" w:rsidRPr="0004264F">
        <w:rPr>
          <w:rFonts w:eastAsiaTheme="minorEastAsia" w:cstheme="majorBidi"/>
          <w:szCs w:val="24"/>
        </w:rPr>
        <w:t xml:space="preserve"> is a disturbance term. </w:t>
      </w:r>
      <w:r w:rsidR="00B82E17" w:rsidRPr="0004264F">
        <w:rPr>
          <w:rFonts w:eastAsiaTheme="minorEastAsia" w:cstheme="majorBidi"/>
          <w:szCs w:val="24"/>
        </w:rPr>
        <w:t xml:space="preserve">We cluster standard errors at the </w:t>
      </w:r>
      <w:r w:rsidR="00520151" w:rsidRPr="0004264F">
        <w:rPr>
          <w:rFonts w:eastAsiaTheme="minorEastAsia" w:cstheme="majorBidi"/>
          <w:szCs w:val="24"/>
        </w:rPr>
        <w:t>county level</w:t>
      </w:r>
      <w:r w:rsidR="00B82E17" w:rsidRPr="0004264F">
        <w:rPr>
          <w:rFonts w:eastAsiaTheme="minorEastAsia" w:cstheme="majorBidi"/>
          <w:szCs w:val="24"/>
        </w:rPr>
        <w:t xml:space="preserve"> to account for serial correlation in the error term. The coefficient of interest is </w:t>
      </w:r>
      <m:oMath>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α</m:t>
            </m:r>
          </m:e>
          <m:sub>
            <m:r>
              <w:rPr>
                <w:rFonts w:ascii="Cambria Math" w:eastAsiaTheme="minorEastAsia" w:hAnsi="Cambria Math" w:cstheme="majorBidi"/>
                <w:szCs w:val="24"/>
              </w:rPr>
              <m:t>1</m:t>
            </m:r>
          </m:sub>
        </m:sSub>
      </m:oMath>
      <w:r w:rsidR="00B82E17" w:rsidRPr="0004264F">
        <w:rPr>
          <w:rFonts w:eastAsiaTheme="minorEastAsia" w:cstheme="majorBidi"/>
          <w:szCs w:val="24"/>
        </w:rPr>
        <w:t xml:space="preserve"> that, conditional on covariates and fixed effects, captures the effect of one</w:t>
      </w:r>
      <w:r w:rsidR="00EF7400" w:rsidRPr="0004264F">
        <w:rPr>
          <w:rFonts w:eastAsiaTheme="minorEastAsia" w:cstheme="majorBidi"/>
          <w:szCs w:val="24"/>
        </w:rPr>
        <w:t>-</w:t>
      </w:r>
      <w:r w:rsidR="00B82E17" w:rsidRPr="0004264F">
        <w:rPr>
          <w:rFonts w:eastAsiaTheme="minorEastAsia" w:cstheme="majorBidi"/>
          <w:szCs w:val="24"/>
        </w:rPr>
        <w:t>standard</w:t>
      </w:r>
      <w:r w:rsidR="00EF7400" w:rsidRPr="0004264F">
        <w:rPr>
          <w:rFonts w:eastAsiaTheme="minorEastAsia" w:cstheme="majorBidi"/>
          <w:szCs w:val="24"/>
        </w:rPr>
        <w:t>-</w:t>
      </w:r>
      <w:r w:rsidR="00B82E17" w:rsidRPr="0004264F">
        <w:rPr>
          <w:rFonts w:eastAsiaTheme="minorEastAsia" w:cstheme="majorBidi"/>
          <w:szCs w:val="24"/>
        </w:rPr>
        <w:t>deviation (from mean) change in per capita bank deposits on later-life old-age longevity.</w:t>
      </w:r>
    </w:p>
    <w:p w14:paraId="3A6D0B42" w14:textId="6789A134" w:rsidR="007A59ED" w:rsidRPr="0004264F" w:rsidRDefault="007A59ED" w:rsidP="009B353A">
      <w:pPr>
        <w:pStyle w:val="Heading1"/>
        <w:rPr>
          <w:rFonts w:asciiTheme="majorBidi" w:eastAsiaTheme="minorEastAsia" w:hAnsiTheme="majorBidi"/>
          <w:szCs w:val="24"/>
        </w:rPr>
      </w:pPr>
      <w:bookmarkStart w:id="5" w:name="_Ref98081126"/>
      <w:r w:rsidRPr="0004264F">
        <w:rPr>
          <w:rFonts w:asciiTheme="majorBidi" w:eastAsiaTheme="minorEastAsia" w:hAnsiTheme="majorBidi"/>
        </w:rPr>
        <w:lastRenderedPageBreak/>
        <w:t>Results</w:t>
      </w:r>
      <w:bookmarkEnd w:id="5"/>
    </w:p>
    <w:p w14:paraId="218A4B27" w14:textId="555119BD" w:rsidR="007A59ED" w:rsidRPr="0004264F" w:rsidRDefault="007A59ED" w:rsidP="00F970D7">
      <w:pPr>
        <w:pStyle w:val="Heading2"/>
      </w:pPr>
      <w:r w:rsidRPr="0004264F">
        <w:t>Endogeneity Concerns</w:t>
      </w:r>
    </w:p>
    <w:p w14:paraId="3657380E" w14:textId="6405AF26" w:rsidR="00EB7970" w:rsidRPr="0004264F" w:rsidRDefault="000965F6" w:rsidP="00816E17">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One potential concern in our analysis is that </w:t>
      </w:r>
      <w:r w:rsidR="00520151" w:rsidRPr="0004264F">
        <w:rPr>
          <w:rFonts w:eastAsiaTheme="minorEastAsia" w:cstheme="majorBidi"/>
          <w:szCs w:val="24"/>
        </w:rPr>
        <w:t>economically improving areas attract more people and induce</w:t>
      </w:r>
      <w:r w:rsidRPr="0004264F">
        <w:rPr>
          <w:rFonts w:eastAsiaTheme="minorEastAsia" w:cstheme="majorBidi"/>
          <w:szCs w:val="24"/>
        </w:rPr>
        <w:t xml:space="preserve"> migration. Similarly</w:t>
      </w:r>
      <w:r w:rsidR="006A02A3" w:rsidRPr="0004264F">
        <w:rPr>
          <w:rFonts w:eastAsiaTheme="minorEastAsia" w:cstheme="majorBidi"/>
          <w:szCs w:val="24"/>
        </w:rPr>
        <w:t xml:space="preserve">, a recession may </w:t>
      </w:r>
      <w:r w:rsidR="00B02406" w:rsidRPr="0004264F">
        <w:rPr>
          <w:rFonts w:eastAsiaTheme="minorEastAsia" w:cstheme="majorBidi"/>
          <w:szCs w:val="24"/>
        </w:rPr>
        <w:t xml:space="preserve">affect </w:t>
      </w:r>
      <w:r w:rsidR="006A02A3" w:rsidRPr="0004264F">
        <w:rPr>
          <w:rFonts w:eastAsiaTheme="minorEastAsia" w:cstheme="majorBidi"/>
          <w:szCs w:val="24"/>
        </w:rPr>
        <w:t xml:space="preserve">different areas </w:t>
      </w:r>
      <w:r w:rsidR="00B02406" w:rsidRPr="0004264F">
        <w:rPr>
          <w:rFonts w:eastAsiaTheme="minorEastAsia" w:cstheme="majorBidi"/>
          <w:szCs w:val="24"/>
        </w:rPr>
        <w:t xml:space="preserve">to varying </w:t>
      </w:r>
      <w:r w:rsidR="00993041" w:rsidRPr="0004264F">
        <w:rPr>
          <w:rFonts w:eastAsiaTheme="minorEastAsia" w:cstheme="majorBidi"/>
          <w:szCs w:val="24"/>
        </w:rPr>
        <w:t>degrees and generates in/</w:t>
      </w:r>
      <w:r w:rsidR="00520151" w:rsidRPr="0004264F">
        <w:rPr>
          <w:rFonts w:eastAsiaTheme="minorEastAsia" w:cstheme="majorBidi"/>
          <w:szCs w:val="24"/>
        </w:rPr>
        <w:t>out-migration</w:t>
      </w:r>
      <w:r w:rsidR="00993041" w:rsidRPr="0004264F">
        <w:rPr>
          <w:rFonts w:eastAsiaTheme="minorEastAsia" w:cstheme="majorBidi"/>
          <w:szCs w:val="24"/>
        </w:rPr>
        <w:t xml:space="preserve">. </w:t>
      </w:r>
      <w:r w:rsidR="00D07B9E" w:rsidRPr="0004264F">
        <w:rPr>
          <w:rFonts w:eastAsiaTheme="minorEastAsia" w:cstheme="majorBidi"/>
          <w:szCs w:val="24"/>
        </w:rPr>
        <w:t xml:space="preserve">If </w:t>
      </w:r>
      <w:r w:rsidR="00520151" w:rsidRPr="0004264F">
        <w:rPr>
          <w:rFonts w:eastAsiaTheme="minorEastAsia" w:cstheme="majorBidi"/>
          <w:szCs w:val="24"/>
        </w:rPr>
        <w:t>certain characteristics in migrant subpopulations correlate</w:t>
      </w:r>
      <w:r w:rsidR="00D07B9E" w:rsidRPr="0004264F">
        <w:rPr>
          <w:rFonts w:eastAsiaTheme="minorEastAsia" w:cstheme="majorBidi"/>
          <w:szCs w:val="24"/>
        </w:rPr>
        <w:t xml:space="preserve"> with their later-life health and longevity, the link between deposits and longevity is contaminated by endogeneity. For instance,</w:t>
      </w:r>
      <w:r w:rsidR="005040E2" w:rsidRPr="0004264F">
        <w:rPr>
          <w:rFonts w:eastAsiaTheme="minorEastAsia" w:cstheme="majorBidi"/>
          <w:szCs w:val="24"/>
        </w:rPr>
        <w:t xml:space="preserve"> i</w:t>
      </w:r>
      <w:r w:rsidR="00D07B9E" w:rsidRPr="0004264F">
        <w:rPr>
          <w:rFonts w:eastAsiaTheme="minorEastAsia" w:cstheme="majorBidi"/>
          <w:szCs w:val="24"/>
        </w:rPr>
        <w:t xml:space="preserve">f whites are more (less) likely to migrate after a county is hit by a recession, the coefficients of equation </w:t>
      </w:r>
      <w:r w:rsidR="00D07B9E" w:rsidRPr="0004264F">
        <w:rPr>
          <w:rFonts w:eastAsiaTheme="minorEastAsia" w:cstheme="majorBidi"/>
          <w:szCs w:val="24"/>
        </w:rPr>
        <w:fldChar w:fldCharType="begin"/>
      </w:r>
      <w:r w:rsidR="00D07B9E" w:rsidRPr="0004264F">
        <w:rPr>
          <w:rFonts w:eastAsiaTheme="minorEastAsia" w:cstheme="majorBidi"/>
          <w:szCs w:val="24"/>
        </w:rPr>
        <w:instrText xml:space="preserve"> REF eq1 \h </w:instrText>
      </w:r>
      <w:r w:rsidR="00C61E40" w:rsidRPr="0004264F">
        <w:rPr>
          <w:rFonts w:eastAsiaTheme="minorEastAsia" w:cstheme="majorBidi"/>
          <w:szCs w:val="24"/>
        </w:rPr>
        <w:instrText xml:space="preserve"> \* MERGEFORMAT </w:instrText>
      </w:r>
      <w:r w:rsidR="00D07B9E" w:rsidRPr="0004264F">
        <w:rPr>
          <w:rFonts w:eastAsiaTheme="minorEastAsia" w:cstheme="majorBidi"/>
          <w:szCs w:val="24"/>
        </w:rPr>
      </w:r>
      <w:r w:rsidR="00D07B9E" w:rsidRPr="0004264F">
        <w:rPr>
          <w:rFonts w:eastAsiaTheme="minorEastAsia" w:cstheme="majorBidi"/>
          <w:szCs w:val="24"/>
        </w:rPr>
        <w:fldChar w:fldCharType="separate"/>
      </w:r>
      <w:r w:rsidR="002D23AD" w:rsidRPr="0004264F">
        <w:rPr>
          <w:rFonts w:cstheme="majorBidi"/>
          <w:szCs w:val="24"/>
        </w:rPr>
        <w:t>1</w:t>
      </w:r>
      <w:r w:rsidR="00D07B9E" w:rsidRPr="0004264F">
        <w:rPr>
          <w:rFonts w:eastAsiaTheme="minorEastAsia" w:cstheme="majorBidi"/>
          <w:szCs w:val="24"/>
        </w:rPr>
        <w:fldChar w:fldCharType="end"/>
      </w:r>
      <w:r w:rsidR="00D07B9E" w:rsidRPr="0004264F">
        <w:rPr>
          <w:rFonts w:eastAsiaTheme="minorEastAsia" w:cstheme="majorBidi"/>
          <w:szCs w:val="24"/>
        </w:rPr>
        <w:t xml:space="preserve"> </w:t>
      </w:r>
      <w:r w:rsidR="000502AB" w:rsidRPr="0004264F">
        <w:rPr>
          <w:rFonts w:eastAsiaTheme="minorEastAsia" w:cstheme="majorBidi"/>
          <w:szCs w:val="24"/>
        </w:rPr>
        <w:t xml:space="preserve">can </w:t>
      </w:r>
      <w:r w:rsidR="005040E2" w:rsidRPr="0004264F">
        <w:rPr>
          <w:rFonts w:eastAsiaTheme="minorEastAsia" w:cstheme="majorBidi"/>
          <w:szCs w:val="24"/>
        </w:rPr>
        <w:t xml:space="preserve">overstate (understate) the true effects since whites have higher longevity for reasons not necessarily captured by a race dummy. </w:t>
      </w:r>
      <w:r w:rsidR="00F654AB" w:rsidRPr="0004264F">
        <w:rPr>
          <w:rFonts w:eastAsiaTheme="minorEastAsia" w:cstheme="majorBidi"/>
          <w:szCs w:val="24"/>
        </w:rPr>
        <w:t xml:space="preserve">To explore this source of bias, we ask whether changes in bank deposits are associated with changes in observable characteristics, conditioning on county and </w:t>
      </w:r>
      <w:r w:rsidR="000944C8" w:rsidRPr="0004264F">
        <w:rPr>
          <w:rFonts w:eastAsiaTheme="minorEastAsia" w:cstheme="majorBidi"/>
          <w:szCs w:val="24"/>
        </w:rPr>
        <w:t>SEA</w:t>
      </w:r>
      <w:r w:rsidR="00F654AB" w:rsidRPr="0004264F">
        <w:rPr>
          <w:rFonts w:eastAsiaTheme="minorEastAsia" w:cstheme="majorBidi"/>
          <w:szCs w:val="24"/>
        </w:rPr>
        <w:t xml:space="preserve">-year fixed effects. </w:t>
      </w:r>
      <w:r w:rsidR="008614CF" w:rsidRPr="0004264F">
        <w:rPr>
          <w:rFonts w:eastAsiaTheme="minorEastAsia" w:cstheme="majorBidi"/>
          <w:szCs w:val="24"/>
        </w:rPr>
        <w:t xml:space="preserve">The results of </w:t>
      </w:r>
      <w:r w:rsidR="0020545F" w:rsidRPr="0004264F">
        <w:rPr>
          <w:rFonts w:eastAsiaTheme="minorEastAsia" w:cstheme="majorBidi"/>
          <w:szCs w:val="24"/>
        </w:rPr>
        <w:t>such</w:t>
      </w:r>
      <w:r w:rsidR="008614CF" w:rsidRPr="0004264F">
        <w:rPr>
          <w:rFonts w:eastAsiaTheme="minorEastAsia" w:cstheme="majorBidi"/>
          <w:szCs w:val="24"/>
        </w:rPr>
        <w:t xml:space="preserve"> balancing test</w:t>
      </w:r>
      <w:r w:rsidR="0020545F" w:rsidRPr="0004264F">
        <w:rPr>
          <w:rFonts w:eastAsiaTheme="minorEastAsia" w:cstheme="majorBidi"/>
          <w:szCs w:val="24"/>
        </w:rPr>
        <w:t>s</w:t>
      </w:r>
      <w:r w:rsidR="008614CF" w:rsidRPr="0004264F">
        <w:rPr>
          <w:rFonts w:eastAsiaTheme="minorEastAsia" w:cstheme="majorBidi"/>
          <w:szCs w:val="24"/>
        </w:rPr>
        <w:t xml:space="preserve"> </w:t>
      </w:r>
      <w:r w:rsidR="0020545F" w:rsidRPr="0004264F">
        <w:rPr>
          <w:rFonts w:eastAsiaTheme="minorEastAsia" w:cstheme="majorBidi"/>
          <w:szCs w:val="24"/>
        </w:rPr>
        <w:t>are</w:t>
      </w:r>
      <w:r w:rsidR="008614CF" w:rsidRPr="0004264F">
        <w:rPr>
          <w:rFonts w:eastAsiaTheme="minorEastAsia" w:cstheme="majorBidi"/>
          <w:szCs w:val="24"/>
        </w:rPr>
        <w:t xml:space="preserve"> reported in </w:t>
      </w:r>
      <w:r w:rsidR="002C57D5" w:rsidRPr="0004264F">
        <w:rPr>
          <w:rFonts w:eastAsiaTheme="minorEastAsia" w:cstheme="majorBidi"/>
          <w:szCs w:val="24"/>
        </w:rPr>
        <w:fldChar w:fldCharType="begin"/>
      </w:r>
      <w:r w:rsidR="002C57D5" w:rsidRPr="0004264F">
        <w:rPr>
          <w:rFonts w:eastAsiaTheme="minorEastAsia" w:cstheme="majorBidi"/>
          <w:szCs w:val="24"/>
        </w:rPr>
        <w:instrText xml:space="preserve"> REF _Ref111326180 \h </w:instrText>
      </w:r>
      <w:r w:rsidR="00EA4541" w:rsidRPr="0004264F">
        <w:rPr>
          <w:rFonts w:eastAsiaTheme="minorEastAsia" w:cstheme="majorBidi"/>
          <w:szCs w:val="24"/>
        </w:rPr>
        <w:instrText xml:space="preserve"> \* MERGEFORMAT </w:instrText>
      </w:r>
      <w:r w:rsidR="002C57D5" w:rsidRPr="0004264F">
        <w:rPr>
          <w:rFonts w:eastAsiaTheme="minorEastAsia" w:cstheme="majorBidi"/>
          <w:szCs w:val="24"/>
        </w:rPr>
      </w:r>
      <w:r w:rsidR="002C57D5" w:rsidRPr="0004264F">
        <w:rPr>
          <w:rFonts w:eastAsiaTheme="minorEastAsia" w:cstheme="majorBidi"/>
          <w:szCs w:val="24"/>
        </w:rPr>
        <w:fldChar w:fldCharType="separate"/>
      </w:r>
      <w:r w:rsidR="002D23AD" w:rsidRPr="0004264F">
        <w:rPr>
          <w:rFonts w:cstheme="majorBidi"/>
        </w:rPr>
        <w:t xml:space="preserve">Table </w:t>
      </w:r>
      <w:r w:rsidR="002D23AD" w:rsidRPr="0004264F">
        <w:rPr>
          <w:rFonts w:cstheme="majorBidi"/>
          <w:noProof/>
        </w:rPr>
        <w:t>2</w:t>
      </w:r>
      <w:r w:rsidR="002C57D5" w:rsidRPr="0004264F">
        <w:rPr>
          <w:rFonts w:eastAsiaTheme="minorEastAsia" w:cstheme="majorBidi"/>
          <w:szCs w:val="24"/>
        </w:rPr>
        <w:fldChar w:fldCharType="end"/>
      </w:r>
      <w:r w:rsidR="002C57D5" w:rsidRPr="0004264F">
        <w:rPr>
          <w:rFonts w:eastAsiaTheme="minorEastAsia" w:cstheme="majorBidi"/>
          <w:szCs w:val="24"/>
        </w:rPr>
        <w:t>.</w:t>
      </w:r>
      <w:r w:rsidR="00C33072" w:rsidRPr="0004264F">
        <w:rPr>
          <w:rFonts w:eastAsiaTheme="minorEastAsia" w:cstheme="majorBidi"/>
          <w:szCs w:val="24"/>
        </w:rPr>
        <w:t xml:space="preserve"> We do not observe any statistical association between bank deposits and probability of being white, mother’s schooling, father’s schooling, and father’s socioeconomic score. Moreover, </w:t>
      </w:r>
      <w:r w:rsidR="000D3735" w:rsidRPr="0004264F">
        <w:rPr>
          <w:rFonts w:eastAsiaTheme="minorEastAsia" w:cstheme="majorBidi"/>
          <w:szCs w:val="24"/>
        </w:rPr>
        <w:t>the estimated effect size</w:t>
      </w:r>
      <w:r w:rsidR="00C33072" w:rsidRPr="0004264F">
        <w:rPr>
          <w:rFonts w:eastAsiaTheme="minorEastAsia" w:cstheme="majorBidi"/>
          <w:szCs w:val="24"/>
        </w:rPr>
        <w:t>s</w:t>
      </w:r>
      <w:r w:rsidR="000D3735" w:rsidRPr="0004264F">
        <w:rPr>
          <w:rFonts w:eastAsiaTheme="minorEastAsia" w:cstheme="majorBidi"/>
          <w:szCs w:val="24"/>
        </w:rPr>
        <w:t xml:space="preserve"> </w:t>
      </w:r>
      <w:r w:rsidR="00C33072" w:rsidRPr="0004264F">
        <w:rPr>
          <w:rFonts w:eastAsiaTheme="minorEastAsia" w:cstheme="majorBidi"/>
          <w:szCs w:val="24"/>
        </w:rPr>
        <w:t>are</w:t>
      </w:r>
      <w:r w:rsidR="000D3735" w:rsidRPr="0004264F">
        <w:rPr>
          <w:rFonts w:eastAsiaTheme="minorEastAsia" w:cstheme="majorBidi"/>
          <w:szCs w:val="24"/>
        </w:rPr>
        <w:t xml:space="preserve"> economically small. </w:t>
      </w:r>
      <w:r w:rsidR="00C33072" w:rsidRPr="0004264F">
        <w:rPr>
          <w:rFonts w:eastAsiaTheme="minorEastAsia" w:cstheme="majorBidi"/>
          <w:szCs w:val="24"/>
        </w:rPr>
        <w:t>For instance, based on percent change from the mean of the dependent variable reported in the fifth row, t</w:t>
      </w:r>
      <w:r w:rsidR="00EB5C06" w:rsidRPr="0004264F">
        <w:rPr>
          <w:rFonts w:eastAsiaTheme="minorEastAsia" w:cstheme="majorBidi"/>
          <w:szCs w:val="24"/>
        </w:rPr>
        <w:t>he effect</w:t>
      </w:r>
      <w:r w:rsidR="00C33072" w:rsidRPr="0004264F">
        <w:rPr>
          <w:rFonts w:eastAsiaTheme="minorEastAsia" w:cstheme="majorBidi"/>
          <w:szCs w:val="24"/>
        </w:rPr>
        <w:t>s</w:t>
      </w:r>
      <w:r w:rsidR="00EB5C06" w:rsidRPr="0004264F">
        <w:rPr>
          <w:rFonts w:eastAsiaTheme="minorEastAsia" w:cstheme="majorBidi"/>
          <w:szCs w:val="24"/>
        </w:rPr>
        <w:t xml:space="preserve"> suggest that a </w:t>
      </w:r>
      <w:r w:rsidR="00DC22EE" w:rsidRPr="0004264F">
        <w:rPr>
          <w:rFonts w:eastAsiaTheme="minorEastAsia" w:cstheme="majorBidi"/>
          <w:szCs w:val="24"/>
        </w:rPr>
        <w:t>one-standard deviation</w:t>
      </w:r>
      <w:r w:rsidR="00EB5C06" w:rsidRPr="0004264F">
        <w:rPr>
          <w:rFonts w:eastAsiaTheme="minorEastAsia" w:cstheme="majorBidi"/>
          <w:szCs w:val="24"/>
        </w:rPr>
        <w:t xml:space="preserve"> change in bank deposits is correlated with </w:t>
      </w:r>
      <w:r w:rsidR="00C33072" w:rsidRPr="0004264F">
        <w:rPr>
          <w:rFonts w:eastAsiaTheme="minorEastAsia" w:cstheme="majorBidi"/>
          <w:szCs w:val="24"/>
        </w:rPr>
        <w:t xml:space="preserve">0.27 percent change in white, 0.15 percent change in maternal schooling, and 0.32 percent change in paternal socioeconomic score. </w:t>
      </w:r>
      <w:r w:rsidR="00EB5C06" w:rsidRPr="0004264F">
        <w:rPr>
          <w:rFonts w:eastAsiaTheme="minorEastAsia" w:cstheme="majorBidi"/>
          <w:szCs w:val="24"/>
        </w:rPr>
        <w:t xml:space="preserve">Therefore, </w:t>
      </w:r>
      <w:r w:rsidR="00816E17" w:rsidRPr="0004264F">
        <w:rPr>
          <w:rFonts w:eastAsiaTheme="minorEastAsia" w:cstheme="majorBidi"/>
          <w:szCs w:val="24"/>
        </w:rPr>
        <w:t>t</w:t>
      </w:r>
      <w:r w:rsidR="00A8698A" w:rsidRPr="0004264F">
        <w:rPr>
          <w:rFonts w:eastAsiaTheme="minorEastAsia" w:cstheme="majorBidi"/>
          <w:szCs w:val="24"/>
        </w:rPr>
        <w:t xml:space="preserve">he big picture extracted from these numbers is a failure in finding robust and strong evidence of demographic and socioeconomic changes due to changes in bank deposits that </w:t>
      </w:r>
      <w:r w:rsidR="00FB62D7" w:rsidRPr="0004264F">
        <w:rPr>
          <w:rFonts w:eastAsiaTheme="minorEastAsia" w:cstheme="majorBidi"/>
          <w:szCs w:val="24"/>
        </w:rPr>
        <w:t xml:space="preserve">could </w:t>
      </w:r>
      <w:r w:rsidR="00D273BB" w:rsidRPr="0004264F">
        <w:rPr>
          <w:rFonts w:eastAsiaTheme="minorEastAsia" w:cstheme="majorBidi"/>
          <w:szCs w:val="24"/>
        </w:rPr>
        <w:t>unbalance</w:t>
      </w:r>
      <w:r w:rsidR="00A8698A" w:rsidRPr="0004264F">
        <w:rPr>
          <w:rFonts w:eastAsiaTheme="minorEastAsia" w:cstheme="majorBidi"/>
          <w:szCs w:val="24"/>
        </w:rPr>
        <w:t xml:space="preserve"> the sample by contaminating the long-run relationships. </w:t>
      </w:r>
    </w:p>
    <w:p w14:paraId="71A24F93" w14:textId="4DBA5EFF" w:rsidR="00FF7E23" w:rsidRPr="0004264F" w:rsidRDefault="00B34C1B" w:rsidP="00CA505D">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Another concern is that </w:t>
      </w:r>
      <w:r w:rsidR="00BF2033" w:rsidRPr="0004264F">
        <w:rPr>
          <w:rFonts w:eastAsiaTheme="minorEastAsia" w:cstheme="majorBidi"/>
          <w:szCs w:val="24"/>
        </w:rPr>
        <w:t>linkage rates</w:t>
      </w:r>
      <w:r w:rsidRPr="0004264F">
        <w:rPr>
          <w:rFonts w:eastAsiaTheme="minorEastAsia" w:cstheme="majorBidi"/>
          <w:szCs w:val="24"/>
        </w:rPr>
        <w:t xml:space="preserve"> between </w:t>
      </w:r>
      <w:r w:rsidR="00991D54" w:rsidRPr="0004264F">
        <w:rPr>
          <w:rFonts w:eastAsiaTheme="minorEastAsia" w:cstheme="majorBidi"/>
          <w:szCs w:val="24"/>
        </w:rPr>
        <w:t>DMF</w:t>
      </w:r>
      <w:r w:rsidRPr="0004264F">
        <w:rPr>
          <w:rFonts w:eastAsiaTheme="minorEastAsia" w:cstheme="majorBidi"/>
          <w:szCs w:val="24"/>
        </w:rPr>
        <w:t xml:space="preserve"> and the 1940-census </w:t>
      </w:r>
      <w:r w:rsidR="00BF2033" w:rsidRPr="0004264F">
        <w:rPr>
          <w:rFonts w:eastAsiaTheme="minorEastAsia" w:cstheme="majorBidi"/>
          <w:szCs w:val="24"/>
        </w:rPr>
        <w:t xml:space="preserve">may be </w:t>
      </w:r>
      <w:r w:rsidRPr="0004264F">
        <w:rPr>
          <w:rFonts w:eastAsiaTheme="minorEastAsia" w:cstheme="majorBidi"/>
          <w:szCs w:val="24"/>
        </w:rPr>
        <w:t xml:space="preserve">predicted by </w:t>
      </w:r>
      <w:r w:rsidR="00D273BB" w:rsidRPr="0004264F">
        <w:rPr>
          <w:rFonts w:eastAsiaTheme="minorEastAsia" w:cstheme="majorBidi"/>
          <w:szCs w:val="24"/>
        </w:rPr>
        <w:t>early-life</w:t>
      </w:r>
      <w:r w:rsidRPr="0004264F">
        <w:rPr>
          <w:rFonts w:eastAsiaTheme="minorEastAsia" w:cstheme="majorBidi"/>
          <w:szCs w:val="24"/>
        </w:rPr>
        <w:t xml:space="preserve"> shocks</w:t>
      </w:r>
      <w:r w:rsidR="00BF2033" w:rsidRPr="0004264F">
        <w:rPr>
          <w:rFonts w:eastAsiaTheme="minorEastAsia" w:cstheme="majorBidi"/>
          <w:szCs w:val="24"/>
        </w:rPr>
        <w:t>,</w:t>
      </w:r>
      <w:r w:rsidRPr="0004264F">
        <w:rPr>
          <w:rFonts w:eastAsiaTheme="minorEastAsia" w:cstheme="majorBidi"/>
          <w:szCs w:val="24"/>
        </w:rPr>
        <w:t xml:space="preserve"> such as changes in deposits. While the linking rule</w:t>
      </w:r>
      <w:r w:rsidR="00BF2033" w:rsidRPr="0004264F">
        <w:rPr>
          <w:rFonts w:eastAsiaTheme="minorEastAsia" w:cstheme="majorBidi"/>
          <w:szCs w:val="24"/>
        </w:rPr>
        <w:t>s</w:t>
      </w:r>
      <w:r w:rsidRPr="0004264F">
        <w:rPr>
          <w:rFonts w:eastAsiaTheme="minorEastAsia" w:cstheme="majorBidi"/>
          <w:szCs w:val="24"/>
        </w:rPr>
        <w:t xml:space="preserve"> </w:t>
      </w:r>
      <w:r w:rsidR="00BF2033" w:rsidRPr="0004264F">
        <w:rPr>
          <w:rFonts w:eastAsiaTheme="minorEastAsia" w:cstheme="majorBidi"/>
          <w:szCs w:val="24"/>
        </w:rPr>
        <w:t xml:space="preserve">are </w:t>
      </w:r>
      <w:r w:rsidRPr="0004264F">
        <w:rPr>
          <w:rFonts w:eastAsiaTheme="minorEastAsia" w:cstheme="majorBidi"/>
          <w:szCs w:val="24"/>
        </w:rPr>
        <w:t>primarily based on name commonality</w:t>
      </w:r>
      <w:r w:rsidR="00536C2C" w:rsidRPr="0004264F">
        <w:rPr>
          <w:rFonts w:eastAsiaTheme="minorEastAsia" w:cstheme="majorBidi"/>
          <w:szCs w:val="24"/>
        </w:rPr>
        <w:t>,</w:t>
      </w:r>
      <w:r w:rsidRPr="0004264F">
        <w:rPr>
          <w:rFonts w:eastAsiaTheme="minorEastAsia" w:cstheme="majorBidi"/>
          <w:szCs w:val="24"/>
        </w:rPr>
        <w:t xml:space="preserve"> and we have little prior concern for this</w:t>
      </w:r>
      <w:r w:rsidR="00DB22FD" w:rsidRPr="0004264F">
        <w:rPr>
          <w:rFonts w:eastAsiaTheme="minorEastAsia" w:cstheme="majorBidi"/>
          <w:szCs w:val="24"/>
        </w:rPr>
        <w:t xml:space="preserve"> being</w:t>
      </w:r>
      <w:r w:rsidR="00293754" w:rsidRPr="0004264F">
        <w:rPr>
          <w:rFonts w:eastAsiaTheme="minorEastAsia" w:cstheme="majorBidi"/>
          <w:szCs w:val="24"/>
        </w:rPr>
        <w:t xml:space="preserve"> correlated with local economic conditions</w:t>
      </w:r>
      <w:r w:rsidRPr="0004264F">
        <w:rPr>
          <w:rFonts w:eastAsiaTheme="minorEastAsia" w:cstheme="majorBidi"/>
          <w:szCs w:val="24"/>
        </w:rPr>
        <w:t>, we explore merging issue</w:t>
      </w:r>
      <w:r w:rsidR="00BF2033" w:rsidRPr="0004264F">
        <w:rPr>
          <w:rFonts w:eastAsiaTheme="minorEastAsia" w:cstheme="majorBidi"/>
          <w:szCs w:val="24"/>
        </w:rPr>
        <w:t>s</w:t>
      </w:r>
      <w:r w:rsidRPr="0004264F">
        <w:rPr>
          <w:rFonts w:eastAsiaTheme="minorEastAsia" w:cstheme="majorBidi"/>
          <w:szCs w:val="24"/>
        </w:rPr>
        <w:t xml:space="preserve"> empirically by </w:t>
      </w:r>
      <w:r w:rsidR="00DA03FB" w:rsidRPr="0004264F">
        <w:rPr>
          <w:rFonts w:eastAsiaTheme="minorEastAsia" w:cstheme="majorBidi"/>
          <w:szCs w:val="24"/>
        </w:rPr>
        <w:t xml:space="preserve">evaluating the correlation between </w:t>
      </w:r>
      <w:r w:rsidR="00536C2C" w:rsidRPr="0004264F">
        <w:rPr>
          <w:rFonts w:eastAsiaTheme="minorEastAsia" w:cstheme="majorBidi"/>
          <w:szCs w:val="24"/>
        </w:rPr>
        <w:t xml:space="preserve">the </w:t>
      </w:r>
      <w:r w:rsidR="00DA03FB" w:rsidRPr="0004264F">
        <w:rPr>
          <w:rFonts w:eastAsiaTheme="minorEastAsia" w:cstheme="majorBidi"/>
          <w:szCs w:val="24"/>
        </w:rPr>
        <w:lastRenderedPageBreak/>
        <w:t xml:space="preserve">merging of </w:t>
      </w:r>
      <w:r w:rsidR="00991D54" w:rsidRPr="0004264F">
        <w:rPr>
          <w:rFonts w:eastAsiaTheme="minorEastAsia" w:cstheme="majorBidi"/>
          <w:szCs w:val="24"/>
        </w:rPr>
        <w:t>DMF</w:t>
      </w:r>
      <w:r w:rsidR="00DA03FB" w:rsidRPr="0004264F">
        <w:rPr>
          <w:rFonts w:eastAsiaTheme="minorEastAsia" w:cstheme="majorBidi"/>
          <w:szCs w:val="24"/>
        </w:rPr>
        <w:t>-census records and deposits</w:t>
      </w:r>
      <w:r w:rsidRPr="0004264F">
        <w:rPr>
          <w:rFonts w:eastAsiaTheme="minorEastAsia" w:cstheme="majorBidi"/>
          <w:szCs w:val="24"/>
        </w:rPr>
        <w:t>. In so doing, we start by imposing sample se</w:t>
      </w:r>
      <w:r w:rsidR="00293754" w:rsidRPr="0004264F">
        <w:rPr>
          <w:rFonts w:eastAsiaTheme="minorEastAsia" w:cstheme="majorBidi"/>
          <w:szCs w:val="24"/>
        </w:rPr>
        <w:t>le</w:t>
      </w:r>
      <w:r w:rsidRPr="0004264F">
        <w:rPr>
          <w:rFonts w:eastAsiaTheme="minorEastAsia" w:cstheme="majorBidi"/>
          <w:szCs w:val="24"/>
        </w:rPr>
        <w:t xml:space="preserve">ctions </w:t>
      </w:r>
      <w:r w:rsidR="00293754" w:rsidRPr="0004264F">
        <w:rPr>
          <w:rFonts w:eastAsiaTheme="minorEastAsia" w:cstheme="majorBidi"/>
          <w:szCs w:val="24"/>
        </w:rPr>
        <w:t xml:space="preserve">as discussed in </w:t>
      </w:r>
      <w:r w:rsidR="000D3735" w:rsidRPr="0004264F">
        <w:rPr>
          <w:rFonts w:eastAsiaTheme="minorEastAsia" w:cstheme="majorBidi"/>
          <w:szCs w:val="24"/>
        </w:rPr>
        <w:t>s</w:t>
      </w:r>
      <w:r w:rsidR="00293754" w:rsidRPr="0004264F">
        <w:rPr>
          <w:rFonts w:eastAsiaTheme="minorEastAsia" w:cstheme="majorBidi"/>
          <w:szCs w:val="24"/>
        </w:rPr>
        <w:t>ection</w:t>
      </w:r>
      <w:r w:rsidR="009A0366" w:rsidRPr="0004264F">
        <w:rPr>
          <w:rFonts w:eastAsiaTheme="minorEastAsia" w:cstheme="majorBidi"/>
          <w:szCs w:val="24"/>
        </w:rPr>
        <w:t xml:space="preserve"> 3.</w:t>
      </w:r>
      <w:r w:rsidRPr="0004264F">
        <w:rPr>
          <w:rFonts w:eastAsiaTheme="minorEastAsia" w:cstheme="majorBidi"/>
          <w:szCs w:val="24"/>
        </w:rPr>
        <w:t xml:space="preserve"> </w:t>
      </w:r>
      <w:r w:rsidR="009A0366" w:rsidRPr="0004264F">
        <w:rPr>
          <w:rFonts w:eastAsiaTheme="minorEastAsia" w:cstheme="majorBidi"/>
          <w:szCs w:val="24"/>
        </w:rPr>
        <w:t xml:space="preserve">We also follow the procedure described in section </w:t>
      </w:r>
      <w:r w:rsidR="009A0366" w:rsidRPr="0004264F">
        <w:rPr>
          <w:rFonts w:eastAsiaTheme="minorEastAsia" w:cstheme="majorBidi"/>
          <w:szCs w:val="24"/>
        </w:rPr>
        <w:fldChar w:fldCharType="begin"/>
      </w:r>
      <w:r w:rsidR="009A0366" w:rsidRPr="0004264F">
        <w:rPr>
          <w:rFonts w:eastAsiaTheme="minorEastAsia" w:cstheme="majorBidi"/>
          <w:szCs w:val="24"/>
        </w:rPr>
        <w:instrText xml:space="preserve"> REF _Ref97828632 \n \h </w:instrText>
      </w:r>
      <w:r w:rsidR="00510BC3" w:rsidRPr="0004264F">
        <w:rPr>
          <w:rFonts w:eastAsiaTheme="minorEastAsia" w:cstheme="majorBidi"/>
          <w:szCs w:val="24"/>
        </w:rPr>
        <w:instrText xml:space="preserve"> \* MERGEFORMAT </w:instrText>
      </w:r>
      <w:r w:rsidR="009A0366" w:rsidRPr="0004264F">
        <w:rPr>
          <w:rFonts w:eastAsiaTheme="minorEastAsia" w:cstheme="majorBidi"/>
          <w:szCs w:val="24"/>
        </w:rPr>
      </w:r>
      <w:r w:rsidR="009A0366" w:rsidRPr="0004264F">
        <w:rPr>
          <w:rFonts w:eastAsiaTheme="minorEastAsia" w:cstheme="majorBidi"/>
          <w:szCs w:val="24"/>
        </w:rPr>
        <w:fldChar w:fldCharType="separate"/>
      </w:r>
      <w:r w:rsidR="00816E17" w:rsidRPr="0004264F">
        <w:rPr>
          <w:rFonts w:eastAsiaTheme="minorEastAsia" w:cstheme="majorBidi"/>
          <w:szCs w:val="24"/>
          <w:cs/>
        </w:rPr>
        <w:t>‎</w:t>
      </w:r>
      <w:r w:rsidR="00816E17" w:rsidRPr="0004264F">
        <w:rPr>
          <w:rFonts w:eastAsiaTheme="minorEastAsia" w:cstheme="majorBidi"/>
          <w:szCs w:val="24"/>
        </w:rPr>
        <w:t>3</w:t>
      </w:r>
      <w:r w:rsidR="009A0366" w:rsidRPr="0004264F">
        <w:rPr>
          <w:rFonts w:eastAsiaTheme="minorEastAsia" w:cstheme="majorBidi"/>
          <w:szCs w:val="24"/>
        </w:rPr>
        <w:fldChar w:fldCharType="end"/>
      </w:r>
      <w:r w:rsidR="009A0366" w:rsidRPr="0004264F">
        <w:rPr>
          <w:rFonts w:eastAsiaTheme="minorEastAsia" w:cstheme="majorBidi"/>
          <w:szCs w:val="24"/>
        </w:rPr>
        <w:t xml:space="preserve"> to infer county-of-birth. T</w:t>
      </w:r>
      <w:r w:rsidR="00734E4D" w:rsidRPr="0004264F">
        <w:rPr>
          <w:rFonts w:eastAsiaTheme="minorEastAsia" w:cstheme="majorBidi"/>
          <w:szCs w:val="24"/>
        </w:rPr>
        <w:t>he sample selections</w:t>
      </w:r>
      <w:r w:rsidR="00A624CE" w:rsidRPr="0004264F">
        <w:rPr>
          <w:rFonts w:eastAsiaTheme="minorEastAsia" w:cstheme="majorBidi"/>
          <w:szCs w:val="24"/>
        </w:rPr>
        <w:t xml:space="preserve"> </w:t>
      </w:r>
      <w:r w:rsidR="008B1FEE" w:rsidRPr="0004264F">
        <w:rPr>
          <w:rFonts w:eastAsiaTheme="minorEastAsia" w:cstheme="majorBidi"/>
          <w:szCs w:val="24"/>
        </w:rPr>
        <w:t>result</w:t>
      </w:r>
      <w:r w:rsidR="00D35468" w:rsidRPr="0004264F">
        <w:rPr>
          <w:rFonts w:eastAsiaTheme="minorEastAsia" w:cstheme="majorBidi"/>
          <w:szCs w:val="24"/>
        </w:rPr>
        <w:t xml:space="preserve"> in </w:t>
      </w:r>
      <w:r w:rsidR="00816E17" w:rsidRPr="0004264F">
        <w:rPr>
          <w:rFonts w:eastAsiaTheme="minorEastAsia" w:cstheme="majorBidi"/>
          <w:szCs w:val="24"/>
        </w:rPr>
        <w:t>22</w:t>
      </w:r>
      <w:r w:rsidR="00D35468" w:rsidRPr="0004264F">
        <w:rPr>
          <w:rFonts w:eastAsiaTheme="minorEastAsia" w:cstheme="majorBidi"/>
          <w:szCs w:val="24"/>
        </w:rPr>
        <w:t>,</w:t>
      </w:r>
      <w:r w:rsidR="00816E17" w:rsidRPr="0004264F">
        <w:rPr>
          <w:rFonts w:eastAsiaTheme="minorEastAsia" w:cstheme="majorBidi"/>
          <w:szCs w:val="24"/>
        </w:rPr>
        <w:t>285</w:t>
      </w:r>
      <w:r w:rsidR="00D35468" w:rsidRPr="0004264F">
        <w:rPr>
          <w:rFonts w:eastAsiaTheme="minorEastAsia" w:cstheme="majorBidi"/>
          <w:szCs w:val="24"/>
        </w:rPr>
        <w:t>,</w:t>
      </w:r>
      <w:r w:rsidR="00816E17" w:rsidRPr="0004264F">
        <w:rPr>
          <w:rFonts w:eastAsiaTheme="minorEastAsia" w:cstheme="majorBidi"/>
          <w:szCs w:val="24"/>
        </w:rPr>
        <w:t xml:space="preserve">131 </w:t>
      </w:r>
      <w:r w:rsidR="00734E4D" w:rsidRPr="0004264F">
        <w:rPr>
          <w:rFonts w:eastAsiaTheme="minorEastAsia" w:cstheme="majorBidi"/>
          <w:szCs w:val="24"/>
        </w:rPr>
        <w:t>observations</w:t>
      </w:r>
      <w:r w:rsidR="00E42F0A" w:rsidRPr="0004264F">
        <w:rPr>
          <w:rFonts w:eastAsiaTheme="minorEastAsia" w:cstheme="majorBidi"/>
          <w:szCs w:val="24"/>
        </w:rPr>
        <w:t xml:space="preserve"> before merging with the </w:t>
      </w:r>
      <w:r w:rsidR="00991D54" w:rsidRPr="0004264F">
        <w:rPr>
          <w:rFonts w:eastAsiaTheme="minorEastAsia" w:cstheme="majorBidi"/>
          <w:szCs w:val="24"/>
        </w:rPr>
        <w:t>DMF</w:t>
      </w:r>
      <w:r w:rsidR="00E42F0A" w:rsidRPr="0004264F">
        <w:rPr>
          <w:rFonts w:eastAsiaTheme="minorEastAsia" w:cstheme="majorBidi"/>
          <w:szCs w:val="24"/>
        </w:rPr>
        <w:t xml:space="preserve"> death records</w:t>
      </w:r>
      <w:r w:rsidR="00734E4D" w:rsidRPr="0004264F">
        <w:rPr>
          <w:rFonts w:eastAsiaTheme="minorEastAsia" w:cstheme="majorBidi"/>
          <w:szCs w:val="24"/>
        </w:rPr>
        <w:t xml:space="preserve">. </w:t>
      </w:r>
      <w:r w:rsidR="00DA03FB" w:rsidRPr="0004264F">
        <w:rPr>
          <w:rFonts w:eastAsiaTheme="minorEastAsia" w:cstheme="majorBidi"/>
          <w:szCs w:val="24"/>
        </w:rPr>
        <w:t xml:space="preserve">The successful merge dummy takes a value of one if </w:t>
      </w:r>
      <w:r w:rsidR="00991D54" w:rsidRPr="0004264F">
        <w:rPr>
          <w:rFonts w:eastAsiaTheme="minorEastAsia" w:cstheme="majorBidi"/>
          <w:szCs w:val="24"/>
        </w:rPr>
        <w:t>DMF</w:t>
      </w:r>
      <w:r w:rsidR="00DA03FB" w:rsidRPr="0004264F">
        <w:rPr>
          <w:rFonts w:eastAsiaTheme="minorEastAsia" w:cstheme="majorBidi"/>
          <w:szCs w:val="24"/>
        </w:rPr>
        <w:t xml:space="preserve"> is merged with the census records and zero otherwise. We then regress this variable on deposits per capita, conditional on a full specification of equation </w:t>
      </w:r>
      <w:r w:rsidR="00DA03FB" w:rsidRPr="0004264F">
        <w:rPr>
          <w:rFonts w:eastAsiaTheme="minorEastAsia" w:cstheme="majorBidi"/>
          <w:szCs w:val="24"/>
        </w:rPr>
        <w:fldChar w:fldCharType="begin"/>
      </w:r>
      <w:r w:rsidR="00DA03FB" w:rsidRPr="0004264F">
        <w:rPr>
          <w:rFonts w:eastAsiaTheme="minorEastAsia" w:cstheme="majorBidi"/>
          <w:szCs w:val="24"/>
        </w:rPr>
        <w:instrText xml:space="preserve"> REF eq1 \h </w:instrText>
      </w:r>
      <w:r w:rsidR="00C61E40" w:rsidRPr="0004264F">
        <w:rPr>
          <w:rFonts w:eastAsiaTheme="minorEastAsia" w:cstheme="majorBidi"/>
          <w:szCs w:val="24"/>
        </w:rPr>
        <w:instrText xml:space="preserve"> \* MERGEFORMAT </w:instrText>
      </w:r>
      <w:r w:rsidR="00DA03FB" w:rsidRPr="0004264F">
        <w:rPr>
          <w:rFonts w:eastAsiaTheme="minorEastAsia" w:cstheme="majorBidi"/>
          <w:szCs w:val="24"/>
        </w:rPr>
      </w:r>
      <w:r w:rsidR="00DA03FB" w:rsidRPr="0004264F">
        <w:rPr>
          <w:rFonts w:eastAsiaTheme="minorEastAsia" w:cstheme="majorBidi"/>
          <w:szCs w:val="24"/>
        </w:rPr>
        <w:fldChar w:fldCharType="separate"/>
      </w:r>
      <w:r w:rsidR="00816E17" w:rsidRPr="0004264F">
        <w:rPr>
          <w:rFonts w:cstheme="majorBidi"/>
          <w:szCs w:val="24"/>
        </w:rPr>
        <w:t>1</w:t>
      </w:r>
      <w:r w:rsidR="00DA03FB" w:rsidRPr="0004264F">
        <w:rPr>
          <w:rFonts w:eastAsiaTheme="minorEastAsia" w:cstheme="majorBidi"/>
          <w:szCs w:val="24"/>
        </w:rPr>
        <w:fldChar w:fldCharType="end"/>
      </w:r>
      <w:r w:rsidR="00DA03FB" w:rsidRPr="0004264F">
        <w:rPr>
          <w:rFonts w:eastAsiaTheme="minorEastAsia" w:cstheme="majorBidi"/>
          <w:szCs w:val="24"/>
        </w:rPr>
        <w:t xml:space="preserve">. The results are reported in </w:t>
      </w:r>
      <w:r w:rsidR="00B5515A" w:rsidRPr="0004264F">
        <w:rPr>
          <w:rFonts w:eastAsiaTheme="minorEastAsia" w:cstheme="majorBidi"/>
          <w:szCs w:val="24"/>
        </w:rPr>
        <w:fldChar w:fldCharType="begin"/>
      </w:r>
      <w:r w:rsidR="00B5515A" w:rsidRPr="0004264F">
        <w:rPr>
          <w:rFonts w:eastAsiaTheme="minorEastAsia" w:cstheme="majorBidi"/>
          <w:szCs w:val="24"/>
        </w:rPr>
        <w:instrText xml:space="preserve"> REF _Ref111244115 \h </w:instrText>
      </w:r>
      <w:r w:rsidR="00510BC3" w:rsidRPr="0004264F">
        <w:rPr>
          <w:rFonts w:eastAsiaTheme="minorEastAsia" w:cstheme="majorBidi"/>
          <w:szCs w:val="24"/>
        </w:rPr>
        <w:instrText xml:space="preserve"> \* MERGEFORMAT </w:instrText>
      </w:r>
      <w:r w:rsidR="00B5515A" w:rsidRPr="0004264F">
        <w:rPr>
          <w:rFonts w:eastAsiaTheme="minorEastAsia" w:cstheme="majorBidi"/>
          <w:szCs w:val="24"/>
        </w:rPr>
      </w:r>
      <w:r w:rsidR="00B5515A" w:rsidRPr="0004264F">
        <w:rPr>
          <w:rFonts w:eastAsiaTheme="minorEastAsia" w:cstheme="majorBidi"/>
          <w:szCs w:val="24"/>
        </w:rPr>
        <w:fldChar w:fldCharType="separate"/>
      </w:r>
      <w:r w:rsidR="00816E17" w:rsidRPr="0004264F">
        <w:rPr>
          <w:rFonts w:cstheme="majorBidi"/>
        </w:rPr>
        <w:t xml:space="preserve">Table </w:t>
      </w:r>
      <w:r w:rsidR="00816E17" w:rsidRPr="0004264F">
        <w:rPr>
          <w:rFonts w:cstheme="majorBidi"/>
          <w:noProof/>
        </w:rPr>
        <w:t>3</w:t>
      </w:r>
      <w:r w:rsidR="00B5515A" w:rsidRPr="0004264F">
        <w:rPr>
          <w:rFonts w:eastAsiaTheme="minorEastAsia" w:cstheme="majorBidi"/>
          <w:szCs w:val="24"/>
        </w:rPr>
        <w:fldChar w:fldCharType="end"/>
      </w:r>
      <w:r w:rsidR="00816E17" w:rsidRPr="0004264F">
        <w:rPr>
          <w:rFonts w:eastAsiaTheme="minorEastAsia" w:cstheme="majorBidi"/>
          <w:szCs w:val="24"/>
        </w:rPr>
        <w:t xml:space="preserve"> </w:t>
      </w:r>
      <w:r w:rsidR="00DA03FB" w:rsidRPr="0004264F">
        <w:rPr>
          <w:rFonts w:eastAsiaTheme="minorEastAsia" w:cstheme="majorBidi"/>
          <w:szCs w:val="24"/>
        </w:rPr>
        <w:t xml:space="preserve">for the full sample, sample of whites, sample of </w:t>
      </w:r>
      <w:r w:rsidR="00D35468" w:rsidRPr="0004264F">
        <w:rPr>
          <w:rFonts w:eastAsiaTheme="minorEastAsia" w:cstheme="majorBidi"/>
          <w:szCs w:val="24"/>
        </w:rPr>
        <w:t>people with low educated mothers, and sample of persons with low socioeconomic score fathers</w:t>
      </w:r>
      <w:r w:rsidR="00DA03FB" w:rsidRPr="0004264F">
        <w:rPr>
          <w:rFonts w:eastAsiaTheme="minorEastAsia" w:cstheme="majorBidi"/>
          <w:szCs w:val="24"/>
        </w:rPr>
        <w:t>, in columns 1-</w:t>
      </w:r>
      <w:r w:rsidR="00D35468" w:rsidRPr="0004264F">
        <w:rPr>
          <w:rFonts w:eastAsiaTheme="minorEastAsia" w:cstheme="majorBidi"/>
          <w:szCs w:val="24"/>
        </w:rPr>
        <w:t>4</w:t>
      </w:r>
      <w:r w:rsidR="00DA03FB" w:rsidRPr="0004264F">
        <w:rPr>
          <w:rFonts w:eastAsiaTheme="minorEastAsia" w:cstheme="majorBidi"/>
          <w:szCs w:val="24"/>
        </w:rPr>
        <w:t xml:space="preserve">, respectively. </w:t>
      </w:r>
      <w:r w:rsidR="00BF2033" w:rsidRPr="0004264F">
        <w:rPr>
          <w:rFonts w:eastAsiaTheme="minorEastAsia" w:cstheme="majorBidi"/>
          <w:szCs w:val="24"/>
        </w:rPr>
        <w:t xml:space="preserve">We find </w:t>
      </w:r>
      <w:r w:rsidR="00DA03FB" w:rsidRPr="0004264F">
        <w:rPr>
          <w:rFonts w:eastAsiaTheme="minorEastAsia" w:cstheme="majorBidi"/>
          <w:szCs w:val="24"/>
        </w:rPr>
        <w:t xml:space="preserve">small and insignificant coefficients between deposits and successful merging. For instance, a one-standard-deviation change in banking deposits per capita </w:t>
      </w:r>
      <w:r w:rsidR="00472923" w:rsidRPr="0004264F">
        <w:rPr>
          <w:rFonts w:eastAsiaTheme="minorEastAsia" w:cstheme="majorBidi"/>
          <w:szCs w:val="24"/>
        </w:rPr>
        <w:t xml:space="preserve">results in an insignificant </w:t>
      </w:r>
      <w:r w:rsidR="00D35468" w:rsidRPr="0004264F">
        <w:rPr>
          <w:rFonts w:eastAsiaTheme="minorEastAsia" w:cstheme="majorBidi"/>
          <w:szCs w:val="24"/>
        </w:rPr>
        <w:t>0.</w:t>
      </w:r>
      <w:r w:rsidR="00C443B0" w:rsidRPr="0004264F">
        <w:rPr>
          <w:rFonts w:eastAsiaTheme="minorEastAsia" w:cstheme="majorBidi"/>
          <w:szCs w:val="24"/>
        </w:rPr>
        <w:t>8</w:t>
      </w:r>
      <w:r w:rsidR="00472923" w:rsidRPr="0004264F">
        <w:rPr>
          <w:rFonts w:eastAsiaTheme="minorEastAsia" w:cstheme="majorBidi"/>
          <w:szCs w:val="24"/>
        </w:rPr>
        <w:t xml:space="preserve"> basis </w:t>
      </w:r>
      <w:r w:rsidR="00A35647" w:rsidRPr="0004264F">
        <w:rPr>
          <w:rFonts w:eastAsiaTheme="minorEastAsia" w:cstheme="majorBidi"/>
          <w:szCs w:val="24"/>
        </w:rPr>
        <w:t>point</w:t>
      </w:r>
      <w:r w:rsidR="00472923" w:rsidRPr="0004264F">
        <w:rPr>
          <w:rFonts w:eastAsiaTheme="minorEastAsia" w:cstheme="majorBidi"/>
          <w:szCs w:val="24"/>
        </w:rPr>
        <w:t xml:space="preserve"> increase in the probability of merging, equivalently 0.</w:t>
      </w:r>
      <w:r w:rsidR="00C443B0" w:rsidRPr="0004264F">
        <w:rPr>
          <w:rFonts w:eastAsiaTheme="minorEastAsia" w:cstheme="majorBidi"/>
          <w:szCs w:val="24"/>
        </w:rPr>
        <w:t>15</w:t>
      </w:r>
      <w:r w:rsidR="00472923" w:rsidRPr="0004264F">
        <w:rPr>
          <w:rFonts w:eastAsiaTheme="minorEastAsia" w:cstheme="majorBidi"/>
          <w:szCs w:val="24"/>
        </w:rPr>
        <w:t xml:space="preserve"> percent change from the mean of the outcome.</w:t>
      </w:r>
    </w:p>
    <w:p w14:paraId="3C8A83FF" w14:textId="15704316" w:rsidR="00472923" w:rsidRPr="0004264F" w:rsidRDefault="00472923" w:rsidP="00F970D7">
      <w:pPr>
        <w:pStyle w:val="Heading2"/>
      </w:pPr>
      <w:bookmarkStart w:id="6" w:name="_Ref99746867"/>
      <w:r w:rsidRPr="0004264F">
        <w:t>Main Results</w:t>
      </w:r>
      <w:bookmarkEnd w:id="6"/>
    </w:p>
    <w:p w14:paraId="475C1F23" w14:textId="72F2E690" w:rsidR="007419F5" w:rsidRPr="0004264F" w:rsidRDefault="004B0A48" w:rsidP="00BA66EA">
      <w:pPr>
        <w:spacing w:before="60" w:after="60" w:line="480" w:lineRule="auto"/>
        <w:ind w:firstLine="720"/>
        <w:jc w:val="both"/>
        <w:rPr>
          <w:rFonts w:eastAsiaTheme="minorEastAsia" w:cstheme="majorBidi"/>
          <w:szCs w:val="24"/>
        </w:rPr>
      </w:pPr>
      <w:r w:rsidRPr="0004264F">
        <w:rPr>
          <w:rFonts w:eastAsiaTheme="minorEastAsia" w:cstheme="majorBidi"/>
          <w:szCs w:val="24"/>
        </w:rPr>
        <w:t>The main results of the paper are reported in</w:t>
      </w:r>
      <w:r w:rsidR="00C443B0" w:rsidRPr="0004264F">
        <w:rPr>
          <w:rFonts w:eastAsiaTheme="minorEastAsia" w:cstheme="majorBidi"/>
          <w:szCs w:val="24"/>
        </w:rPr>
        <w:t xml:space="preserve"> </w:t>
      </w:r>
      <w:r w:rsidR="00C443B0" w:rsidRPr="0004264F">
        <w:rPr>
          <w:rFonts w:eastAsiaTheme="minorEastAsia" w:cstheme="majorBidi"/>
          <w:szCs w:val="24"/>
        </w:rPr>
        <w:fldChar w:fldCharType="begin"/>
      </w:r>
      <w:r w:rsidR="00C443B0" w:rsidRPr="0004264F">
        <w:rPr>
          <w:rFonts w:eastAsiaTheme="minorEastAsia" w:cstheme="majorBidi"/>
          <w:szCs w:val="24"/>
        </w:rPr>
        <w:instrText xml:space="preserve"> REF _Ref111322750 \h </w:instrText>
      </w:r>
      <w:r w:rsidR="002D11C3" w:rsidRPr="0004264F">
        <w:rPr>
          <w:rFonts w:eastAsiaTheme="minorEastAsia" w:cstheme="majorBidi"/>
          <w:szCs w:val="24"/>
        </w:rPr>
        <w:instrText xml:space="preserve"> \* MERGEFORMAT </w:instrText>
      </w:r>
      <w:r w:rsidR="00C443B0" w:rsidRPr="0004264F">
        <w:rPr>
          <w:rFonts w:eastAsiaTheme="minorEastAsia" w:cstheme="majorBidi"/>
          <w:szCs w:val="24"/>
        </w:rPr>
      </w:r>
      <w:r w:rsidR="00C443B0" w:rsidRPr="0004264F">
        <w:rPr>
          <w:rFonts w:eastAsiaTheme="minorEastAsia" w:cstheme="majorBidi"/>
          <w:szCs w:val="24"/>
        </w:rPr>
        <w:fldChar w:fldCharType="separate"/>
      </w:r>
      <w:r w:rsidR="00C443B0" w:rsidRPr="0004264F">
        <w:rPr>
          <w:rFonts w:cstheme="majorBidi"/>
        </w:rPr>
        <w:t xml:space="preserve">Table </w:t>
      </w:r>
      <w:r w:rsidR="00C443B0" w:rsidRPr="0004264F">
        <w:rPr>
          <w:rFonts w:cstheme="majorBidi"/>
          <w:noProof/>
        </w:rPr>
        <w:t>4</w:t>
      </w:r>
      <w:r w:rsidR="00C443B0" w:rsidRPr="0004264F">
        <w:rPr>
          <w:rFonts w:eastAsiaTheme="minorEastAsia" w:cstheme="majorBidi"/>
          <w:szCs w:val="24"/>
        </w:rPr>
        <w:fldChar w:fldCharType="end"/>
      </w:r>
      <w:r w:rsidRPr="0004264F">
        <w:rPr>
          <w:rFonts w:eastAsiaTheme="minorEastAsia" w:cstheme="majorBidi"/>
          <w:szCs w:val="24"/>
        </w:rPr>
        <w:t xml:space="preserve">. </w:t>
      </w:r>
      <w:r w:rsidR="00517DD8" w:rsidRPr="0004264F">
        <w:rPr>
          <w:rFonts w:eastAsiaTheme="minorEastAsia" w:cstheme="majorBidi"/>
          <w:szCs w:val="24"/>
        </w:rPr>
        <w:t xml:space="preserve">We start with a model that only includes county and </w:t>
      </w:r>
      <w:r w:rsidR="00C443B0" w:rsidRPr="0004264F">
        <w:rPr>
          <w:rFonts w:eastAsiaTheme="minorEastAsia" w:cstheme="majorBidi"/>
          <w:szCs w:val="24"/>
        </w:rPr>
        <w:t>SEA</w:t>
      </w:r>
      <w:r w:rsidR="00517DD8" w:rsidRPr="0004264F">
        <w:rPr>
          <w:rFonts w:eastAsiaTheme="minorEastAsia" w:cstheme="majorBidi"/>
          <w:szCs w:val="24"/>
        </w:rPr>
        <w:t>-by-</w:t>
      </w:r>
      <w:r w:rsidR="00C82118" w:rsidRPr="0004264F">
        <w:rPr>
          <w:rFonts w:eastAsiaTheme="minorEastAsia" w:cstheme="majorBidi"/>
          <w:szCs w:val="24"/>
        </w:rPr>
        <w:t xml:space="preserve">birth-year </w:t>
      </w:r>
      <w:r w:rsidR="00517DD8" w:rsidRPr="0004264F">
        <w:rPr>
          <w:rFonts w:eastAsiaTheme="minorEastAsia" w:cstheme="majorBidi"/>
          <w:szCs w:val="24"/>
        </w:rPr>
        <w:t xml:space="preserve">fixed effects in column 1 and </w:t>
      </w:r>
      <w:r w:rsidR="00CF6F45" w:rsidRPr="0004264F">
        <w:rPr>
          <w:rFonts w:eastAsiaTheme="minorEastAsia" w:cstheme="majorBidi"/>
          <w:szCs w:val="24"/>
        </w:rPr>
        <w:t xml:space="preserve">gradually </w:t>
      </w:r>
      <w:r w:rsidR="00517DD8" w:rsidRPr="0004264F">
        <w:rPr>
          <w:rFonts w:eastAsiaTheme="minorEastAsia" w:cstheme="majorBidi"/>
          <w:szCs w:val="24"/>
        </w:rPr>
        <w:t xml:space="preserve">add additional covariates to the model across consecutive columns. </w:t>
      </w:r>
      <w:r w:rsidR="00AF29BE" w:rsidRPr="0004264F">
        <w:rPr>
          <w:rFonts w:eastAsiaTheme="minorEastAsia" w:cstheme="majorBidi"/>
          <w:szCs w:val="24"/>
        </w:rPr>
        <w:t>The marginal effect of bank deposits pe</w:t>
      </w:r>
      <w:r w:rsidR="00624FBF" w:rsidRPr="0004264F">
        <w:rPr>
          <w:rFonts w:eastAsiaTheme="minorEastAsia" w:cstheme="majorBidi"/>
          <w:szCs w:val="24"/>
        </w:rPr>
        <w:t>r</w:t>
      </w:r>
      <w:r w:rsidR="00AF29BE" w:rsidRPr="0004264F">
        <w:rPr>
          <w:rFonts w:eastAsiaTheme="minorEastAsia" w:cstheme="majorBidi"/>
          <w:szCs w:val="24"/>
        </w:rPr>
        <w:t xml:space="preserve"> capita is virtually unchanged across specifications</w:t>
      </w:r>
      <w:r w:rsidR="00973446" w:rsidRPr="0004264F">
        <w:rPr>
          <w:rFonts w:eastAsiaTheme="minorEastAsia" w:cstheme="majorBidi"/>
          <w:szCs w:val="24"/>
        </w:rPr>
        <w:t xml:space="preserve">. Since there </w:t>
      </w:r>
      <w:r w:rsidR="00624FBF" w:rsidRPr="0004264F">
        <w:rPr>
          <w:rFonts w:eastAsiaTheme="minorEastAsia" w:cstheme="majorBidi"/>
          <w:szCs w:val="24"/>
        </w:rPr>
        <w:t xml:space="preserve">is </w:t>
      </w:r>
      <w:r w:rsidR="00973446" w:rsidRPr="0004264F">
        <w:rPr>
          <w:rFonts w:eastAsiaTheme="minorEastAsia" w:cstheme="majorBidi"/>
          <w:szCs w:val="24"/>
        </w:rPr>
        <w:t>enough evidence to believe that race/gender (as individual covariates), mother’s education and father’s socioeconomic index (as parental characteristics), and county-level demographic and economic covariates are significant determinants of long-run health outcomes, the fact that coefficients do not change across columns lends</w:t>
      </w:r>
      <w:r w:rsidR="003E07A4" w:rsidRPr="0004264F">
        <w:rPr>
          <w:rFonts w:eastAsiaTheme="minorEastAsia" w:cstheme="majorBidi"/>
          <w:szCs w:val="24"/>
        </w:rPr>
        <w:t xml:space="preserve"> credibility</w:t>
      </w:r>
      <w:r w:rsidR="00973446" w:rsidRPr="0004264F">
        <w:rPr>
          <w:rFonts w:eastAsiaTheme="minorEastAsia" w:cstheme="majorBidi"/>
          <w:szCs w:val="24"/>
        </w:rPr>
        <w:t xml:space="preserve"> to the exogeneity of bank deposits, at least with regards to the observable and available variables.</w:t>
      </w:r>
      <w:r w:rsidR="00FB60A9" w:rsidRPr="0004264F">
        <w:rPr>
          <w:rFonts w:eastAsiaTheme="minorEastAsia" w:cstheme="majorBidi"/>
          <w:szCs w:val="24"/>
        </w:rPr>
        <w:t xml:space="preserve"> </w:t>
      </w:r>
      <w:r w:rsidR="00F97D15" w:rsidRPr="0004264F">
        <w:rPr>
          <w:rFonts w:eastAsiaTheme="minorEastAsia" w:cstheme="majorBidi"/>
          <w:szCs w:val="24"/>
        </w:rPr>
        <w:t xml:space="preserve">The results of </w:t>
      </w:r>
      <w:r w:rsidR="00F148D2" w:rsidRPr="0004264F">
        <w:rPr>
          <w:rFonts w:eastAsiaTheme="minorEastAsia" w:cstheme="majorBidi"/>
          <w:szCs w:val="24"/>
        </w:rPr>
        <w:t xml:space="preserve">the </w:t>
      </w:r>
      <w:r w:rsidR="00F97D15" w:rsidRPr="0004264F">
        <w:rPr>
          <w:rFonts w:eastAsiaTheme="minorEastAsia" w:cstheme="majorBidi"/>
          <w:szCs w:val="24"/>
        </w:rPr>
        <w:t xml:space="preserve">full specification of column 4 </w:t>
      </w:r>
      <w:r w:rsidR="00F148D2" w:rsidRPr="0004264F">
        <w:rPr>
          <w:rFonts w:eastAsiaTheme="minorEastAsia" w:cstheme="majorBidi"/>
          <w:szCs w:val="24"/>
        </w:rPr>
        <w:t>suggest</w:t>
      </w:r>
      <w:r w:rsidR="00F97D15" w:rsidRPr="0004264F">
        <w:rPr>
          <w:rFonts w:eastAsiaTheme="minorEastAsia" w:cstheme="majorBidi"/>
          <w:szCs w:val="24"/>
        </w:rPr>
        <w:t xml:space="preserve"> that, o</w:t>
      </w:r>
      <w:r w:rsidR="00FB60A9" w:rsidRPr="0004264F">
        <w:rPr>
          <w:rFonts w:eastAsiaTheme="minorEastAsia" w:cstheme="majorBidi"/>
          <w:szCs w:val="24"/>
        </w:rPr>
        <w:t xml:space="preserve">n average, a one-standard-deviation change (from </w:t>
      </w:r>
      <w:r w:rsidR="00F148D2" w:rsidRPr="0004264F">
        <w:rPr>
          <w:rFonts w:eastAsiaTheme="minorEastAsia" w:cstheme="majorBidi"/>
          <w:szCs w:val="24"/>
        </w:rPr>
        <w:t xml:space="preserve">the </w:t>
      </w:r>
      <w:r w:rsidR="00FB60A9" w:rsidRPr="0004264F">
        <w:rPr>
          <w:rFonts w:eastAsiaTheme="minorEastAsia" w:cstheme="majorBidi"/>
          <w:szCs w:val="24"/>
        </w:rPr>
        <w:t>mean) in per capita deposits</w:t>
      </w:r>
      <w:r w:rsidR="002933A1" w:rsidRPr="0004264F">
        <w:rPr>
          <w:rFonts w:eastAsiaTheme="minorEastAsia" w:cstheme="majorBidi"/>
          <w:szCs w:val="24"/>
        </w:rPr>
        <w:t xml:space="preserve"> </w:t>
      </w:r>
      <w:r w:rsidR="003318E8" w:rsidRPr="0004264F">
        <w:rPr>
          <w:rFonts w:eastAsiaTheme="minorEastAsia" w:cstheme="majorBidi"/>
          <w:szCs w:val="24"/>
        </w:rPr>
        <w:t>in utero</w:t>
      </w:r>
      <w:r w:rsidR="00FB60A9" w:rsidRPr="0004264F">
        <w:rPr>
          <w:rFonts w:eastAsiaTheme="minorEastAsia" w:cstheme="majorBidi"/>
          <w:szCs w:val="24"/>
        </w:rPr>
        <w:t xml:space="preserve"> is associated with </w:t>
      </w:r>
      <w:r w:rsidR="00C443B0" w:rsidRPr="0004264F">
        <w:rPr>
          <w:rFonts w:eastAsiaTheme="minorEastAsia" w:cstheme="majorBidi"/>
          <w:szCs w:val="24"/>
        </w:rPr>
        <w:t>1.7</w:t>
      </w:r>
      <w:r w:rsidR="00FB60A9" w:rsidRPr="0004264F">
        <w:rPr>
          <w:rFonts w:eastAsiaTheme="minorEastAsia" w:cstheme="majorBidi"/>
          <w:szCs w:val="24"/>
        </w:rPr>
        <w:t xml:space="preserve"> months</w:t>
      </w:r>
      <w:r w:rsidR="001136C5" w:rsidRPr="0004264F">
        <w:rPr>
          <w:rFonts w:eastAsiaTheme="minorEastAsia" w:cstheme="majorBidi"/>
          <w:szCs w:val="24"/>
        </w:rPr>
        <w:t xml:space="preserve"> </w:t>
      </w:r>
      <w:r w:rsidR="00FB60A9" w:rsidRPr="0004264F">
        <w:rPr>
          <w:rFonts w:eastAsiaTheme="minorEastAsia" w:cstheme="majorBidi"/>
          <w:szCs w:val="24"/>
        </w:rPr>
        <w:t xml:space="preserve">higher longevity during old ages. </w:t>
      </w:r>
      <w:r w:rsidR="00D97F40" w:rsidRPr="0004264F">
        <w:rPr>
          <w:rFonts w:eastAsiaTheme="minorEastAsia" w:cstheme="majorBidi"/>
          <w:szCs w:val="24"/>
        </w:rPr>
        <w:t>We put this number into perspective by comparing it with the coefficient</w:t>
      </w:r>
      <w:r w:rsidR="003E07A4" w:rsidRPr="0004264F">
        <w:rPr>
          <w:rFonts w:eastAsiaTheme="minorEastAsia" w:cstheme="majorBidi"/>
          <w:szCs w:val="24"/>
        </w:rPr>
        <w:t>s</w:t>
      </w:r>
      <w:r w:rsidR="00D97F40" w:rsidRPr="0004264F">
        <w:rPr>
          <w:rFonts w:eastAsiaTheme="minorEastAsia" w:cstheme="majorBidi"/>
          <w:szCs w:val="24"/>
        </w:rPr>
        <w:t xml:space="preserve"> of other variables. For instance, the marginal effect of </w:t>
      </w:r>
      <w:r w:rsidR="002E4199" w:rsidRPr="0004264F">
        <w:rPr>
          <w:rFonts w:eastAsiaTheme="minorEastAsia" w:cstheme="majorBidi"/>
          <w:szCs w:val="24"/>
        </w:rPr>
        <w:t xml:space="preserve">a </w:t>
      </w:r>
      <w:r w:rsidR="00D97F40" w:rsidRPr="0004264F">
        <w:rPr>
          <w:rFonts w:eastAsiaTheme="minorEastAsia" w:cstheme="majorBidi"/>
          <w:szCs w:val="24"/>
        </w:rPr>
        <w:t xml:space="preserve">black dummy (not </w:t>
      </w:r>
      <w:r w:rsidR="00D97F40" w:rsidRPr="0004264F">
        <w:rPr>
          <w:rFonts w:eastAsiaTheme="minorEastAsia" w:cstheme="majorBidi"/>
          <w:szCs w:val="24"/>
        </w:rPr>
        <w:lastRenderedPageBreak/>
        <w:t>reported here) is -15.</w:t>
      </w:r>
      <w:r w:rsidR="00C443B0" w:rsidRPr="0004264F">
        <w:rPr>
          <w:rFonts w:eastAsiaTheme="minorEastAsia" w:cstheme="majorBidi"/>
          <w:szCs w:val="24"/>
        </w:rPr>
        <w:t>3</w:t>
      </w:r>
      <w:r w:rsidR="00D97F40" w:rsidRPr="0004264F">
        <w:rPr>
          <w:rFonts w:eastAsiaTheme="minorEastAsia" w:cstheme="majorBidi"/>
          <w:szCs w:val="24"/>
        </w:rPr>
        <w:t xml:space="preserve"> (se=1.</w:t>
      </w:r>
      <w:r w:rsidR="00C443B0" w:rsidRPr="0004264F">
        <w:rPr>
          <w:rFonts w:eastAsiaTheme="minorEastAsia" w:cstheme="majorBidi"/>
          <w:szCs w:val="24"/>
        </w:rPr>
        <w:t>1</w:t>
      </w:r>
      <w:r w:rsidR="00D97F40" w:rsidRPr="0004264F">
        <w:rPr>
          <w:rFonts w:eastAsiaTheme="minorEastAsia" w:cstheme="majorBidi"/>
          <w:szCs w:val="24"/>
        </w:rPr>
        <w:t xml:space="preserve">). Therefore, a one-standard-deviation change in bank deposits is equivalent to roughly </w:t>
      </w:r>
      <w:r w:rsidR="00026AD5" w:rsidRPr="0004264F">
        <w:rPr>
          <w:rFonts w:eastAsiaTheme="minorEastAsia" w:cstheme="majorBidi"/>
          <w:szCs w:val="24"/>
        </w:rPr>
        <w:t xml:space="preserve">11 </w:t>
      </w:r>
      <w:r w:rsidR="00D97F40" w:rsidRPr="0004264F">
        <w:rPr>
          <w:rFonts w:eastAsiaTheme="minorEastAsia" w:cstheme="majorBidi"/>
          <w:szCs w:val="24"/>
        </w:rPr>
        <w:t>percent of</w:t>
      </w:r>
      <w:r w:rsidR="003E07A4" w:rsidRPr="0004264F">
        <w:rPr>
          <w:rFonts w:eastAsiaTheme="minorEastAsia" w:cstheme="majorBidi"/>
          <w:szCs w:val="24"/>
        </w:rPr>
        <w:t xml:space="preserve"> the</w:t>
      </w:r>
      <w:r w:rsidR="00D97F40" w:rsidRPr="0004264F">
        <w:rPr>
          <w:rFonts w:eastAsiaTheme="minorEastAsia" w:cstheme="majorBidi"/>
          <w:szCs w:val="24"/>
        </w:rPr>
        <w:t xml:space="preserve"> black-white gap in longevity. </w:t>
      </w:r>
      <w:r w:rsidR="00A94AD7" w:rsidRPr="0004264F">
        <w:rPr>
          <w:rFonts w:eastAsiaTheme="minorEastAsia" w:cstheme="majorBidi"/>
          <w:szCs w:val="24"/>
        </w:rPr>
        <w:t xml:space="preserve">The difference in average life expectancy between </w:t>
      </w:r>
      <w:r w:rsidR="002E4199" w:rsidRPr="0004264F">
        <w:rPr>
          <w:rFonts w:eastAsiaTheme="minorEastAsia" w:cstheme="majorBidi"/>
          <w:szCs w:val="24"/>
        </w:rPr>
        <w:t xml:space="preserve">the </w:t>
      </w:r>
      <w:r w:rsidR="00A94AD7" w:rsidRPr="0004264F">
        <w:rPr>
          <w:rFonts w:eastAsiaTheme="minorEastAsia" w:cstheme="majorBidi"/>
          <w:szCs w:val="24"/>
        </w:rPr>
        <w:t xml:space="preserve">US and other OECD countries is 49.2 months (76.6 years versus 80.7 years, respectively). Thus, the impact of a one-standard-deviation rise in bank deposits is equivalent to roughly </w:t>
      </w:r>
      <w:r w:rsidR="00026AD5" w:rsidRPr="0004264F">
        <w:rPr>
          <w:rFonts w:eastAsiaTheme="minorEastAsia" w:cstheme="majorBidi"/>
          <w:szCs w:val="24"/>
        </w:rPr>
        <w:t>3.5</w:t>
      </w:r>
      <w:r w:rsidR="00A94AD7" w:rsidRPr="0004264F">
        <w:rPr>
          <w:rFonts w:eastAsiaTheme="minorEastAsia" w:cstheme="majorBidi"/>
          <w:szCs w:val="24"/>
        </w:rPr>
        <w:t xml:space="preserve"> percent of </w:t>
      </w:r>
      <w:r w:rsidR="002E4199" w:rsidRPr="0004264F">
        <w:rPr>
          <w:rFonts w:eastAsiaTheme="minorEastAsia" w:cstheme="majorBidi"/>
          <w:szCs w:val="24"/>
        </w:rPr>
        <w:t xml:space="preserve">the </w:t>
      </w:r>
      <w:r w:rsidR="00A94AD7" w:rsidRPr="0004264F">
        <w:rPr>
          <w:rFonts w:eastAsiaTheme="minorEastAsia" w:cstheme="majorBidi"/>
          <w:szCs w:val="24"/>
        </w:rPr>
        <w:t>US-OECD-countries gap in longevity.</w:t>
      </w:r>
    </w:p>
    <w:p w14:paraId="1B1193E7" w14:textId="38463A87" w:rsidR="00026AD5" w:rsidRPr="0004264F" w:rsidRDefault="00A426E4" w:rsidP="00893132">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Another way to understand the magnitude of the finding is to compare with other determinants of longevity and the impact of other early-life exposures. For instance, </w:t>
      </w:r>
      <w:r w:rsidRPr="0004264F">
        <w:rPr>
          <w:rFonts w:eastAsiaTheme="minorEastAsia" w:cstheme="majorBidi"/>
          <w:szCs w:val="24"/>
        </w:rPr>
        <w:fldChar w:fldCharType="begin" w:fldLock="1"/>
      </w:r>
      <w:r w:rsidR="00C3397E" w:rsidRPr="0004264F">
        <w:rPr>
          <w:rFonts w:eastAsiaTheme="minorEastAsia" w:cstheme="majorBidi"/>
          <w:szCs w:val="24"/>
        </w:rPr>
        <w:instrText>ADDIN CSL_CITATION {"citationItems":[{"id":"ITEM-1","itemData":{"DOI":"10.1001/JAMA.2016.4226","ISBN":"1408287218","ISSN":"0098-7484","PMID":"27063997","abstract":"&lt;h3&gt;Importance&lt;/h3&gt;&lt;p&gt;The relationship between income and life expectancy is well established but remains poorly understood.&lt;/p&gt;&lt;h3&gt;Objectives&lt;/h3&gt;&lt;p&gt;To measure the level, time trend, and geographic variability in the association between income and life expectancy and to identify factors related to small area variation.&lt;/p&gt;&lt;h3&gt;Design and Setting&lt;/h3&gt;&lt;p&gt;Income data for the US population were obtained from 1.4 billion deidentified tax records between 1999 and 2014. Mortality data were obtained from Social Security Administration death records. These data were used to estimate race- and ethnicity-adjusted life expectancy at 40 years of age by household income percentile, sex, and geographic area, and to evaluate factors associated with differences in life expectancy.&lt;/p&gt;&lt;h3&gt;Exposure&lt;/h3&gt;&lt;p&gt;Pretax household earnings as a measure of income.&lt;/p&gt;&lt;h3&gt;Main Outcomes and Measures&lt;/h3&gt;&lt;p&gt;Relationship between income and life expectancy; trends in life expectancy by income group; geographic variation in life expectancy levels and trends by income group; and factors associated with differences in life expectancy across areas.&lt;/p&gt;&lt;h3&gt;Results&lt;/h3&gt;&lt;p&gt;The sample consisted of 1 408 287 218 person-year observations for individuals aged 40 to 76 years (mean age, 53.0 years; median household earnings among working individuals, $61 175 per year). There were 4 114 380 deaths among men (mortality rate, 596.3 per 100 000) and 2 694 808 deaths among women (mortality rate, 375.1 per 100 000). The analysis yielded 4 results. First, higher income was associated with greater longevity throughout the income distribution. The gap in life expectancy between the richest 1% and poorest 1% of individuals was 14.6 years (95% CI, 14.4 to 14.8 years) for men and 10.1 years (95% CI, 9.9 to 10.3 years) for women. Second, inequality in life expectancy increased over time. Between 2001 and 2014, life expectancy increased by 2.34 years for men and 2.91 years for women in the top 5% of the income distribution, but by only 0.32 years for men and 0.04 years for women in the bottom 5% (&lt;i&gt;P&lt;/i&gt; &amp;lt; .001 for the differences for both sexes). Third, life expectancy for low-income individuals varied substantially across local areas. In the bottom income quartile, life expectancy differed by approximately 4.5 years between areas with the highest and lowest longevity. Changes in life expectancy between 2001 and 2014 ranged from gains of more than 4 years to losses of more than 2 years across areas. Fourth, …","author":[{"dropping-particle":"","family":"Chetty","given":"Raj","non-dropping-particle":"","parse-names":false,"suffix":""},{"dropping-particle":"","family":"Stepner","given":"Michael","non-dropping-particle":"","parse-names":false,"suffix":""},{"dropping-particle":"","family":"Abraham","given":"Sarah","non-dropping-particle":"","parse-names":false,"suffix":""},{"dropping-particle":"","family":"Lin","given":"Shelby","non-dropping-particle":"","parse-names":false,"suffix":""},{"dropping-particle":"","family":"Scuderi","given":"Benjamin","non-dropping-particle":"","parse-names":false,"suffix":""},{"dropping-particle":"","family":"Turner","given":"Nicholas","non-dropping-particle":"","parse-names":false,"suffix":""},{"dropping-particle":"","family":"Bergeron","given":"Augustin","non-dropping-particle":"","parse-names":false,"suffix":""},{"dropping-particle":"","family":"Cutler","given":"David","non-dropping-particle":"","parse-names":false,"suffix":""}],"container-title":"JAMA","id":"ITEM-1","issue":"16","issued":{"date-parts":[["2016","4","26"]]},"page":"1750-1766","publisher":"American Medical Association","title":"The Association Between Income and Life Expectancy in the United States, 2001-2014","type":"article-journal","volume":"315"},"uris":["http://www.mendeley.com/documents/?uuid=ed9a38b4-19dc-3f02-a680-2775b6a6764d"]}],"mendeley":{"formattedCitation":"(Chetty et al., 2016)","manualFormatting":"Chetty et al. (2016)","plainTextFormattedCitation":"(Chetty et al., 2016)","previouslyFormattedCitation":"(Chetty et al., 2016)"},"properties":{"noteIndex":0},"schema":"https://github.com/citation-style-language/schema/raw/master/csl-citation.json"}</w:instrText>
      </w:r>
      <w:r w:rsidRPr="0004264F">
        <w:rPr>
          <w:rFonts w:eastAsiaTheme="minorEastAsia" w:cstheme="majorBidi"/>
          <w:szCs w:val="24"/>
        </w:rPr>
        <w:fldChar w:fldCharType="separate"/>
      </w:r>
      <w:r w:rsidRPr="0004264F">
        <w:rPr>
          <w:rFonts w:eastAsiaTheme="minorEastAsia" w:cstheme="majorBidi"/>
          <w:noProof/>
          <w:szCs w:val="24"/>
        </w:rPr>
        <w:t>Chetty et al. (2016)</w:t>
      </w:r>
      <w:r w:rsidRPr="0004264F">
        <w:rPr>
          <w:rFonts w:eastAsiaTheme="minorEastAsia" w:cstheme="majorBidi"/>
          <w:szCs w:val="24"/>
        </w:rPr>
        <w:fldChar w:fldCharType="end"/>
      </w:r>
      <w:r w:rsidRPr="0004264F">
        <w:rPr>
          <w:rFonts w:eastAsiaTheme="minorEastAsia" w:cstheme="majorBidi"/>
          <w:szCs w:val="24"/>
        </w:rPr>
        <w:t xml:space="preserve"> investigate the income-longevity relationship in the US using individual tax returns linked with death records. They document that each 5-income-percentile is associated with about 0.8 months higher age-at-death. Therefore, the effect of a one-standard-deviation rise in bank deposits in county-year-of-birth is equivalent to the impact that moving up the income ladder by about 1 percentile has on longevity. </w:t>
      </w:r>
      <w:r w:rsidR="00C3397E" w:rsidRPr="0004264F">
        <w:rPr>
          <w:rFonts w:eastAsiaTheme="minorEastAsia" w:cstheme="majorBidi"/>
          <w:szCs w:val="24"/>
        </w:rPr>
        <w:fldChar w:fldCharType="begin" w:fldLock="1"/>
      </w:r>
      <w:r w:rsidR="00ED6D46" w:rsidRPr="0004264F">
        <w:rPr>
          <w:rFonts w:eastAsiaTheme="minorEastAsia" w:cstheme="majorBidi"/>
          <w:szCs w:val="24"/>
        </w:rPr>
        <w:instrText>ADDIN CSL_CITATION {"citationItems":[{"id":"ITEM-1","itemData":{"DOI":"10.1007/S13524-020-00892-6","ISSN":"0070-3370","abstract":"Does education change people's lives in a way that delays mortality? Or is education primarily a proxy for unobserved endowments that promote longevity? Most scholars conclude that the former is true, but recent evidence based on Danish twin data calls this conclusion into question. Unfortunately, these potentially field-changing findings—that obtaining additional schooling has no independent effect on survival net of other hard-to-observe characteristics—have not yet been subject to replication outside Scandinavia. In this article, we produce the first U.S.-based estimates of the effects of education on mortality using a representative panel of male twin pairs drawn from linked complete-count census and death records. For comparison purposes, and to shed additional light on the roles that neighborhood, family, and genetic factors play in confounding associations between education and mortality, we also produce parallel estimates of the education-mortality relationship using data on (1) unrelated males who lived in different neighborhoods during childhood, (2) unrelated males who shared the same neighborhood growing up, and (3) non-twin siblings who shared the same family environment but whose genetic endowments vary to a greater degree. We find robust associations between education and mortality across all four samples, although estimates are modestly attenuated among twins and non-twin siblings. These findings—coupled with several robustness checks and sensitivity analyses—support a causal interpretation of the association between education and mortality for cohorts of boys born in the United States in the first part of the twentieth century.","author":[{"dropping-particle":"","family":"Halpern-Manners","given":"Andrew","non-dropping-particle":"","parse-names":false,"suffix":""},{"dropping-particle":"","family":"Helgertz","given":"Jonas","non-dropping-particle":"","parse-names":false,"suffix":""},{"dropping-particle":"","family":"Warren","given":"John Robert","non-dropping-particle":"","parse-names":false,"suffix":""},{"dropping-particle":"","family":"Roberts","given":"Evan","non-dropping-particle":"","parse-names":false,"suffix":""}],"container-title":"Demography","id":"ITEM-1","issue":"4","issued":{"date-parts":[["2020","8"]]},"page":"1513-1541","publisher":"Duke University Press","title":"The Effects of Education on Mortality: Evidence From Linked U.S. Census and Administrative Mortality Data","type":"article-journal","volume":"57"},"uris":["http://www.mendeley.com/documents/?uuid=e920c3dc-29ad-483d-b320-71561b050cd5"]}],"mendeley":{"formattedCitation":"(Halpern-Manners et al., 2020)","manualFormatting":"Halpern-Manners et al. (2020)","plainTextFormattedCitation":"(Halpern-Manners et al., 2020)","previouslyFormattedCitation":"(Halpern-Manners et al., 2020)"},"properties":{"noteIndex":0},"schema":"https://github.com/citation-style-language/schema/raw/master/csl-citation.json"}</w:instrText>
      </w:r>
      <w:r w:rsidR="00C3397E" w:rsidRPr="0004264F">
        <w:rPr>
          <w:rFonts w:eastAsiaTheme="minorEastAsia" w:cstheme="majorBidi"/>
          <w:szCs w:val="24"/>
        </w:rPr>
        <w:fldChar w:fldCharType="separate"/>
      </w:r>
      <w:r w:rsidR="00C3397E" w:rsidRPr="0004264F">
        <w:rPr>
          <w:rFonts w:eastAsiaTheme="minorEastAsia" w:cstheme="majorBidi"/>
          <w:noProof/>
          <w:szCs w:val="24"/>
        </w:rPr>
        <w:t>Halpern-Manners et al. (2020)</w:t>
      </w:r>
      <w:r w:rsidR="00C3397E" w:rsidRPr="0004264F">
        <w:rPr>
          <w:rFonts w:eastAsiaTheme="minorEastAsia" w:cstheme="majorBidi"/>
          <w:szCs w:val="24"/>
        </w:rPr>
        <w:fldChar w:fldCharType="end"/>
      </w:r>
      <w:r w:rsidR="00C3397E" w:rsidRPr="0004264F">
        <w:rPr>
          <w:rFonts w:eastAsiaTheme="minorEastAsia" w:cstheme="majorBidi"/>
          <w:szCs w:val="24"/>
        </w:rPr>
        <w:t xml:space="preserve"> examine the education-mortality relationship using twin fixed effect strategy. They document that each additional year of education is associated with about 4 months higher longevity. Therefore, the marginal effect of </w:t>
      </w:r>
      <w:r w:rsidR="00C3397E" w:rsidRPr="0004264F">
        <w:rPr>
          <w:rFonts w:eastAsiaTheme="minorEastAsia" w:cstheme="majorBidi"/>
          <w:szCs w:val="24"/>
        </w:rPr>
        <w:fldChar w:fldCharType="begin"/>
      </w:r>
      <w:r w:rsidR="00C3397E" w:rsidRPr="0004264F">
        <w:rPr>
          <w:rFonts w:eastAsiaTheme="minorEastAsia" w:cstheme="majorBidi"/>
          <w:szCs w:val="24"/>
        </w:rPr>
        <w:instrText xml:space="preserve"> REF _Ref111322750 \h </w:instrText>
      </w:r>
      <w:r w:rsidR="002D11C3" w:rsidRPr="0004264F">
        <w:rPr>
          <w:rFonts w:eastAsiaTheme="minorEastAsia" w:cstheme="majorBidi"/>
          <w:szCs w:val="24"/>
        </w:rPr>
        <w:instrText xml:space="preserve"> \* MERGEFORMAT </w:instrText>
      </w:r>
      <w:r w:rsidR="00C3397E" w:rsidRPr="0004264F">
        <w:rPr>
          <w:rFonts w:eastAsiaTheme="minorEastAsia" w:cstheme="majorBidi"/>
          <w:szCs w:val="24"/>
        </w:rPr>
      </w:r>
      <w:r w:rsidR="00C3397E" w:rsidRPr="0004264F">
        <w:rPr>
          <w:rFonts w:eastAsiaTheme="minorEastAsia" w:cstheme="majorBidi"/>
          <w:szCs w:val="24"/>
        </w:rPr>
        <w:fldChar w:fldCharType="separate"/>
      </w:r>
      <w:r w:rsidR="00C3397E" w:rsidRPr="0004264F">
        <w:rPr>
          <w:rFonts w:cstheme="majorBidi"/>
        </w:rPr>
        <w:t xml:space="preserve">Table </w:t>
      </w:r>
      <w:r w:rsidR="00C3397E" w:rsidRPr="0004264F">
        <w:rPr>
          <w:rFonts w:cstheme="majorBidi"/>
          <w:noProof/>
        </w:rPr>
        <w:t>4</w:t>
      </w:r>
      <w:r w:rsidR="00C3397E" w:rsidRPr="0004264F">
        <w:rPr>
          <w:rFonts w:eastAsiaTheme="minorEastAsia" w:cstheme="majorBidi"/>
          <w:szCs w:val="24"/>
        </w:rPr>
        <w:fldChar w:fldCharType="end"/>
      </w:r>
      <w:r w:rsidR="00C3397E" w:rsidRPr="0004264F">
        <w:rPr>
          <w:rFonts w:eastAsiaTheme="minorEastAsia" w:cstheme="majorBidi"/>
          <w:szCs w:val="24"/>
        </w:rPr>
        <w:t xml:space="preserve"> is equivalent to the effect of 0.43 years of schooling on longevity. </w:t>
      </w:r>
      <w:r w:rsidR="00ED6D46" w:rsidRPr="0004264F">
        <w:rPr>
          <w:rFonts w:eastAsiaTheme="minorEastAsia" w:cstheme="majorBidi"/>
          <w:szCs w:val="24"/>
        </w:rPr>
        <w:fldChar w:fldCharType="begin" w:fldLock="1"/>
      </w:r>
      <w:r w:rsidR="00675F39" w:rsidRPr="0004264F">
        <w:rPr>
          <w:rFonts w:eastAsiaTheme="minorEastAsia" w:cstheme="majorBidi"/>
          <w:szCs w:val="24"/>
        </w:rPr>
        <w:instrText>ADDIN CSL_CITATION {"citationItems":[{"id":"ITEM-1","itemData":{"DOI":"10.1257/AER.20140529","ISSN":"0002-8282","PMID":"28713169","abstract":"We estimate the long- run impact of cash transfers to poor families on children's longevity, educational attainment, nutritional status, and income in adulthood. To do so, we collected individual- level administrative records of applicants to the Mothers' Pension program-the first government- sponsored welfare program in the United States (1911-1935)-and matched them to census, WWII, and death records. Male children of accepted applicants lived one year longer than those of rejected mothers. They also obtained onethird more years of schooling, were less likely to be underweight, and had higher income in adulthood than children of rejected mothers. (JEL I12, I14, I18, I32, I38, J16, N32).","author":[{"dropping-particle":"","family":"Aizer","given":"Anna","non-dropping-particle":"","parse-names":false,"suffix":""},{"dropping-particle":"","family":"Eli","given":"Shari","non-dropping-particle":"","parse-names":false,"suffix":""},{"dropping-particle":"","family":"Ferrie","given":"Joseph","non-dropping-particle":"","parse-names":false,"suffix":""},{"dropping-particle":"","family":"Muney","given":"Adriana Lleras","non-dropping-particle":"","parse-names":false,"suffix":""}],"container-title":"American Economic Review","id":"ITEM-1","issue":"4","issued":{"date-parts":[["2016","4","1"]]},"page":"935-71","publisher":"American Economic Association","title":"The Long-Run Impact of Cash Transfers to Poor Families","type":"article-journal","volume":"106"},"uris":["http://www.mendeley.com/documents/?uuid=454b521a-6187-3980-a58e-851ee25c4c28"]}],"mendeley":{"formattedCitation":"(Aizer, Eli, et al., 2016)","manualFormatting":"Aizer, Eli, et al. (2016)","plainTextFormattedCitation":"(Aizer, Eli, et al., 2016)","previouslyFormattedCitation":"(Aizer, Eli, et al., 2016)"},"properties":{"noteIndex":0},"schema":"https://github.com/citation-style-language/schema/raw/master/csl-citation.json"}</w:instrText>
      </w:r>
      <w:r w:rsidR="00ED6D46" w:rsidRPr="0004264F">
        <w:rPr>
          <w:rFonts w:eastAsiaTheme="minorEastAsia" w:cstheme="majorBidi"/>
          <w:szCs w:val="24"/>
        </w:rPr>
        <w:fldChar w:fldCharType="separate"/>
      </w:r>
      <w:r w:rsidR="00ED6D46" w:rsidRPr="0004264F">
        <w:rPr>
          <w:rFonts w:eastAsiaTheme="minorEastAsia" w:cstheme="majorBidi"/>
          <w:noProof/>
          <w:szCs w:val="24"/>
        </w:rPr>
        <w:t>Aizer, Eli, et al. (2016)</w:t>
      </w:r>
      <w:r w:rsidR="00ED6D46" w:rsidRPr="0004264F">
        <w:rPr>
          <w:rFonts w:eastAsiaTheme="minorEastAsia" w:cstheme="majorBidi"/>
          <w:szCs w:val="24"/>
        </w:rPr>
        <w:fldChar w:fldCharType="end"/>
      </w:r>
      <w:r w:rsidR="00ED6D46" w:rsidRPr="0004264F">
        <w:rPr>
          <w:rFonts w:eastAsiaTheme="minorEastAsia" w:cstheme="majorBidi"/>
          <w:szCs w:val="24"/>
        </w:rPr>
        <w:t xml:space="preserve"> </w:t>
      </w:r>
      <w:r w:rsidR="00893132" w:rsidRPr="0004264F">
        <w:rPr>
          <w:rFonts w:eastAsiaTheme="minorEastAsia" w:cstheme="majorBidi"/>
          <w:szCs w:val="24"/>
        </w:rPr>
        <w:t xml:space="preserve">examine the impacts of the Mother’s Pension (MP) program, a state-local government joint initiative to help poor single mothers with cash transfers prior to social security era, on children’s old-age longevity. They find treatment-on-treated effects of about 1-year additional life to children whose mothers were selected for the MP benefits. The MP benefits usually lasted for three years and transferred about 30-40 percent of pre-transfer maternal income. Therefore, our finding is equivalent to a one-time transfer of 13-17 percent of income to poor families. </w:t>
      </w:r>
    </w:p>
    <w:p w14:paraId="62081FCA" w14:textId="071FD62F" w:rsidR="00CA505D" w:rsidRPr="0004264F" w:rsidRDefault="00CA505D" w:rsidP="00F970D7">
      <w:pPr>
        <w:pStyle w:val="Heading2"/>
      </w:pPr>
      <w:r w:rsidRPr="0004264F">
        <w:lastRenderedPageBreak/>
        <w:t>Effects during Pre-prenatal and Postnatal Period</w:t>
      </w:r>
      <w:r w:rsidR="00E5015F" w:rsidRPr="0004264F">
        <w:t>s</w:t>
      </w:r>
    </w:p>
    <w:p w14:paraId="648BAFB2" w14:textId="5D389364" w:rsidR="00280B39" w:rsidRPr="0004264F" w:rsidRDefault="00E5015F" w:rsidP="00280B39">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While the literature points to the relevance of conditions in utero for later-life outcomes, several studies also show associations between post-birth exposures </w:t>
      </w:r>
      <w:r w:rsidR="00280B39" w:rsidRPr="0004264F">
        <w:rPr>
          <w:rFonts w:eastAsiaTheme="minorEastAsia" w:cstheme="majorBidi"/>
          <w:szCs w:val="24"/>
        </w:rPr>
        <w:t xml:space="preserve">and conditions </w:t>
      </w:r>
      <w:r w:rsidRPr="0004264F">
        <w:rPr>
          <w:rFonts w:eastAsiaTheme="minorEastAsia" w:cstheme="majorBidi"/>
          <w:szCs w:val="24"/>
        </w:rPr>
        <w:t>and long-run outcomes</w:t>
      </w:r>
      <w:r w:rsidR="00314766" w:rsidRPr="0004264F">
        <w:rPr>
          <w:rFonts w:eastAsiaTheme="minorEastAsia" w:cstheme="majorBidi"/>
          <w:szCs w:val="24"/>
        </w:rPr>
        <w:t xml:space="preserve"> </w:t>
      </w:r>
      <w:r w:rsidR="00314766" w:rsidRPr="0004264F">
        <w:rPr>
          <w:rFonts w:eastAsiaTheme="minorEastAsia" w:cstheme="majorBidi"/>
          <w:szCs w:val="24"/>
        </w:rPr>
        <w:fldChar w:fldCharType="begin" w:fldLock="1"/>
      </w:r>
      <w:r w:rsidR="00491F4C" w:rsidRPr="0004264F">
        <w:rPr>
          <w:rFonts w:eastAsiaTheme="minorEastAsia" w:cstheme="majorBidi"/>
          <w:szCs w:val="24"/>
        </w:rPr>
        <w:instrText>ADDIN CSL_CITATION {"citationItems":[{"id":"ITEM-1","itemData":{"DOI":"10.1162/QJEC.122.1.159","ISSN":"0033-5533","abstract":"This paper exploits a new source of variation in Head Start funding to identify the program's effects on health and schooling. In 1965 the Office of Economic Opportunity (OEO) provided technical assistance to the 300 poorest counties to develop Head Start proposals. The result was a large and lasting discontinuity in Head Start funding rates at the OEO cutoff for grant-writing assistance. We find evidence of a large drop at the OEO cutoff in mortality rates for children from causes that could be affected by Head Start, as well as suggestive evidence for a positive effect on educational attainment. © 2007 by the President and Fellows of Harvard College and the Massachusetts Institute of Technology.","author":[{"dropping-particle":"","family":"Ludwig","given":"Jens","non-dropping-particle":"","parse-names":false,"suffix":""},{"dropping-particle":"","family":"Miller","given":"Douglas L.","non-dropping-particle":"","parse-names":false,"suffix":""}],"container-title":"The Quarterly Journal of Economics","id":"ITEM-1","issue":"1","issued":{"date-parts":[["2007","2","1"]]},"page":"159-208","publisher":"Oxford Academic","title":"Does Head Start Improve Children's Life Chances? Evidence from a Regression Discontinuity Design","type":"article-journal","volume":"122"},"uris":["http://www.mendeley.com/documents/?uuid=06c70919-c8ef-39e1-87c9-a07ed938a217"]},{"id":"ITEM-2","itemData":{"DOI":"10.1257/AER.20161352","ISSN":"0002-8282","PMID":"30686826","abstract":"This paper provides new evidence on the effects of moving out of disadvantaged neighborhoods on the long-run outcomes of children. I study public housing demolitions in Chicago, which forced low-income households to relocate to less disadvantaged neighborhoods using housing vouchers. Specifically, I compare young adult outcomes of displaced children to their peers who lived in nearby public housing that was not demolished. Displaced children are more likely to be employed and earn more in young adulthood. I also find that displaced children have fewer violent crime arrests. Children displaced at young ages have lower high school dropout rates.","author":[{"dropping-particle":"","family":"Chyn","given":"Eric","non-dropping-particle":"","parse-names":false,"suffix":""}],"container-title":"American Economic Review","id":"ITEM-2","issue":"10","issued":{"date-parts":[["2018","10","1"]]},"page":"3028-56","publisher":"American Economic Association","title":"Moved to Opportunity: The Long-Run Effects of Public Housing Demolition on Children","type":"article-journal","volume":"108"},"uris":["http://www.mendeley.com/documents/?uuid=20f35de1-d1a7-3cbe-8081-7fa5d4a281ee"]},{"id":"ITEM-3","itemData":{"DOI":"10.1002/PAM.21805","ISSN":"0276-8739","PMID":"25558491","abstract":"Mounting evidence across different disciplines suggests that early-life conditions can have consequences on individual outcomes throughout the life cycle. Relative to other developed countries, the United States fares poorly on standard indicators of early-life health, and this disadvantage may have profound consequences not only for population well-being, but also for economic growth and competitiveness in a global economy. In this paper, we first discuss the research on the strength of the link between early-life health and adult outcomes, and then provide an evidence-based review of the effectiveness of existing U.S. policies targeting the early-life environment. We conclude that there is a robust and economically meaningful relationship between early-life conditions and well-being throughout the life cycle, as measured by adult health, educational attainment, labor market attachment, and other indicators of socioeconomic status. However, there is some variation in the degree to which current policies in the United States are effective in improving early-life conditions. Among existing programs, some of the most effective are the Special Supplemental Program for Women, Infants, and Children (WIC), home visiting with nurse practitioners, and high-quality, center-based early-childhood care and education. In contrast, the evidence on other policies such as prenatal care and family leave is more mixed and limited.","author":[{"dropping-particle":"","family":"Currie","given":"Janet","non-dropping-particle":"","parse-names":false,"suffix":""},{"dropping-particle":"","family":"Rossin-Slater","given":"Maya","non-dropping-particle":"","parse-names":false,"suffix":""}],"container-title":"Journal of policy analysis and management : [the journal of the Association for Public Policy Analysis and Management]","id":"ITEM-3","issue":"1","issued":{"date-parts":[["2015"]]},"page":"208-242","publisher":"J Policy Anal Manage","title":"Early-life origins of life-cycle well-being: research and policy implications","type":"article-journal","volume":"34"},"uris":["http://www.mendeley.com/documents/?uuid=d52210f1-be11-4cf6-bd15-73aba349b94d"]}],"mendeley":{"formattedCitation":"(Chyn, 2018; Currie &amp; Rossin-Slater, 2015; Ludwig &amp; Miller, 2007)","plainTextFormattedCitation":"(Chyn, 2018; Currie &amp; Rossin-Slater, 2015; Ludwig &amp; Miller, 2007)","previouslyFormattedCitation":"(Chyn, 2018; Currie &amp; Rossin-Slater, 2015; Ludwig &amp; Miller, 2007)"},"properties":{"noteIndex":0},"schema":"https://github.com/citation-style-language/schema/raw/master/csl-citation.json"}</w:instrText>
      </w:r>
      <w:r w:rsidR="00314766" w:rsidRPr="0004264F">
        <w:rPr>
          <w:rFonts w:eastAsiaTheme="minorEastAsia" w:cstheme="majorBidi"/>
          <w:szCs w:val="24"/>
        </w:rPr>
        <w:fldChar w:fldCharType="separate"/>
      </w:r>
      <w:r w:rsidR="00314766" w:rsidRPr="0004264F">
        <w:rPr>
          <w:rFonts w:eastAsiaTheme="minorEastAsia" w:cstheme="majorBidi"/>
          <w:noProof/>
          <w:szCs w:val="24"/>
        </w:rPr>
        <w:t>(Chyn, 2018; Currie &amp; Rossin-Slater, 2015; Ludwig &amp; Miller, 2007)</w:t>
      </w:r>
      <w:r w:rsidR="00314766" w:rsidRPr="0004264F">
        <w:rPr>
          <w:rFonts w:eastAsiaTheme="minorEastAsia" w:cstheme="majorBidi"/>
          <w:szCs w:val="24"/>
        </w:rPr>
        <w:fldChar w:fldCharType="end"/>
      </w:r>
      <w:r w:rsidRPr="0004264F">
        <w:rPr>
          <w:rFonts w:eastAsiaTheme="minorEastAsia" w:cstheme="majorBidi"/>
          <w:szCs w:val="24"/>
        </w:rPr>
        <w:t xml:space="preserve">. </w:t>
      </w:r>
      <w:r w:rsidR="00280B39" w:rsidRPr="0004264F">
        <w:rPr>
          <w:rFonts w:eastAsiaTheme="minorEastAsia" w:cstheme="majorBidi"/>
          <w:szCs w:val="24"/>
        </w:rPr>
        <w:t>This section complements the main results by investigating the effects of bank deposits experienced during postnatal ages and later-life longevity. Moreover, we also examine the association between changes in deposits during pre-prenatal period on longevity. The idea is that i</w:t>
      </w:r>
      <w:r w:rsidR="00CA505D" w:rsidRPr="0004264F">
        <w:rPr>
          <w:rFonts w:eastAsiaTheme="minorEastAsia" w:cstheme="majorBidi"/>
          <w:szCs w:val="24"/>
        </w:rPr>
        <w:t xml:space="preserve">f the deposits are capturing general improvements in health conditions rather than in-utero economic condition shocks, we would observe similar effects for </w:t>
      </w:r>
      <w:r w:rsidR="00280B39" w:rsidRPr="0004264F">
        <w:rPr>
          <w:rFonts w:eastAsiaTheme="minorEastAsia" w:cstheme="majorBidi"/>
          <w:szCs w:val="24"/>
        </w:rPr>
        <w:t xml:space="preserve">the exposure measures assigned for </w:t>
      </w:r>
      <w:r w:rsidR="00CA505D" w:rsidRPr="0004264F">
        <w:rPr>
          <w:rFonts w:eastAsiaTheme="minorEastAsia" w:cstheme="majorBidi"/>
          <w:szCs w:val="24"/>
        </w:rPr>
        <w:t xml:space="preserve">pre-prenatal </w:t>
      </w:r>
      <w:r w:rsidR="00280B39" w:rsidRPr="0004264F">
        <w:rPr>
          <w:rFonts w:eastAsiaTheme="minorEastAsia" w:cstheme="majorBidi"/>
          <w:szCs w:val="24"/>
        </w:rPr>
        <w:t>period</w:t>
      </w:r>
      <w:r w:rsidR="00CA505D" w:rsidRPr="0004264F">
        <w:rPr>
          <w:rFonts w:eastAsiaTheme="minorEastAsia" w:cstheme="majorBidi"/>
          <w:szCs w:val="24"/>
        </w:rPr>
        <w:t>.</w:t>
      </w:r>
      <w:r w:rsidR="00280B39" w:rsidRPr="0004264F">
        <w:rPr>
          <w:rFonts w:eastAsiaTheme="minorEastAsia" w:cstheme="majorBidi"/>
          <w:szCs w:val="24"/>
        </w:rPr>
        <w:t xml:space="preserve"> Therefore, this test provides a placebo check to assess the validity of the main results.</w:t>
      </w:r>
    </w:p>
    <w:p w14:paraId="247CAFCE" w14:textId="5509C771" w:rsidR="00CA505D" w:rsidRPr="0004264F" w:rsidRDefault="00280B39" w:rsidP="00280B39">
      <w:pPr>
        <w:spacing w:before="60" w:after="60" w:line="480" w:lineRule="auto"/>
        <w:ind w:firstLine="720"/>
        <w:jc w:val="both"/>
        <w:rPr>
          <w:rFonts w:eastAsiaTheme="minorEastAsia" w:cstheme="majorBidi"/>
          <w:szCs w:val="24"/>
        </w:rPr>
      </w:pPr>
      <w:r w:rsidRPr="0004264F">
        <w:rPr>
          <w:rFonts w:eastAsiaTheme="minorEastAsia" w:cstheme="majorBidi"/>
          <w:szCs w:val="24"/>
        </w:rPr>
        <w:t>In so doing</w:t>
      </w:r>
      <w:r w:rsidR="00CA505D" w:rsidRPr="0004264F">
        <w:rPr>
          <w:rFonts w:eastAsiaTheme="minorEastAsia" w:cstheme="majorBidi"/>
          <w:szCs w:val="24"/>
        </w:rPr>
        <w:t>, we generate two new variables for assigning deposits at two years up to gestation</w:t>
      </w:r>
      <w:r w:rsidRPr="0004264F">
        <w:rPr>
          <w:rFonts w:eastAsiaTheme="minorEastAsia" w:cstheme="majorBidi"/>
          <w:szCs w:val="24"/>
        </w:rPr>
        <w:t xml:space="preserve"> </w:t>
      </w:r>
      <w:r w:rsidR="00CA505D" w:rsidRPr="0004264F">
        <w:rPr>
          <w:rFonts w:eastAsiaTheme="minorEastAsia" w:cstheme="majorBidi"/>
          <w:szCs w:val="24"/>
        </w:rPr>
        <w:t>and two years after birth. We include the</w:t>
      </w:r>
      <w:r w:rsidRPr="0004264F">
        <w:rPr>
          <w:rFonts w:eastAsiaTheme="minorEastAsia" w:cstheme="majorBidi"/>
          <w:szCs w:val="24"/>
        </w:rPr>
        <w:t>se two variables as well as our primary in-utero exposure measure</w:t>
      </w:r>
      <w:r w:rsidR="00CA505D" w:rsidRPr="0004264F">
        <w:rPr>
          <w:rFonts w:eastAsiaTheme="minorEastAsia" w:cstheme="majorBidi"/>
          <w:szCs w:val="24"/>
        </w:rPr>
        <w:t xml:space="preserve"> in the</w:t>
      </w:r>
      <w:r w:rsidRPr="0004264F">
        <w:rPr>
          <w:rFonts w:eastAsiaTheme="minorEastAsia" w:cstheme="majorBidi"/>
          <w:szCs w:val="24"/>
        </w:rPr>
        <w:t xml:space="preserve"> full</w:t>
      </w:r>
      <w:r w:rsidR="00CA505D" w:rsidRPr="0004264F">
        <w:rPr>
          <w:rFonts w:eastAsiaTheme="minorEastAsia" w:cstheme="majorBidi"/>
          <w:szCs w:val="24"/>
        </w:rPr>
        <w:t xml:space="preserve"> specifications of equation 1 and allow for the effects </w:t>
      </w:r>
      <w:r w:rsidRPr="0004264F">
        <w:rPr>
          <w:rFonts w:eastAsiaTheme="minorEastAsia" w:cstheme="majorBidi"/>
          <w:szCs w:val="24"/>
        </w:rPr>
        <w:t xml:space="preserve">of these variables </w:t>
      </w:r>
      <w:r w:rsidR="00CA505D" w:rsidRPr="0004264F">
        <w:rPr>
          <w:rFonts w:eastAsiaTheme="minorEastAsia" w:cstheme="majorBidi"/>
          <w:szCs w:val="24"/>
        </w:rPr>
        <w:t xml:space="preserve">to compete within a regression. The results are reported </w:t>
      </w:r>
      <w:r w:rsidR="00780DE6" w:rsidRPr="0004264F">
        <w:rPr>
          <w:rFonts w:eastAsiaTheme="minorEastAsia" w:cstheme="majorBidi"/>
          <w:szCs w:val="24"/>
        </w:rPr>
        <w:t>i</w:t>
      </w:r>
      <w:r w:rsidR="00CA505D" w:rsidRPr="0004264F">
        <w:rPr>
          <w:rFonts w:eastAsiaTheme="minorEastAsia" w:cstheme="majorBidi"/>
          <w:szCs w:val="24"/>
        </w:rPr>
        <w:t>n</w:t>
      </w:r>
      <w:r w:rsidR="00780DE6" w:rsidRPr="0004264F">
        <w:rPr>
          <w:rFonts w:eastAsiaTheme="minorEastAsia" w:cstheme="majorBidi"/>
          <w:szCs w:val="24"/>
        </w:rPr>
        <w:t xml:space="preserve"> </w:t>
      </w:r>
      <w:r w:rsidR="00780DE6" w:rsidRPr="0004264F">
        <w:rPr>
          <w:rFonts w:eastAsiaTheme="minorEastAsia" w:cstheme="majorBidi"/>
          <w:szCs w:val="24"/>
        </w:rPr>
        <w:fldChar w:fldCharType="begin"/>
      </w:r>
      <w:r w:rsidR="00780DE6" w:rsidRPr="0004264F">
        <w:rPr>
          <w:rFonts w:eastAsiaTheme="minorEastAsia" w:cstheme="majorBidi"/>
          <w:szCs w:val="24"/>
        </w:rPr>
        <w:instrText xml:space="preserve"> REF _Ref118902360 \h </w:instrText>
      </w:r>
      <w:r w:rsidR="002D11C3" w:rsidRPr="0004264F">
        <w:rPr>
          <w:rFonts w:eastAsiaTheme="minorEastAsia" w:cstheme="majorBidi"/>
          <w:szCs w:val="24"/>
        </w:rPr>
        <w:instrText xml:space="preserve"> \* MERGEFORMAT </w:instrText>
      </w:r>
      <w:r w:rsidR="00780DE6" w:rsidRPr="0004264F">
        <w:rPr>
          <w:rFonts w:eastAsiaTheme="minorEastAsia" w:cstheme="majorBidi"/>
          <w:szCs w:val="24"/>
        </w:rPr>
      </w:r>
      <w:r w:rsidR="00780DE6" w:rsidRPr="0004264F">
        <w:rPr>
          <w:rFonts w:eastAsiaTheme="minorEastAsia" w:cstheme="majorBidi"/>
          <w:szCs w:val="24"/>
        </w:rPr>
        <w:fldChar w:fldCharType="separate"/>
      </w:r>
      <w:r w:rsidR="00780DE6" w:rsidRPr="0004264F">
        <w:rPr>
          <w:rFonts w:cstheme="majorBidi"/>
        </w:rPr>
        <w:t xml:space="preserve">Table </w:t>
      </w:r>
      <w:r w:rsidR="00780DE6" w:rsidRPr="0004264F">
        <w:rPr>
          <w:rFonts w:cstheme="majorBidi"/>
          <w:noProof/>
        </w:rPr>
        <w:t>5</w:t>
      </w:r>
      <w:r w:rsidR="00780DE6" w:rsidRPr="0004264F">
        <w:rPr>
          <w:rFonts w:eastAsiaTheme="minorEastAsia" w:cstheme="majorBidi"/>
          <w:szCs w:val="24"/>
        </w:rPr>
        <w:fldChar w:fldCharType="end"/>
      </w:r>
      <w:r w:rsidR="00CA505D" w:rsidRPr="0004264F">
        <w:rPr>
          <w:rFonts w:eastAsiaTheme="minorEastAsia" w:cstheme="majorBidi"/>
          <w:szCs w:val="24"/>
        </w:rPr>
        <w:t>. Across specifications, the coefficients of the pre-prenatal development period suggest small and insignificant correlations providing support for the empirical strategy. The correlations between bank deposits and postnatal ages are also small in magnitude (relative to the deposit’s assignment during in-utero), and their coefficients are statistically insignificant.</w:t>
      </w:r>
      <w:r w:rsidR="0000727D" w:rsidRPr="0004264F">
        <w:rPr>
          <w:rFonts w:eastAsiaTheme="minorEastAsia" w:cstheme="majorBidi"/>
          <w:szCs w:val="24"/>
        </w:rPr>
        <w:t xml:space="preserve"> The effect of exposure during in-utero suggests positive, relatively large, and statistically significant association between deposits and old-age longevity. </w:t>
      </w:r>
    </w:p>
    <w:p w14:paraId="79EE3EAA" w14:textId="5E38E478" w:rsidR="007419F5" w:rsidRPr="0004264F" w:rsidRDefault="007419F5" w:rsidP="00F970D7">
      <w:pPr>
        <w:pStyle w:val="Heading2"/>
      </w:pPr>
      <w:r w:rsidRPr="0004264F">
        <w:t>Exploring the Relevance of County-Level Variations</w:t>
      </w:r>
    </w:p>
    <w:p w14:paraId="50F79E50" w14:textId="63F80666" w:rsidR="00F51C34" w:rsidRPr="0004264F" w:rsidRDefault="00591735" w:rsidP="00F51C34">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As we discussed in section </w:t>
      </w:r>
      <w:r w:rsidRPr="0004264F">
        <w:rPr>
          <w:rFonts w:eastAsiaTheme="minorEastAsia" w:cstheme="majorBidi"/>
          <w:szCs w:val="24"/>
        </w:rPr>
        <w:fldChar w:fldCharType="begin"/>
      </w:r>
      <w:r w:rsidRPr="0004264F">
        <w:rPr>
          <w:rFonts w:eastAsiaTheme="minorEastAsia" w:cstheme="majorBidi"/>
          <w:szCs w:val="24"/>
        </w:rPr>
        <w:instrText xml:space="preserve"> REF _Ref100352065 \n \h </w:instrText>
      </w:r>
      <w:r w:rsidR="002F7C1D"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eastAsiaTheme="minorEastAsia" w:cstheme="majorBidi"/>
          <w:szCs w:val="24"/>
        </w:rPr>
        <w:t>1</w:t>
      </w:r>
      <w:r w:rsidRPr="0004264F">
        <w:rPr>
          <w:rFonts w:eastAsiaTheme="minorEastAsia" w:cstheme="majorBidi"/>
          <w:szCs w:val="24"/>
        </w:rPr>
        <w:fldChar w:fldCharType="end"/>
      </w:r>
      <w:r w:rsidRPr="0004264F">
        <w:rPr>
          <w:rFonts w:eastAsiaTheme="minorEastAsia" w:cstheme="majorBidi"/>
          <w:szCs w:val="24"/>
        </w:rPr>
        <w:t xml:space="preserve">, </w:t>
      </w:r>
      <w:r w:rsidR="00090620" w:rsidRPr="0004264F">
        <w:rPr>
          <w:rFonts w:eastAsiaTheme="minorEastAsia" w:cstheme="majorBidi"/>
          <w:szCs w:val="24"/>
        </w:rPr>
        <w:t>an</w:t>
      </w:r>
      <w:r w:rsidRPr="0004264F">
        <w:rPr>
          <w:rFonts w:eastAsiaTheme="minorEastAsia" w:cstheme="majorBidi"/>
          <w:szCs w:val="24"/>
        </w:rPr>
        <w:t xml:space="preserve"> advantage of our study </w:t>
      </w:r>
      <w:r w:rsidR="00090620" w:rsidRPr="0004264F">
        <w:rPr>
          <w:rFonts w:eastAsiaTheme="minorEastAsia" w:cstheme="majorBidi"/>
          <w:szCs w:val="24"/>
        </w:rPr>
        <w:t xml:space="preserve">compared </w:t>
      </w:r>
      <w:r w:rsidRPr="0004264F">
        <w:rPr>
          <w:rFonts w:eastAsiaTheme="minorEastAsia" w:cstheme="majorBidi"/>
          <w:szCs w:val="24"/>
        </w:rPr>
        <w:t xml:space="preserve">to the </w:t>
      </w:r>
      <w:r w:rsidR="00090620" w:rsidRPr="0004264F">
        <w:rPr>
          <w:rFonts w:eastAsiaTheme="minorEastAsia" w:cstheme="majorBidi"/>
          <w:szCs w:val="24"/>
        </w:rPr>
        <w:t>previous</w:t>
      </w:r>
      <w:r w:rsidRPr="0004264F">
        <w:rPr>
          <w:rFonts w:eastAsiaTheme="minorEastAsia" w:cstheme="majorBidi"/>
          <w:szCs w:val="24"/>
        </w:rPr>
        <w:t xml:space="preserve"> literature is </w:t>
      </w:r>
      <w:r w:rsidR="003E07A4" w:rsidRPr="0004264F">
        <w:rPr>
          <w:rFonts w:eastAsiaTheme="minorEastAsia" w:cstheme="majorBidi"/>
          <w:szCs w:val="24"/>
        </w:rPr>
        <w:t xml:space="preserve">in part </w:t>
      </w:r>
      <w:r w:rsidRPr="0004264F">
        <w:rPr>
          <w:rFonts w:eastAsiaTheme="minorEastAsia" w:cstheme="majorBidi"/>
          <w:szCs w:val="24"/>
        </w:rPr>
        <w:t>that we use a more granular measure of local economic conditions (i.e., county-level) versus national</w:t>
      </w:r>
      <w:r w:rsidR="007419F5" w:rsidRPr="0004264F">
        <w:rPr>
          <w:rFonts w:eastAsiaTheme="minorEastAsia" w:cstheme="majorBidi"/>
          <w:szCs w:val="24"/>
        </w:rPr>
        <w:t>, census-region,</w:t>
      </w:r>
      <w:r w:rsidRPr="0004264F">
        <w:rPr>
          <w:rFonts w:eastAsiaTheme="minorEastAsia" w:cstheme="majorBidi"/>
          <w:szCs w:val="24"/>
        </w:rPr>
        <w:t xml:space="preserve"> or state-level measures of other studies </w:t>
      </w:r>
      <w:r w:rsidR="00491F4C" w:rsidRPr="0004264F">
        <w:rPr>
          <w:rFonts w:eastAsiaTheme="minorEastAsia" w:cstheme="majorBidi"/>
          <w:szCs w:val="24"/>
        </w:rPr>
        <w:fldChar w:fldCharType="begin" w:fldLock="1"/>
      </w:r>
      <w:r w:rsidR="00075E74" w:rsidRPr="0004264F">
        <w:rPr>
          <w:rFonts w:eastAsiaTheme="minorEastAsia" w:cstheme="majorBidi"/>
          <w:szCs w:val="24"/>
        </w:rPr>
        <w:instrText>ADDIN CSL_CITATION {"citationItems":[{"id":"ITEM-1","itemData":{"DOI":"10.2139/SSRN.3985570","ISSN":"1556-5068","author":[{"dropping-particle":"","family":"Duque","given":"Valentina","non-dropping-particle":"","parse-names":false,"suffix":""},{"dropping-particle":"","family":"Schmitz","given":"Lauren","non-dropping-particle":"","parse-names":false,"suffix":""}],"container-title":"SSRN Electronic Journal","id":"ITEM-1","issued":{"date-parts":[["2021","12","14"]]},"title":"The Influence of Early-Life Economic Shocks on Aging Outcomes: Evidence from the U.S. Great Depression","type":"article-journal"},"uris":["http://www.mendeley.com/documents/?uuid=61ffff1a-7af2-3215-9365-cb2453eab4ad"]},{"id":"ITEM-2","itemData":{"DOI":"10.1101/2022.05.18.22275258","author":[{"dropping-particle":"","family":"Schmitz","given":"Lauren","non-dropping-particle":"","parse-names":false,"suffix":""},{"dropping-particle":"","family":"Duque","given":"Valentina","non-dropping-particle":"","parse-names":false,"suffix":""}],"id":"ITEM-2","issued":{"date-parts":[["2022","5","21"]]},"title":"In Utero Exposure to the Great Depression is Reflected in Late-Life Epigenetic Aging Signatures","type":"article-journal"},"uris":["http://www.mendeley.com/documents/?uuid=ab1d6b85-8c78-3b1a-b8b3-a30f41d23a8f"]},{"id":"ITEM-3","itemData":{"DOI":"10.1073/pnas.0904491106","ISSN":"00278424","PMID":"19805076","abstract":"Recent events highlight the importance of examining the impact of economic downturns on population health. The Great Depression of the 1930s was the most important economic downturn in the U.S. in the twentieth century. We used historical life expectancy and mortality data to examine associations of economic growth with population health for the period 1920-1940. We conducted descriptive analyses of trends and examined associations between annual changes in health indicators and annual changes in economic activity using correlations and regression models. Population health did not decline and indeed generally improved during the 4 years of the Great Depression, 1930-1933, with mortality decreasing for almost all ages, and life expectancy increasing by several years in males, females, whites, and nonwhites. For most age groups, mortality tended to peak during years of strong economic expansion (such as 1923, 1926, 1929, and 1936-1937). In contrast, the recessions of 1921, 1930-1933, and 1938 coincided with declines in mortality and gains in life expectancy. The only exception was suicide mortality which increased during the Great Depression, but accounted for less than 2% of deaths. Correlation and regression analyses confirmed a significant negative effect of economic expansions on health gains. The evolution of population health during the years 1920-1940 confirms the counterintuitive hypothesis that, as in other historical periods and market economies, population health tends to evolve better during recessions than in expansions.","author":[{"dropping-particle":"","family":"Granados","given":"José A Tapia","non-dropping-particle":"","parse-names":false,"suffix":""},{"dropping-particle":"","family":"Roux","given":"Ana V Diez","non-dropping-particle":"","parse-names":false,"suffix":""},{"dropping-particle":"","family":"Tapia Granados","given":"José A","non-dropping-particle":"","parse-names":false,"suffix":""},{"dropping-particle":"V","family":"Diez Roux","given":"Ana","non-dropping-particle":"","parse-names":false,"suffix":""}],"container-title":"Proceedings of the National Academy of Sciences of the United States of America","id":"ITEM-3","issue":"41","issued":{"date-parts":[["2009"]]},"page":"17290-17295","publisher":"National Academy of Sciences","title":"Life and death during the Great Depression","type":"article-journal","volume":"106"},"uris":["http://www.mendeley.com/documents/?uuid=8b85d987-979f-4b98-a695-6941b74d2204"]},{"id":"ITEM-4","itemData":{"DOI":"10.1017/S0022050718000074","ISSN":"14716372","abstract":"I find that childhood exposure to the Dust Bowl, an environmental shock to health and income, adversely impacted later-life human capital-especially when exposure was in utero-increasing poverty and disability rates, and decreasing fertility and college completion rates. The event's devastation of agriculture, however, had the beneficial effect of increasing high school completion, likely by pushing children who otherwise might have worked on the farm into secondary schooling. Lastly, New Deal spending helped remediate Dust Bowl damage, suggesting that timely and substantial policy interventions can aid in human recovery from natural disasters.","author":[{"dropping-particle":"","family":"Arthi","given":"Vellore","non-dropping-particle":"","parse-names":false,"suffix":""}],"container-title":"Journal of Economic History","id":"ITEM-4","issue":"1","issued":{"date-parts":[["2018"]]},"page":"196-230","publisher":"Cambridge University Press","title":"\"The dust was long in settling\": Human capital and the lasting impact of the American Dust Bowl","type":"article-journal","volume":"78"},"uris":["http://www.mendeley.com/documents/?uuid=02687dd5-269c-45cf-906b-2fc4fd166163"]},{"id":"ITEM-5","itemData":{"author":[{"dropping-particle":"","family":"Cutler","given":"David M","non-dropping-particle":"","parse-names":false,"suffix":""},{"dropping-particle":"","family":"Miller","given":"Grant","non-dropping-particle":"","parse-names":false,"suffix":""},{"dropping-particle":"","family":"Norton","given":"Douglas M","non-dropping-particle":"","parse-names":false,"suffix":""}],"container-title":"Proceedings of the National Academy of Sciences","id":"ITEM-5","issue":"33","issued":{"date-parts":[["2007"]]},"page":"13244-13249","publisher":"National Acad Sciences","title":"Evidence on early-life income and late-life health from America's Dust Bowl era","type":"article-journal","volume":"104"},"uris":["http://www.mendeley.com/documents/?uuid=9820c928-a2cc-3459-bec8-0945e0c6e7de"]},{"id":"ITEM-6","itemData":{"DOI":"10.1016/j.jhealeco.2014.02.004","ISSN":"18791646","PMID":"25804346","abstract":"This paper analyzes the interplay between early-life conditions and marital status, as determinants of adult mortality. We use individual data from Dutch registers (years 1815-2000), combined with business cycle conditions in childhood as indicators of early-life conditions. The empirical analysis estimates bivariate duration models of marriage and mortality, allowing for unobserved heterogeneity. Results show that conditions around birth and school going ages are important for marriage and mortality. Men typically enjoy a protective effect of marriage, whereas women suffer during childbearing ages. However, having been born under favorable economic conditions reduces female mortality during childbearing ages.","author":[{"dropping-particle":"","family":"Berg","given":"Gerard J.","non-dropping-particle":"Van Den","parse-names":false,"suffix":""},{"dropping-particle":"","family":"Gupta","given":"Sumedha","non-dropping-particle":"","parse-names":false,"suffix":""},{"dropping-particle":"","family":"Berg","given":"Gerard J","non-dropping-particle":"van den","parse-names":false,"suffix":""},{"dropping-particle":"","family":"Gupta","given":"Sumedha","non-dropping-particle":"","parse-names":false,"suffix":""}],"container-title":"Journal of health economics","id":"ITEM-6","issued":{"date-parts":[["2015"]]},"page":"141-158","publisher":"Elsevier","title":"The role of marriage in the causal pathway from economic conditions early in life to mortality","type":"article-journal","volume":"40"},"uris":["http://www.mendeley.com/documents/?uuid=7f8fdc33-ad57-4e51-b66c-fe36b3116659"]},{"id":"ITEM-7","itemData":{"DOI":"10.1016/J.SOCSCIMED.2009.02.007","ISSN":"0277-9536","PMID":"19278762","abstract":"We analyze causal effects of conditions early in life on the individual mortality rate later in life. Conditions early in life are captured by transitory features of the macro-environment around birth, notably the state of the business cycle around birth, but also food price deviations, weather indicators, and demographic indicators. We argue that these features can only affect high-age mortality by way of the individual early-life conditions. Moreover, they are exogenous from the individual point of view, which is a methodological advantage compared to the use of unique characteristics of the newborn individual or his or her family or household as early-life indicators. We collected national annual time-series data on the above-mentioned indicators, and we combine these to the individual data records from the Danish Twin Registry covering births in 1873-1906. The empirical analyses (mostly based on the estimation of duration models) indicate a significant negative causal effect of economic conditions early in life on individual mortality rates at higher ages. If the national economic performance in the year of birth exceeds its trend value (i.e., if the business cycle is favorable) then the mortality rate later in life is lower. The implied effect on the median lifetime of those who survive until age 35 is about 10 months. A systematic empirical exploration of all macro-indicators reveals that economic conditions in the first years after birth also affect mortality rates later in life. © 2009 Elsevier Ltd. All rights reserved.","author":[{"dropping-particle":"","family":"Berg","given":"Gerard J.","non-dropping-particle":"Van Den","parse-names":false,"suffix":""},{"dropping-particle":"","family":"Doblhammer","given":"Gabriele","non-dropping-particle":"","parse-names":false,"suffix":""},{"dropping-particle":"","family":"Christensen","given":"Kaare","non-dropping-particle":"","parse-names":false,"suffix":""}],"container-title":"Social Science &amp; Medicine","id":"ITEM-7","issue":"9","issued":{"date-parts":[["2009","5","1"]]},"page":"1591-1598","publisher":"Pergamon","title":"Exogenous determinants of early-life conditions, and mortality later in life","type":"article-journal","volume":"68"},"uris":["http://www.mendeley.com/documents/?uuid=34a49e9a-1432-41e6-be52-d86151870814"]},{"id":"ITEM-8","itemData":{"DOI":"10.1257/000282806776157740","ISSN":"0002-8282","PMID":"29125729","author":[{"dropping-particle":"","family":"Berg","given":"Gerard J.","non-dropping-particle":"Van Den","parse-names":false,"suffix":""},{"dropping-particle":"","family":"Lindeboom","given":"Maarten","non-dropping-particle":"","parse-names":false,"suffix":""},{"dropping-particle":"","family":"Portrait","given":"France","non-dropping-particle":"","parse-names":false,"suffix":""},{"dropping-particle":"Van Den","family":"Berg","given":"Gerard J","non-dropping-particle":"","parse-names":false,"suffix":""},{"dropping-particle":"","family":"Lindeboom","given":"Maarten","non-dropping-particle":"","parse-names":false,"suffix":""},{"dropping-particle":"","family":"Portrait","given":"France","non-dropping-particle":"","parse-names":false,"suffix":""},{"dropping-particle":"","family":"Berg","given":"Gerard J","non-dropping-particle":"den","parse-names":false,"suffix":""},{"dropping-particle":"","family":"Lindeboom","given":"Maarten","non-dropping-particle":"","parse-names":false,"suffix":""},{"dropping-particle":"","family":"Portrait","given":"France","non-dropping-particle":"","parse-names":false,"suffix":""}],"container-title":"American Economic Review","id":"ITEM-8","issue":"1","issued":{"date-parts":[["2006","3"]]},"page":"290-302","title":"Economic Conditions Early in Life and Individual Mortality","type":"article-journal","volume":"96"},"uris":["http://www.mendeley.com/documents/?uuid=0105bfac-dc1c-4461-8420-c607f410acf3"]},{"id":"ITEM-9","itemData":{"DOI":"10.1007/S11111-022-00398-W","ISBN":"0123456789","ISSN":"1573-7810","abstract":"The Great Plains drought of 1931–1939 was a prolonged socio-ecological disaster with widespread impacts on society, economy, and health. While its immediate impacts are well documented, we know much less about the disaster’s effects on distal human outcomes. In particular, the event’s effects on later life mortality remain almost entirely unexplored. Closing this gap would contribute to our understanding of the long-term effects of place-based stress. To help fill this gap, I use a new, massive, linked mortality dataset to investigate whether young men’s exposure to drought and dust storms in 341 Great Plains counties was linked to a higher risk of death in early-old age. Contrary to expectations, results suggest exposure to drought conditions had no obvious adverse effect among men aged 65&amp;nbsp;years or older at time of death—rather, the average age at death was slightly higher than for comparable men without exposure. This effect also appears to have been stronger among Plainsmen who stayed in place until the drought ended. A discussion of potential explanations for these counterintuitive results is provided.","author":[{"dropping-particle":"","family":"Atherwood","given":"Serge","non-dropping-particle":"","parse-names":false,"suffix":""}],"container-title":"Population and Environment 2022","id":"ITEM-9","issued":{"date-parts":[["2022","5","7"]]},"page":"1-23","publisher":"Springer","title":"Does a prolonged hardship reduce life span? Examining the longevity of young men who lived through the 1930s Great Plains drought","type":"article-journal"},"uris":["http://www.mendeley.com/documents/?uuid=e8caa394-02ba-3586-b336-a9ff446624b2"]},{"id":"ITEM-10","itemData":{"DOI":"10.4054/DemRes.2010.22.12","ISSN":"14359871","abstract":"I study how shocks in cohort-level early life conditions, as represented by deviations from trend in mortality before age 5, affect later mortality. I use data for six European countries and find that shocks that increase infant mortality decrease later life expectancy between ages 5-30. The effect is strong for England and Wales but small or insignificant for other countries. Shocks that increase mortality at ages 1-5 increase life expectancy between ages 5-30 and compress the mortality distribution. For both shocks the effects are weak at older ages. These results suggest that early life conditions have a transitory effect and potentially only little influence on old-age mortality. © 2010 Mikko Myrskylä.","author":[{"dropping-particle":"","family":"Myrskylä","given":"Mikko","non-dropping-particle":"","parse-names":false,"suffix":""}],"container-title":"Demographic Research","id":"ITEM-10","issued":{"date-parts":[["2010","6"]]},"page":"289-320","publisher":"JSTOR","title":"The effects of shocks in early life mortality on later life expectancy and mortality compression: A cohort analysis","type":"article-journal","volume":"22"},"uris":["http://www.mendeley.com/documents/?uuid=81b646df-e0e7-3eab-bd0a-200a5f3aa9f2"]},{"id":"ITEM-11","itemData":{"DOI":"10.1016/J.JHEALECO.2014.10.002","ISSN":"0167-6296","PMID":"25461896","abstract":"The Dutch Hunger Winter (1944/45) is the most-studied famine in the literature on long-run effects of malnutrition in utero. Its temporal and spatial demarcations are clear, it was severe, it was not anticipated, and nutritional conditions in society were favorable and stable before and after the famine. This is the first study to analyze effects of in utero exposure on labor market outcomes and hospitalization late in life, and the first to use register data covering the full Dutch population to examine long-run effects of this famine. We provide results of famine exposure by sub-interval of gestation. We find a significantly negative effect of exposure during the first trimester of gestation on employment outcomes 53 or more years after birth. Hospitalization rates in the years before retirement are higher after middle or late gestational exposure.","author":[{"dropping-particle":"","family":"Scholte","given":"Robert S.","non-dropping-particle":"","parse-names":false,"suffix":""},{"dropping-particle":"","family":"Berg","given":"Gerard J.","non-dropping-particle":"Van Den","parse-names":false,"suffix":""},{"dropping-particle":"","family":"Lindeboom","given":"Maarten","non-dropping-particle":"","parse-names":false,"suffix":""}],"container-title":"Journal of Health Economics","id":"ITEM-11","issued":{"date-parts":[["2015","1","1"]]},"page":"17-30","publisher":"North-Holland","title":"Long-run effects of gestation during the Dutch Hunger Winter famine on labor market and hospitalization outcomes","type":"article-journal","volume":"39"},"uris":["http://www.mendeley.com/documents/?uuid=82a39580-a778-3482-93b1-13d6b904256c"]}],"mendeley":{"formattedCitation":"(Arthi, 2018; Atherwood, 2022; D. M. Cutler et al., 2007; Duque &amp; Schmitz, 2021; Granados et al., 2009; Myrskylä, 2010a; Schmitz &amp; Duque, 2022; Scholte et al., 2015; Van Den Berg et al., 2015, 2006, 2009)","manualFormatting":"(Arthi, 2018a; Atherwood, 2022; Cutler et al., 2007; Van den Berg et al., 2015; Duque &amp; Schmitz, 2021; Granados et al., 2009; Myrskylä, 2010b; Schmitz &amp; Duque, 2022; Scholte et al., 2015; Van Den Berg et al., 2006; Van den Berg et al., 2009)","plainTextFormattedCitation":"(Arthi, 2018; Atherwood, 2022; D. M. Cutler et al., 2007; Duque &amp; Schmitz, 2021; Granados et al., 2009; Myrskylä, 2010a; Schmitz &amp; Duque, 2022; Scholte et al., 2015; Van Den Berg et al., 2015, 2006, 2009)","previouslyFormattedCitation":"(Arthi, 2018; Atherwood, 2022; D. M. Cutler et al., 2007; Duque &amp; Schmitz, 2021; Granados et al., 2009; Myrskylä, 2010a; Schmitz &amp; Duque, 2022; Scholte et al., 2015; Van Den Berg et al., 2015, 2006, 2009)"},"properties":{"noteIndex":0},"schema":"https://github.com/citation-style-language/schema/raw/master/csl-citation.json"}</w:instrText>
      </w:r>
      <w:r w:rsidR="00491F4C" w:rsidRPr="0004264F">
        <w:rPr>
          <w:rFonts w:eastAsiaTheme="minorEastAsia" w:cstheme="majorBidi"/>
          <w:szCs w:val="24"/>
        </w:rPr>
        <w:fldChar w:fldCharType="separate"/>
      </w:r>
      <w:r w:rsidR="00491F4C" w:rsidRPr="0004264F">
        <w:rPr>
          <w:rFonts w:eastAsiaTheme="minorEastAsia" w:cstheme="majorBidi"/>
          <w:noProof/>
          <w:szCs w:val="24"/>
        </w:rPr>
        <w:t xml:space="preserve">(Arthi, 2018a; Atherwood, 2022; Cutler et al., 2007; Van den Berg et al., 2015; Duque &amp; Schmitz, 2021; Granados et al., </w:t>
      </w:r>
      <w:r w:rsidR="00491F4C" w:rsidRPr="0004264F">
        <w:rPr>
          <w:rFonts w:eastAsiaTheme="minorEastAsia" w:cstheme="majorBidi"/>
          <w:noProof/>
          <w:szCs w:val="24"/>
        </w:rPr>
        <w:lastRenderedPageBreak/>
        <w:t>2009; Myrskylä, 2010b; Schmitz &amp; Duque, 2022; Scholte et al., 2015; Van Den Berg et al., 2006; Van den Berg et al., 2009)</w:t>
      </w:r>
      <w:r w:rsidR="00491F4C" w:rsidRPr="0004264F">
        <w:rPr>
          <w:rFonts w:eastAsiaTheme="minorEastAsia" w:cstheme="majorBidi"/>
          <w:szCs w:val="24"/>
        </w:rPr>
        <w:fldChar w:fldCharType="end"/>
      </w:r>
      <w:r w:rsidR="00491F4C" w:rsidRPr="0004264F">
        <w:rPr>
          <w:rFonts w:eastAsiaTheme="minorEastAsia" w:cstheme="majorBidi"/>
          <w:szCs w:val="24"/>
        </w:rPr>
        <w:t xml:space="preserve">. </w:t>
      </w:r>
      <w:r w:rsidRPr="0004264F">
        <w:rPr>
          <w:rFonts w:eastAsiaTheme="minorEastAsia" w:cstheme="majorBidi"/>
          <w:szCs w:val="24"/>
        </w:rPr>
        <w:t>To show that this granularity is essential in this context, we explore</w:t>
      </w:r>
      <w:r w:rsidR="005F583E" w:rsidRPr="0004264F">
        <w:rPr>
          <w:rFonts w:eastAsiaTheme="minorEastAsia" w:cstheme="majorBidi"/>
          <w:szCs w:val="24"/>
        </w:rPr>
        <w:t xml:space="preserve"> the correlations of</w:t>
      </w:r>
      <w:r w:rsidRPr="0004264F">
        <w:rPr>
          <w:rFonts w:eastAsiaTheme="minorEastAsia" w:cstheme="majorBidi"/>
          <w:szCs w:val="24"/>
        </w:rPr>
        <w:t xml:space="preserve"> </w:t>
      </w:r>
      <w:r w:rsidR="005F583E" w:rsidRPr="0004264F">
        <w:rPr>
          <w:rFonts w:eastAsiaTheme="minorEastAsia" w:cstheme="majorBidi"/>
          <w:szCs w:val="24"/>
        </w:rPr>
        <w:t xml:space="preserve">economic conditions at the </w:t>
      </w:r>
      <w:r w:rsidR="00704849" w:rsidRPr="0004264F">
        <w:rPr>
          <w:rFonts w:eastAsiaTheme="minorEastAsia" w:cstheme="majorBidi"/>
          <w:szCs w:val="24"/>
        </w:rPr>
        <w:t>state level</w:t>
      </w:r>
      <w:r w:rsidR="005F583E" w:rsidRPr="0004264F">
        <w:rPr>
          <w:rFonts w:eastAsiaTheme="minorEastAsia" w:cstheme="majorBidi"/>
          <w:szCs w:val="24"/>
        </w:rPr>
        <w:t xml:space="preserve"> with longevity in our sample. Specifically, we use state-level income per capita and deposits per capita aggregated at the </w:t>
      </w:r>
      <w:r w:rsidR="00704849" w:rsidRPr="0004264F">
        <w:rPr>
          <w:rFonts w:eastAsiaTheme="minorEastAsia" w:cstheme="majorBidi"/>
          <w:szCs w:val="24"/>
        </w:rPr>
        <w:t>state level</w:t>
      </w:r>
      <w:r w:rsidR="005F583E" w:rsidRPr="0004264F">
        <w:rPr>
          <w:rFonts w:eastAsiaTheme="minorEastAsia" w:cstheme="majorBidi"/>
          <w:szCs w:val="24"/>
        </w:rPr>
        <w:t xml:space="preserve">. Since the state-level income per capita is available only from 1929, we restrict the sample to cohorts of 1929-1936. </w:t>
      </w:r>
      <w:r w:rsidR="00F51C34" w:rsidRPr="0004264F">
        <w:rPr>
          <w:rFonts w:eastAsiaTheme="minorEastAsia" w:cstheme="majorBidi"/>
          <w:szCs w:val="24"/>
        </w:rPr>
        <w:t xml:space="preserve">In all regressions of this section, we include individual and family </w:t>
      </w:r>
      <w:r w:rsidR="00416B49" w:rsidRPr="0004264F">
        <w:rPr>
          <w:rFonts w:eastAsiaTheme="minorEastAsia" w:cstheme="majorBidi"/>
          <w:szCs w:val="24"/>
        </w:rPr>
        <w:t>covariates</w:t>
      </w:r>
      <w:r w:rsidR="00F51C34" w:rsidRPr="0004264F">
        <w:rPr>
          <w:rFonts w:eastAsiaTheme="minorEastAsia" w:cstheme="majorBidi"/>
          <w:szCs w:val="24"/>
        </w:rPr>
        <w:t xml:space="preserve">. </w:t>
      </w:r>
    </w:p>
    <w:p w14:paraId="3CB316FB" w14:textId="4F29C634" w:rsidR="00591735" w:rsidRPr="0004264F" w:rsidRDefault="005F583E" w:rsidP="00F51C34">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As reported in column 1 of </w:t>
      </w:r>
      <w:r w:rsidR="003E5666" w:rsidRPr="0004264F">
        <w:rPr>
          <w:rFonts w:eastAsiaTheme="minorEastAsia" w:cstheme="majorBidi"/>
          <w:szCs w:val="24"/>
        </w:rPr>
        <w:t xml:space="preserve"> </w:t>
      </w:r>
      <w:r w:rsidR="003E5666" w:rsidRPr="0004264F">
        <w:rPr>
          <w:rFonts w:eastAsiaTheme="minorEastAsia" w:cstheme="majorBidi"/>
          <w:szCs w:val="24"/>
        </w:rPr>
        <w:fldChar w:fldCharType="begin"/>
      </w:r>
      <w:r w:rsidR="003E5666" w:rsidRPr="0004264F">
        <w:rPr>
          <w:rFonts w:eastAsiaTheme="minorEastAsia" w:cstheme="majorBidi"/>
          <w:szCs w:val="24"/>
        </w:rPr>
        <w:instrText xml:space="preserve"> REF _Ref111323491 \h </w:instrText>
      </w:r>
      <w:r w:rsidR="00510BC3" w:rsidRPr="0004264F">
        <w:rPr>
          <w:rFonts w:eastAsiaTheme="minorEastAsia" w:cstheme="majorBidi"/>
          <w:szCs w:val="24"/>
        </w:rPr>
        <w:instrText xml:space="preserve"> \* MERGEFORMAT </w:instrText>
      </w:r>
      <w:r w:rsidR="003E5666" w:rsidRPr="0004264F">
        <w:rPr>
          <w:rFonts w:eastAsiaTheme="minorEastAsia" w:cstheme="majorBidi"/>
          <w:szCs w:val="24"/>
        </w:rPr>
      </w:r>
      <w:r w:rsidR="003E5666" w:rsidRPr="0004264F">
        <w:rPr>
          <w:rFonts w:eastAsiaTheme="minorEastAsia" w:cstheme="majorBidi"/>
          <w:szCs w:val="24"/>
        </w:rPr>
        <w:fldChar w:fldCharType="separate"/>
      </w:r>
      <w:r w:rsidR="00780DE6" w:rsidRPr="0004264F">
        <w:rPr>
          <w:rFonts w:cstheme="majorBidi"/>
        </w:rPr>
        <w:t xml:space="preserve">Table </w:t>
      </w:r>
      <w:r w:rsidR="00780DE6" w:rsidRPr="0004264F">
        <w:rPr>
          <w:rFonts w:cstheme="majorBidi"/>
          <w:noProof/>
        </w:rPr>
        <w:t>6</w:t>
      </w:r>
      <w:r w:rsidR="003E5666" w:rsidRPr="0004264F">
        <w:rPr>
          <w:rFonts w:eastAsiaTheme="minorEastAsia" w:cstheme="majorBidi"/>
          <w:szCs w:val="24"/>
        </w:rPr>
        <w:fldChar w:fldCharType="end"/>
      </w:r>
      <w:r w:rsidR="00034319" w:rsidRPr="0004264F">
        <w:rPr>
          <w:rFonts w:eastAsiaTheme="minorEastAsia" w:cstheme="majorBidi"/>
          <w:szCs w:val="24"/>
        </w:rPr>
        <w:t xml:space="preserve"> </w:t>
      </w:r>
      <w:r w:rsidRPr="0004264F">
        <w:rPr>
          <w:rFonts w:eastAsiaTheme="minorEastAsia" w:cstheme="majorBidi"/>
          <w:szCs w:val="24"/>
        </w:rPr>
        <w:t xml:space="preserve">the </w:t>
      </w:r>
      <w:r w:rsidR="001D6DFC">
        <w:rPr>
          <w:rFonts w:eastAsiaTheme="minorEastAsia" w:cstheme="majorBidi"/>
          <w:szCs w:val="24"/>
        </w:rPr>
        <w:t xml:space="preserve">unconditional </w:t>
      </w:r>
      <w:r w:rsidRPr="0004264F">
        <w:rPr>
          <w:rFonts w:eastAsiaTheme="minorEastAsia" w:cstheme="majorBidi"/>
          <w:szCs w:val="24"/>
        </w:rPr>
        <w:t xml:space="preserve">correlation between state-level income per capita and death age is </w:t>
      </w:r>
      <w:r w:rsidR="00D97047">
        <w:rPr>
          <w:rFonts w:eastAsiaTheme="minorEastAsia" w:cstheme="majorBidi"/>
          <w:szCs w:val="24"/>
        </w:rPr>
        <w:t>9.4</w:t>
      </w:r>
      <w:r w:rsidRPr="0004264F">
        <w:rPr>
          <w:rFonts w:eastAsiaTheme="minorEastAsia" w:cstheme="majorBidi"/>
          <w:szCs w:val="24"/>
        </w:rPr>
        <w:t xml:space="preserve"> months. However, </w:t>
      </w:r>
      <w:r w:rsidR="00E64FDF" w:rsidRPr="0004264F">
        <w:rPr>
          <w:rFonts w:eastAsiaTheme="minorEastAsia" w:cstheme="majorBidi"/>
          <w:szCs w:val="24"/>
        </w:rPr>
        <w:t>a large portion of</w:t>
      </w:r>
      <w:r w:rsidRPr="0004264F">
        <w:rPr>
          <w:rFonts w:eastAsiaTheme="minorEastAsia" w:cstheme="majorBidi"/>
          <w:szCs w:val="24"/>
        </w:rPr>
        <w:t xml:space="preserve"> the observed correlation can be explained by unobserved state and cohort characteristics. Controlling for state and cohort time-invariant confounders reduces the coefficient by about </w:t>
      </w:r>
      <w:r w:rsidR="001D6DFC">
        <w:rPr>
          <w:rFonts w:eastAsiaTheme="minorEastAsia" w:cstheme="majorBidi"/>
          <w:szCs w:val="24"/>
        </w:rPr>
        <w:t>86</w:t>
      </w:r>
      <w:r w:rsidR="001D6DFC" w:rsidRPr="0004264F">
        <w:rPr>
          <w:rFonts w:eastAsiaTheme="minorEastAsia" w:cstheme="majorBidi"/>
          <w:szCs w:val="24"/>
        </w:rPr>
        <w:t xml:space="preserve"> </w:t>
      </w:r>
      <w:r w:rsidRPr="0004264F">
        <w:rPr>
          <w:rFonts w:eastAsiaTheme="minorEastAsia" w:cstheme="majorBidi"/>
          <w:szCs w:val="24"/>
        </w:rPr>
        <w:t xml:space="preserve">percent (column 2). Next, we aggregate the </w:t>
      </w:r>
      <w:r w:rsidR="003E5666" w:rsidRPr="0004264F">
        <w:rPr>
          <w:rFonts w:eastAsiaTheme="minorEastAsia" w:cstheme="majorBidi"/>
          <w:szCs w:val="24"/>
        </w:rPr>
        <w:t xml:space="preserve">deposits </w:t>
      </w:r>
      <w:r w:rsidRPr="0004264F">
        <w:rPr>
          <w:rFonts w:eastAsiaTheme="minorEastAsia" w:cstheme="majorBidi"/>
          <w:szCs w:val="24"/>
        </w:rPr>
        <w:t xml:space="preserve">from </w:t>
      </w:r>
      <w:r w:rsidR="003E07A4" w:rsidRPr="0004264F">
        <w:rPr>
          <w:rFonts w:eastAsiaTheme="minorEastAsia" w:cstheme="majorBidi"/>
          <w:szCs w:val="24"/>
        </w:rPr>
        <w:t xml:space="preserve">the </w:t>
      </w:r>
      <w:r w:rsidR="003E47CF" w:rsidRPr="0004264F">
        <w:rPr>
          <w:rFonts w:eastAsiaTheme="minorEastAsia" w:cstheme="majorBidi"/>
          <w:szCs w:val="24"/>
        </w:rPr>
        <w:t>county level</w:t>
      </w:r>
      <w:r w:rsidRPr="0004264F">
        <w:rPr>
          <w:rFonts w:eastAsiaTheme="minorEastAsia" w:cstheme="majorBidi"/>
          <w:szCs w:val="24"/>
        </w:rPr>
        <w:t xml:space="preserve"> to </w:t>
      </w:r>
      <w:r w:rsidR="00660FCE" w:rsidRPr="0004264F">
        <w:rPr>
          <w:rFonts w:eastAsiaTheme="minorEastAsia" w:cstheme="majorBidi"/>
          <w:szCs w:val="24"/>
        </w:rPr>
        <w:t xml:space="preserve">the </w:t>
      </w:r>
      <w:r w:rsidR="003E47CF" w:rsidRPr="0004264F">
        <w:rPr>
          <w:rFonts w:eastAsiaTheme="minorEastAsia" w:cstheme="majorBidi"/>
          <w:szCs w:val="24"/>
        </w:rPr>
        <w:t>state level</w:t>
      </w:r>
      <w:r w:rsidRPr="0004264F">
        <w:rPr>
          <w:rFonts w:eastAsiaTheme="minorEastAsia" w:cstheme="majorBidi"/>
          <w:szCs w:val="24"/>
        </w:rPr>
        <w:t xml:space="preserve"> and show the correlations with age at death in columns 3-4.</w:t>
      </w:r>
      <w:r w:rsidR="001D6DFC">
        <w:rPr>
          <w:rStyle w:val="FootnoteReference"/>
          <w:rFonts w:eastAsiaTheme="minorEastAsia" w:cstheme="majorBidi"/>
          <w:szCs w:val="24"/>
        </w:rPr>
        <w:footnoteReference w:id="11"/>
      </w:r>
      <w:r w:rsidRPr="0004264F">
        <w:rPr>
          <w:rFonts w:eastAsiaTheme="minorEastAsia" w:cstheme="majorBidi"/>
          <w:szCs w:val="24"/>
        </w:rPr>
        <w:t xml:space="preserve"> The correlation is </w:t>
      </w:r>
      <w:r w:rsidR="001D6DFC">
        <w:rPr>
          <w:rFonts w:eastAsiaTheme="minorEastAsia" w:cstheme="majorBidi"/>
          <w:szCs w:val="24"/>
        </w:rPr>
        <w:t>35.5</w:t>
      </w:r>
      <w:r w:rsidRPr="0004264F">
        <w:rPr>
          <w:rFonts w:eastAsiaTheme="minorEastAsia" w:cstheme="majorBidi"/>
          <w:szCs w:val="24"/>
        </w:rPr>
        <w:t xml:space="preserve"> months (column 3). The marginal effect become</w:t>
      </w:r>
      <w:r w:rsidR="00624FBF" w:rsidRPr="0004264F">
        <w:rPr>
          <w:rFonts w:eastAsiaTheme="minorEastAsia" w:cstheme="majorBidi"/>
          <w:szCs w:val="24"/>
        </w:rPr>
        <w:t>s</w:t>
      </w:r>
      <w:r w:rsidRPr="0004264F">
        <w:rPr>
          <w:rFonts w:eastAsiaTheme="minorEastAsia" w:cstheme="majorBidi"/>
          <w:szCs w:val="24"/>
        </w:rPr>
        <w:t xml:space="preserve"> smaller</w:t>
      </w:r>
      <w:r w:rsidR="0087450E">
        <w:rPr>
          <w:rFonts w:eastAsiaTheme="minorEastAsia" w:cstheme="majorBidi"/>
          <w:szCs w:val="24"/>
        </w:rPr>
        <w:t xml:space="preserve"> (about the same 80% reduction as in Columns 1 and 2)</w:t>
      </w:r>
      <w:r w:rsidR="001D6DFC">
        <w:rPr>
          <w:rFonts w:eastAsiaTheme="minorEastAsia" w:cstheme="majorBidi"/>
          <w:szCs w:val="24"/>
        </w:rPr>
        <w:t xml:space="preserve"> and noisy</w:t>
      </w:r>
      <w:r w:rsidRPr="0004264F">
        <w:rPr>
          <w:rFonts w:eastAsiaTheme="minorEastAsia" w:cstheme="majorBidi"/>
          <w:szCs w:val="24"/>
        </w:rPr>
        <w:t xml:space="preserve"> once we include state and cohort fixed effects (column 4). </w:t>
      </w:r>
    </w:p>
    <w:p w14:paraId="08B8D8F7" w14:textId="1B597902" w:rsidR="00780DE6" w:rsidRPr="0004264F" w:rsidRDefault="005F583E" w:rsidP="00E64FDF">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In the next step, we use county-level deposits per capita </w:t>
      </w:r>
      <w:r w:rsidR="009740F8" w:rsidRPr="0004264F">
        <w:rPr>
          <w:rFonts w:eastAsiaTheme="minorEastAsia" w:cstheme="majorBidi"/>
          <w:szCs w:val="24"/>
        </w:rPr>
        <w:t xml:space="preserve">and replicate the results across different specifications. In column 5, we show that the correlation </w:t>
      </w:r>
      <w:r w:rsidR="00507D55" w:rsidRPr="0004264F">
        <w:rPr>
          <w:rFonts w:eastAsiaTheme="minorEastAsia" w:cstheme="majorBidi"/>
          <w:szCs w:val="24"/>
        </w:rPr>
        <w:t xml:space="preserve">(excluding fixed effects) </w:t>
      </w:r>
      <w:r w:rsidR="009740F8" w:rsidRPr="0004264F">
        <w:rPr>
          <w:rFonts w:eastAsiaTheme="minorEastAsia" w:cstheme="majorBidi"/>
          <w:szCs w:val="24"/>
        </w:rPr>
        <w:t xml:space="preserve">is about </w:t>
      </w:r>
      <w:r w:rsidR="00507D55" w:rsidRPr="0004264F">
        <w:rPr>
          <w:rFonts w:eastAsiaTheme="minorEastAsia" w:cstheme="majorBidi"/>
          <w:szCs w:val="24"/>
        </w:rPr>
        <w:t>0.</w:t>
      </w:r>
      <w:r w:rsidR="001D6DFC">
        <w:rPr>
          <w:rFonts w:eastAsiaTheme="minorEastAsia" w:cstheme="majorBidi"/>
          <w:szCs w:val="24"/>
        </w:rPr>
        <w:t>4</w:t>
      </w:r>
      <w:r w:rsidR="009740F8" w:rsidRPr="0004264F">
        <w:rPr>
          <w:rFonts w:eastAsiaTheme="minorEastAsia" w:cstheme="majorBidi"/>
          <w:szCs w:val="24"/>
        </w:rPr>
        <w:t xml:space="preserve"> months</w:t>
      </w:r>
      <w:r w:rsidR="00507D55" w:rsidRPr="0004264F">
        <w:rPr>
          <w:rFonts w:eastAsiaTheme="minorEastAsia" w:cstheme="majorBidi"/>
          <w:szCs w:val="24"/>
        </w:rPr>
        <w:t xml:space="preserve"> and statistically insignificant</w:t>
      </w:r>
      <w:r w:rsidR="009740F8" w:rsidRPr="0004264F">
        <w:rPr>
          <w:rFonts w:eastAsiaTheme="minorEastAsia" w:cstheme="majorBidi"/>
          <w:szCs w:val="24"/>
        </w:rPr>
        <w:t xml:space="preserve">. </w:t>
      </w:r>
      <w:r w:rsidR="003E07A4" w:rsidRPr="0004264F">
        <w:rPr>
          <w:rFonts w:eastAsiaTheme="minorEastAsia" w:cstheme="majorBidi"/>
          <w:szCs w:val="24"/>
        </w:rPr>
        <w:t xml:space="preserve">Adding </w:t>
      </w:r>
      <w:r w:rsidR="00660FCE" w:rsidRPr="0004264F">
        <w:rPr>
          <w:rFonts w:eastAsiaTheme="minorEastAsia" w:cstheme="majorBidi"/>
          <w:szCs w:val="24"/>
        </w:rPr>
        <w:t>state-fixed</w:t>
      </w:r>
      <w:r w:rsidR="009740F8" w:rsidRPr="0004264F">
        <w:rPr>
          <w:rFonts w:eastAsiaTheme="minorEastAsia" w:cstheme="majorBidi"/>
          <w:szCs w:val="24"/>
        </w:rPr>
        <w:t xml:space="preserve"> effects</w:t>
      </w:r>
      <w:r w:rsidR="001D6DFC">
        <w:rPr>
          <w:rFonts w:eastAsiaTheme="minorEastAsia" w:cstheme="majorBidi"/>
          <w:szCs w:val="24"/>
        </w:rPr>
        <w:t xml:space="preserve"> provides a negative and </w:t>
      </w:r>
      <w:r w:rsidR="0087450E">
        <w:rPr>
          <w:rFonts w:eastAsiaTheme="minorEastAsia" w:cstheme="majorBidi"/>
          <w:szCs w:val="24"/>
        </w:rPr>
        <w:t xml:space="preserve">small </w:t>
      </w:r>
      <w:r w:rsidR="001D6DFC">
        <w:rPr>
          <w:rFonts w:eastAsiaTheme="minorEastAsia" w:cstheme="majorBidi"/>
          <w:szCs w:val="24"/>
        </w:rPr>
        <w:t>coefficient</w:t>
      </w:r>
      <w:r w:rsidR="00507D55" w:rsidRPr="0004264F">
        <w:rPr>
          <w:rFonts w:eastAsiaTheme="minorEastAsia" w:cstheme="majorBidi"/>
          <w:szCs w:val="24"/>
        </w:rPr>
        <w:t xml:space="preserve">. </w:t>
      </w:r>
      <w:r w:rsidR="0087450E">
        <w:rPr>
          <w:rFonts w:eastAsiaTheme="minorEastAsia" w:cstheme="majorBidi"/>
          <w:szCs w:val="24"/>
        </w:rPr>
        <w:t xml:space="preserve">These results suggest the existence of state and county level variables correlated with bank deposits that have offsetting effects, again suggesting the need to control for county level effects and focus on within-county changes in economic conditions (as measured by bank deposits). </w:t>
      </w:r>
      <w:r w:rsidR="001D6DFC">
        <w:rPr>
          <w:rFonts w:eastAsiaTheme="minorEastAsia" w:cstheme="majorBidi"/>
          <w:szCs w:val="24"/>
        </w:rPr>
        <w:t xml:space="preserve">  </w:t>
      </w:r>
    </w:p>
    <w:p w14:paraId="1B46B837" w14:textId="5DBE9ABA" w:rsidR="005F583E" w:rsidRPr="0004264F" w:rsidRDefault="009740F8" w:rsidP="00E64FDF">
      <w:pPr>
        <w:spacing w:before="60" w:after="60" w:line="480" w:lineRule="auto"/>
        <w:ind w:firstLine="720"/>
        <w:jc w:val="both"/>
        <w:rPr>
          <w:rFonts w:eastAsiaTheme="minorEastAsia" w:cstheme="majorBidi"/>
          <w:szCs w:val="24"/>
        </w:rPr>
      </w:pPr>
      <w:r w:rsidRPr="0004264F">
        <w:rPr>
          <w:rFonts w:eastAsiaTheme="minorEastAsia" w:cstheme="majorBidi"/>
          <w:szCs w:val="24"/>
        </w:rPr>
        <w:lastRenderedPageBreak/>
        <w:t>In</w:t>
      </w:r>
      <w:r w:rsidR="008B152B">
        <w:rPr>
          <w:rFonts w:eastAsiaTheme="minorEastAsia" w:cstheme="majorBidi"/>
          <w:szCs w:val="24"/>
        </w:rPr>
        <w:t xml:space="preserve"> </w:t>
      </w:r>
      <w:r w:rsidRPr="0004264F">
        <w:rPr>
          <w:rFonts w:eastAsiaTheme="minorEastAsia" w:cstheme="majorBidi"/>
          <w:szCs w:val="24"/>
        </w:rPr>
        <w:t>column 7, we include county fixed effects. The correlation</w:t>
      </w:r>
      <w:r w:rsidR="008B152B">
        <w:rPr>
          <w:rFonts w:eastAsiaTheme="minorEastAsia" w:cstheme="majorBidi"/>
          <w:szCs w:val="24"/>
        </w:rPr>
        <w:t xml:space="preserve"> between county level economic circumstances at the time of birth and later life longevity</w:t>
      </w:r>
      <w:r w:rsidRPr="0004264F">
        <w:rPr>
          <w:rFonts w:eastAsiaTheme="minorEastAsia" w:cstheme="majorBidi"/>
          <w:szCs w:val="24"/>
        </w:rPr>
        <w:t xml:space="preserve"> become</w:t>
      </w:r>
      <w:r w:rsidR="00E64FDF" w:rsidRPr="0004264F">
        <w:rPr>
          <w:rFonts w:eastAsiaTheme="minorEastAsia" w:cstheme="majorBidi"/>
          <w:szCs w:val="24"/>
        </w:rPr>
        <w:t>s</w:t>
      </w:r>
      <w:r w:rsidRPr="0004264F">
        <w:rPr>
          <w:rFonts w:eastAsiaTheme="minorEastAsia" w:cstheme="majorBidi"/>
          <w:szCs w:val="24"/>
        </w:rPr>
        <w:t xml:space="preserve"> </w:t>
      </w:r>
      <w:r w:rsidR="00E64FDF" w:rsidRPr="0004264F">
        <w:rPr>
          <w:rFonts w:eastAsiaTheme="minorEastAsia" w:cstheme="majorBidi"/>
          <w:szCs w:val="24"/>
        </w:rPr>
        <w:t>positive and relatively large in magnitude</w:t>
      </w:r>
      <w:r w:rsidRPr="0004264F">
        <w:rPr>
          <w:rFonts w:eastAsiaTheme="minorEastAsia" w:cstheme="majorBidi"/>
          <w:szCs w:val="24"/>
        </w:rPr>
        <w:t xml:space="preserve">. In column 8, we control for other </w:t>
      </w:r>
      <w:r w:rsidR="002C2C9F" w:rsidRPr="0004264F">
        <w:rPr>
          <w:rFonts w:eastAsiaTheme="minorEastAsia" w:cstheme="majorBidi"/>
          <w:szCs w:val="24"/>
        </w:rPr>
        <w:t>local</w:t>
      </w:r>
      <w:r w:rsidRPr="0004264F">
        <w:rPr>
          <w:rFonts w:eastAsiaTheme="minorEastAsia" w:cstheme="majorBidi"/>
          <w:szCs w:val="24"/>
        </w:rPr>
        <w:t xml:space="preserve">-level confounders by including </w:t>
      </w:r>
      <w:r w:rsidR="002C2C9F" w:rsidRPr="0004264F">
        <w:rPr>
          <w:rFonts w:eastAsiaTheme="minorEastAsia" w:cstheme="majorBidi"/>
          <w:szCs w:val="24"/>
        </w:rPr>
        <w:t>SEA</w:t>
      </w:r>
      <w:r w:rsidRPr="0004264F">
        <w:rPr>
          <w:rFonts w:eastAsiaTheme="minorEastAsia" w:cstheme="majorBidi"/>
          <w:szCs w:val="24"/>
        </w:rPr>
        <w:t>-</w:t>
      </w:r>
      <w:r w:rsidR="00E64FDF" w:rsidRPr="0004264F">
        <w:rPr>
          <w:rFonts w:eastAsiaTheme="minorEastAsia" w:cstheme="majorBidi"/>
          <w:szCs w:val="24"/>
        </w:rPr>
        <w:t xml:space="preserve">year </w:t>
      </w:r>
      <w:r w:rsidRPr="0004264F">
        <w:rPr>
          <w:rFonts w:eastAsiaTheme="minorEastAsia" w:cstheme="majorBidi"/>
          <w:szCs w:val="24"/>
        </w:rPr>
        <w:t xml:space="preserve">fixed effects. The results suggest an increase of </w:t>
      </w:r>
      <w:r w:rsidR="001D6DFC">
        <w:rPr>
          <w:rFonts w:eastAsiaTheme="minorEastAsia" w:cstheme="majorBidi"/>
          <w:szCs w:val="24"/>
        </w:rPr>
        <w:t>2.9</w:t>
      </w:r>
      <w:r w:rsidRPr="0004264F">
        <w:rPr>
          <w:rFonts w:eastAsiaTheme="minorEastAsia" w:cstheme="majorBidi"/>
          <w:szCs w:val="24"/>
        </w:rPr>
        <w:t xml:space="preserve"> months </w:t>
      </w:r>
      <w:r w:rsidR="00660FCE" w:rsidRPr="0004264F">
        <w:rPr>
          <w:rFonts w:eastAsiaTheme="minorEastAsia" w:cstheme="majorBidi"/>
          <w:szCs w:val="24"/>
        </w:rPr>
        <w:t>due to</w:t>
      </w:r>
      <w:r w:rsidRPr="0004264F">
        <w:rPr>
          <w:rFonts w:eastAsiaTheme="minorEastAsia" w:cstheme="majorBidi"/>
          <w:szCs w:val="24"/>
        </w:rPr>
        <w:t xml:space="preserve"> </w:t>
      </w:r>
      <w:r w:rsidR="002E4199" w:rsidRPr="0004264F">
        <w:rPr>
          <w:rFonts w:eastAsiaTheme="minorEastAsia" w:cstheme="majorBidi"/>
          <w:szCs w:val="24"/>
        </w:rPr>
        <w:t xml:space="preserve">a </w:t>
      </w:r>
      <w:r w:rsidRPr="0004264F">
        <w:rPr>
          <w:rFonts w:eastAsiaTheme="minorEastAsia" w:cstheme="majorBidi"/>
          <w:szCs w:val="24"/>
        </w:rPr>
        <w:t xml:space="preserve">one-standard-deviation change in bank deposits. </w:t>
      </w:r>
    </w:p>
    <w:p w14:paraId="49CAA86F" w14:textId="3794F0CC" w:rsidR="007419F5" w:rsidRPr="0004264F" w:rsidRDefault="007419F5" w:rsidP="00F970D7">
      <w:pPr>
        <w:pStyle w:val="Heading2"/>
      </w:pPr>
      <w:bookmarkStart w:id="7" w:name="_Ref111409338"/>
      <w:r w:rsidRPr="0004264F">
        <w:t>Validity of Bank Deposit</w:t>
      </w:r>
      <w:r w:rsidR="00853B07" w:rsidRPr="0004264F">
        <w:t>s</w:t>
      </w:r>
      <w:r w:rsidRPr="0004264F">
        <w:t xml:space="preserve"> as a Proxy</w:t>
      </w:r>
      <w:r w:rsidR="003E07A4" w:rsidRPr="0004264F">
        <w:t xml:space="preserve"> for Economic Conditions</w:t>
      </w:r>
      <w:bookmarkEnd w:id="7"/>
    </w:p>
    <w:p w14:paraId="69199EDF" w14:textId="2244C3EB" w:rsidR="00C73E1C" w:rsidRPr="0004264F" w:rsidRDefault="007C3C7F" w:rsidP="00C73E1C">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To gauge the magnitude of </w:t>
      </w:r>
      <w:r w:rsidR="00925953" w:rsidRPr="0004264F">
        <w:rPr>
          <w:rFonts w:eastAsiaTheme="minorEastAsia" w:cstheme="majorBidi"/>
          <w:szCs w:val="24"/>
        </w:rPr>
        <w:t xml:space="preserve">the </w:t>
      </w:r>
      <w:r w:rsidR="002E4199" w:rsidRPr="0004264F">
        <w:rPr>
          <w:rFonts w:eastAsiaTheme="minorEastAsia" w:cstheme="majorBidi"/>
          <w:szCs w:val="24"/>
        </w:rPr>
        <w:t>paper</w:t>
      </w:r>
      <w:r w:rsidR="00060936" w:rsidRPr="0004264F">
        <w:rPr>
          <w:rFonts w:eastAsiaTheme="minorEastAsia" w:cstheme="majorBidi"/>
          <w:szCs w:val="24"/>
        </w:rPr>
        <w:t>’</w:t>
      </w:r>
      <w:r w:rsidR="002E4199" w:rsidRPr="0004264F">
        <w:rPr>
          <w:rFonts w:eastAsiaTheme="minorEastAsia" w:cstheme="majorBidi"/>
          <w:szCs w:val="24"/>
        </w:rPr>
        <w:t>s main results</w:t>
      </w:r>
      <w:r w:rsidR="00705865" w:rsidRPr="0004264F">
        <w:rPr>
          <w:rFonts w:eastAsiaTheme="minorEastAsia" w:cstheme="majorBidi"/>
          <w:szCs w:val="24"/>
        </w:rPr>
        <w:t xml:space="preserve"> and to explore the validity of bank deposits as a proxy for local economic conditions</w:t>
      </w:r>
      <w:r w:rsidRPr="0004264F">
        <w:rPr>
          <w:rFonts w:eastAsiaTheme="minorEastAsia" w:cstheme="majorBidi"/>
          <w:szCs w:val="24"/>
        </w:rPr>
        <w:t xml:space="preserve">, </w:t>
      </w:r>
      <w:r w:rsidR="00862A0B" w:rsidRPr="0004264F">
        <w:rPr>
          <w:rFonts w:eastAsiaTheme="minorEastAsia" w:cstheme="majorBidi"/>
          <w:szCs w:val="24"/>
        </w:rPr>
        <w:t xml:space="preserve">we explore the relationship between </w:t>
      </w:r>
      <w:r w:rsidR="00390C0C" w:rsidRPr="0004264F">
        <w:rPr>
          <w:rFonts w:eastAsiaTheme="minorEastAsia" w:cstheme="majorBidi"/>
          <w:szCs w:val="24"/>
        </w:rPr>
        <w:t xml:space="preserve">per capita deposits and other local and </w:t>
      </w:r>
      <w:r w:rsidR="002E4199" w:rsidRPr="0004264F">
        <w:rPr>
          <w:rFonts w:eastAsiaTheme="minorEastAsia" w:cstheme="majorBidi"/>
          <w:szCs w:val="24"/>
        </w:rPr>
        <w:t>state-level</w:t>
      </w:r>
      <w:r w:rsidR="00390C0C" w:rsidRPr="0004264F">
        <w:rPr>
          <w:rFonts w:eastAsiaTheme="minorEastAsia" w:cstheme="majorBidi"/>
          <w:szCs w:val="24"/>
        </w:rPr>
        <w:t xml:space="preserve"> economic variables. </w:t>
      </w:r>
      <w:r w:rsidR="002E4199" w:rsidRPr="0004264F">
        <w:rPr>
          <w:rFonts w:eastAsiaTheme="minorEastAsia" w:cstheme="majorBidi"/>
          <w:szCs w:val="24"/>
        </w:rPr>
        <w:t>The</w:t>
      </w:r>
      <w:r w:rsidR="003E07A4" w:rsidRPr="0004264F">
        <w:rPr>
          <w:rFonts w:eastAsiaTheme="minorEastAsia" w:cstheme="majorBidi"/>
          <w:szCs w:val="24"/>
        </w:rPr>
        <w:t xml:space="preserve"> </w:t>
      </w:r>
      <w:r w:rsidR="00B70361" w:rsidRPr="0004264F">
        <w:rPr>
          <w:rFonts w:eastAsiaTheme="minorEastAsia" w:cstheme="majorBidi"/>
          <w:szCs w:val="24"/>
        </w:rPr>
        <w:t xml:space="preserve">main </w:t>
      </w:r>
      <w:r w:rsidR="003E07A4" w:rsidRPr="0004264F">
        <w:rPr>
          <w:rFonts w:eastAsiaTheme="minorEastAsia" w:cstheme="majorBidi"/>
          <w:szCs w:val="24"/>
        </w:rPr>
        <w:t xml:space="preserve">limitation </w:t>
      </w:r>
      <w:r w:rsidR="00B70361" w:rsidRPr="0004264F">
        <w:rPr>
          <w:rFonts w:eastAsiaTheme="minorEastAsia" w:cstheme="majorBidi"/>
          <w:szCs w:val="24"/>
        </w:rPr>
        <w:t xml:space="preserve">of this exercise is the scarcity of </w:t>
      </w:r>
      <w:r w:rsidR="002E4199" w:rsidRPr="0004264F">
        <w:rPr>
          <w:rFonts w:eastAsiaTheme="minorEastAsia" w:cstheme="majorBidi"/>
          <w:szCs w:val="24"/>
        </w:rPr>
        <w:t>local-level</w:t>
      </w:r>
      <w:r w:rsidR="00B70361" w:rsidRPr="0004264F">
        <w:rPr>
          <w:rFonts w:eastAsiaTheme="minorEastAsia" w:cstheme="majorBidi"/>
          <w:szCs w:val="24"/>
        </w:rPr>
        <w:t xml:space="preserve"> data for the time period of this study. </w:t>
      </w:r>
      <w:r w:rsidR="00CD2887" w:rsidRPr="0004264F">
        <w:rPr>
          <w:rFonts w:eastAsiaTheme="minorEastAsia" w:cstheme="majorBidi"/>
          <w:szCs w:val="24"/>
        </w:rPr>
        <w:t xml:space="preserve">We know of no dataset </w:t>
      </w:r>
      <w:r w:rsidR="00D24FBA" w:rsidRPr="0004264F">
        <w:rPr>
          <w:rFonts w:eastAsiaTheme="minorEastAsia" w:cstheme="majorBidi"/>
          <w:szCs w:val="24"/>
        </w:rPr>
        <w:t xml:space="preserve">that </w:t>
      </w:r>
      <w:r w:rsidR="00CD2887" w:rsidRPr="0004264F">
        <w:rPr>
          <w:rFonts w:eastAsiaTheme="minorEastAsia" w:cstheme="majorBidi"/>
          <w:szCs w:val="24"/>
        </w:rPr>
        <w:t>contain</w:t>
      </w:r>
      <w:r w:rsidR="00D24FBA" w:rsidRPr="0004264F">
        <w:rPr>
          <w:rFonts w:eastAsiaTheme="minorEastAsia" w:cstheme="majorBidi"/>
          <w:szCs w:val="24"/>
        </w:rPr>
        <w:t>s</w:t>
      </w:r>
      <w:r w:rsidR="00CD2887" w:rsidRPr="0004264F">
        <w:rPr>
          <w:rFonts w:eastAsiaTheme="minorEastAsia" w:cstheme="majorBidi"/>
          <w:szCs w:val="24"/>
        </w:rPr>
        <w:t xml:space="preserve"> measures of county-level income or county-level unemployment rates</w:t>
      </w:r>
      <w:r w:rsidR="00D24FBA" w:rsidRPr="0004264F">
        <w:rPr>
          <w:rFonts w:eastAsiaTheme="minorEastAsia" w:cstheme="majorBidi"/>
          <w:szCs w:val="24"/>
        </w:rPr>
        <w:t xml:space="preserve"> during this ti</w:t>
      </w:r>
      <w:r w:rsidR="00D401EC" w:rsidRPr="0004264F">
        <w:rPr>
          <w:rFonts w:eastAsiaTheme="minorEastAsia" w:cstheme="majorBidi"/>
          <w:szCs w:val="24"/>
        </w:rPr>
        <w:t>m</w:t>
      </w:r>
      <w:r w:rsidR="00D24FBA" w:rsidRPr="0004264F">
        <w:rPr>
          <w:rFonts w:eastAsiaTheme="minorEastAsia" w:cstheme="majorBidi"/>
          <w:szCs w:val="24"/>
        </w:rPr>
        <w:t>e period</w:t>
      </w:r>
      <w:r w:rsidR="00CF4747" w:rsidRPr="0004264F">
        <w:rPr>
          <w:rFonts w:eastAsiaTheme="minorEastAsia" w:cstheme="majorBidi"/>
          <w:szCs w:val="24"/>
        </w:rPr>
        <w:t xml:space="preserve"> (and that start</w:t>
      </w:r>
      <w:r w:rsidR="003A1428" w:rsidRPr="0004264F">
        <w:rPr>
          <w:rFonts w:eastAsiaTheme="minorEastAsia" w:cstheme="majorBidi"/>
          <w:szCs w:val="24"/>
        </w:rPr>
        <w:t>s</w:t>
      </w:r>
      <w:r w:rsidR="00CF4747" w:rsidRPr="0004264F">
        <w:rPr>
          <w:rFonts w:eastAsiaTheme="minorEastAsia" w:cstheme="majorBidi"/>
          <w:szCs w:val="24"/>
        </w:rPr>
        <w:t xml:space="preserve"> prior to the Great Depression)</w:t>
      </w:r>
      <w:r w:rsidR="00CD2887" w:rsidRPr="0004264F">
        <w:rPr>
          <w:rFonts w:eastAsiaTheme="minorEastAsia" w:cstheme="majorBidi"/>
          <w:szCs w:val="24"/>
        </w:rPr>
        <w:t xml:space="preserve">. However, </w:t>
      </w:r>
      <w:r w:rsidR="00B70361" w:rsidRPr="0004264F">
        <w:rPr>
          <w:rFonts w:eastAsiaTheme="minorEastAsia" w:cstheme="majorBidi"/>
          <w:szCs w:val="24"/>
        </w:rPr>
        <w:t>income</w:t>
      </w:r>
      <w:r w:rsidR="00CD2887" w:rsidRPr="0004264F">
        <w:rPr>
          <w:rFonts w:eastAsiaTheme="minorEastAsia" w:cstheme="majorBidi"/>
          <w:szCs w:val="24"/>
        </w:rPr>
        <w:t xml:space="preserve"> data</w:t>
      </w:r>
      <w:r w:rsidR="00B70361" w:rsidRPr="0004264F">
        <w:rPr>
          <w:rFonts w:eastAsiaTheme="minorEastAsia" w:cstheme="majorBidi"/>
          <w:szCs w:val="24"/>
        </w:rPr>
        <w:t xml:space="preserve"> is available at the state level for the years </w:t>
      </w:r>
      <w:r w:rsidR="0094632A" w:rsidRPr="0004264F">
        <w:rPr>
          <w:rFonts w:eastAsiaTheme="minorEastAsia" w:cstheme="majorBidi"/>
          <w:szCs w:val="24"/>
        </w:rPr>
        <w:t>1929</w:t>
      </w:r>
      <w:r w:rsidR="00B70361" w:rsidRPr="0004264F">
        <w:rPr>
          <w:rFonts w:eastAsiaTheme="minorEastAsia" w:cstheme="majorBidi"/>
          <w:szCs w:val="24"/>
        </w:rPr>
        <w:t>-194</w:t>
      </w:r>
      <w:r w:rsidR="00CD2887" w:rsidRPr="0004264F">
        <w:rPr>
          <w:rFonts w:eastAsiaTheme="minorEastAsia" w:cstheme="majorBidi"/>
          <w:szCs w:val="24"/>
        </w:rPr>
        <w:t xml:space="preserve">0. Also, </w:t>
      </w:r>
      <w:r w:rsidR="00B70361" w:rsidRPr="0004264F">
        <w:rPr>
          <w:rFonts w:eastAsiaTheme="minorEastAsia" w:cstheme="majorBidi"/>
          <w:szCs w:val="24"/>
        </w:rPr>
        <w:t xml:space="preserve">retail sale data is available at the </w:t>
      </w:r>
      <w:r w:rsidR="00E33445" w:rsidRPr="0004264F">
        <w:rPr>
          <w:rFonts w:eastAsiaTheme="minorEastAsia" w:cstheme="majorBidi"/>
          <w:szCs w:val="24"/>
        </w:rPr>
        <w:t>county level</w:t>
      </w:r>
      <w:r w:rsidR="00B70361" w:rsidRPr="0004264F">
        <w:rPr>
          <w:rFonts w:eastAsiaTheme="minorEastAsia" w:cstheme="majorBidi"/>
          <w:szCs w:val="24"/>
        </w:rPr>
        <w:t xml:space="preserve"> which is</w:t>
      </w:r>
      <w:r w:rsidR="00D24FBA" w:rsidRPr="0004264F">
        <w:rPr>
          <w:rFonts w:eastAsiaTheme="minorEastAsia" w:cstheme="majorBidi"/>
          <w:szCs w:val="24"/>
        </w:rPr>
        <w:t>, arguably, a reasonable</w:t>
      </w:r>
      <w:r w:rsidR="00B70361" w:rsidRPr="0004264F">
        <w:rPr>
          <w:rFonts w:eastAsiaTheme="minorEastAsia" w:cstheme="majorBidi"/>
          <w:szCs w:val="24"/>
        </w:rPr>
        <w:t xml:space="preserve"> measure of consumption. </w:t>
      </w:r>
      <w:r w:rsidR="00C9008C" w:rsidRPr="0004264F">
        <w:rPr>
          <w:rFonts w:eastAsiaTheme="minorEastAsia" w:cstheme="majorBidi"/>
          <w:szCs w:val="24"/>
        </w:rPr>
        <w:t xml:space="preserve">These </w:t>
      </w:r>
      <w:r w:rsidR="00B70361" w:rsidRPr="0004264F">
        <w:rPr>
          <w:rFonts w:eastAsiaTheme="minorEastAsia" w:cstheme="majorBidi"/>
          <w:szCs w:val="24"/>
        </w:rPr>
        <w:t xml:space="preserve">data </w:t>
      </w:r>
      <w:r w:rsidR="00C9008C" w:rsidRPr="0004264F">
        <w:rPr>
          <w:rFonts w:eastAsiaTheme="minorEastAsia" w:cstheme="majorBidi"/>
          <w:szCs w:val="24"/>
        </w:rPr>
        <w:t xml:space="preserve">are </w:t>
      </w:r>
      <w:r w:rsidR="00B70361" w:rsidRPr="0004264F">
        <w:rPr>
          <w:rFonts w:eastAsiaTheme="minorEastAsia" w:cstheme="majorBidi"/>
          <w:szCs w:val="24"/>
        </w:rPr>
        <w:t>available for post-</w:t>
      </w:r>
      <w:r w:rsidR="0094632A" w:rsidRPr="0004264F">
        <w:rPr>
          <w:rFonts w:eastAsiaTheme="minorEastAsia" w:cstheme="majorBidi"/>
          <w:szCs w:val="24"/>
        </w:rPr>
        <w:t>1929</w:t>
      </w:r>
      <w:r w:rsidR="00B70361" w:rsidRPr="0004264F">
        <w:rPr>
          <w:rFonts w:eastAsiaTheme="minorEastAsia" w:cstheme="majorBidi"/>
          <w:szCs w:val="24"/>
        </w:rPr>
        <w:t xml:space="preserve"> years </w:t>
      </w:r>
      <w:r w:rsidR="009A7D4F" w:rsidRPr="0004264F">
        <w:rPr>
          <w:rFonts w:eastAsiaTheme="minorEastAsia" w:cstheme="majorBidi"/>
          <w:szCs w:val="24"/>
        </w:rPr>
        <w:t xml:space="preserve">and </w:t>
      </w:r>
      <w:r w:rsidR="00C9008C" w:rsidRPr="0004264F">
        <w:rPr>
          <w:rFonts w:eastAsiaTheme="minorEastAsia" w:cstheme="majorBidi"/>
          <w:szCs w:val="24"/>
        </w:rPr>
        <w:t xml:space="preserve">are </w:t>
      </w:r>
      <w:r w:rsidR="009A7D4F" w:rsidRPr="0004264F">
        <w:rPr>
          <w:rFonts w:eastAsiaTheme="minorEastAsia" w:cstheme="majorBidi"/>
          <w:szCs w:val="24"/>
        </w:rPr>
        <w:t xml:space="preserve">taken from </w:t>
      </w:r>
      <w:r w:rsidR="009A7D4F" w:rsidRPr="0004264F">
        <w:rPr>
          <w:rFonts w:eastAsiaTheme="minorEastAsia" w:cstheme="majorBidi"/>
          <w:szCs w:val="24"/>
        </w:rPr>
        <w:fldChar w:fldCharType="begin" w:fldLock="1"/>
      </w:r>
      <w:r w:rsidR="00D8569E" w:rsidRPr="0004264F">
        <w:rPr>
          <w:rFonts w:eastAsiaTheme="minorEastAsia" w:cstheme="majorBidi"/>
          <w:szCs w:val="24"/>
        </w:rPr>
        <w:instrText>ADDIN CSL_CITATION {"citationItems":[{"id":"ITEM-1","itemData":{"DOI":"10.1162/REST.89.1.1","ISSN":"0034-6535","abstract":"The article examines the impact of New Deal relief programs on infant mortality, non-infant mortality, and general fertility rates in major U.S. cities between 1929 and 1940. Effects are estimated using a variety of specifications and techniques for a panel of 114 cities that reported information on relief spending between 1929 and 1940. The significant rise in relief spending during the New Deal contributed to reductions in infant mortality, suicide rates, and some other causes of death, while contributing to increases in the general fertility rate. Similar to Ruhm's (2000) findings for the modern United States, the article finds that many types of death rates were pro-cyclical during the 1930s. Estimates of the relief costs associated with saving a life (adjusted for inflation) are similar to those found in studies of modern social insurance programs. © 2007 by the President and Fellows of Harvard College and the Massachusetts Institute of Technology.","author":[{"dropping-particle":"V.","family":"Fishback","given":"Price","non-dropping-particle":"","parse-names":false,"suffix":""},{"dropping-particle":"","family":"Haines","given":"Michael R.","non-dropping-particle":"","parse-names":false,"suffix":""},{"dropping-particle":"","family":"Kantor","given":"Shawn","non-dropping-particle":"","parse-names":false,"suffix":""}],"container-title":"The Review of Economics and Statistics","id":"ITEM-1","issue":"1","issued":{"date-parts":[["2007","2","1"]]},"page":"1-14","publisher":"MIT Press","title":"Births, Deaths, and New Deal Relief during the Great Depression","type":"article-journal","volume":"89"},"uris":["http://www.mendeley.com/documents/?uuid=7af75157-3dc7-37af-bcd8-5ffcdd4156a4"]}],"mendeley":{"formattedCitation":"(Fishback et al., 2007)","manualFormatting":"Fishback et al. (2007)","plainTextFormattedCitation":"(Fishback et al., 2007)","previouslyFormattedCitation":"(Fishback et al., 2007)"},"properties":{"noteIndex":0},"schema":"https://github.com/citation-style-language/schema/raw/master/csl-citation.json"}</w:instrText>
      </w:r>
      <w:r w:rsidR="009A7D4F" w:rsidRPr="0004264F">
        <w:rPr>
          <w:rFonts w:eastAsiaTheme="minorEastAsia" w:cstheme="majorBidi"/>
          <w:szCs w:val="24"/>
        </w:rPr>
        <w:fldChar w:fldCharType="separate"/>
      </w:r>
      <w:r w:rsidR="009A7D4F" w:rsidRPr="0004264F">
        <w:rPr>
          <w:rFonts w:eastAsiaTheme="minorEastAsia" w:cstheme="majorBidi"/>
          <w:noProof/>
          <w:szCs w:val="24"/>
        </w:rPr>
        <w:t>Fishback et al. (2007)</w:t>
      </w:r>
      <w:r w:rsidR="009A7D4F" w:rsidRPr="0004264F">
        <w:rPr>
          <w:rFonts w:eastAsiaTheme="minorEastAsia" w:cstheme="majorBidi"/>
          <w:szCs w:val="24"/>
        </w:rPr>
        <w:fldChar w:fldCharType="end"/>
      </w:r>
      <w:r w:rsidR="00B70361" w:rsidRPr="0004264F">
        <w:rPr>
          <w:rFonts w:eastAsiaTheme="minorEastAsia" w:cstheme="majorBidi"/>
          <w:szCs w:val="24"/>
        </w:rPr>
        <w:t xml:space="preserve">. </w:t>
      </w:r>
      <w:r w:rsidR="0024513B" w:rsidRPr="0004264F">
        <w:rPr>
          <w:rFonts w:eastAsiaTheme="minorEastAsia" w:cstheme="majorBidi"/>
          <w:szCs w:val="24"/>
        </w:rPr>
        <w:t>Thus, the analysis sample for both retail sale</w:t>
      </w:r>
      <w:r w:rsidR="00D401EC" w:rsidRPr="0004264F">
        <w:rPr>
          <w:rFonts w:eastAsiaTheme="minorEastAsia" w:cstheme="majorBidi"/>
          <w:szCs w:val="24"/>
        </w:rPr>
        <w:t>s</w:t>
      </w:r>
      <w:r w:rsidR="0024513B" w:rsidRPr="0004264F">
        <w:rPr>
          <w:rFonts w:eastAsiaTheme="minorEastAsia" w:cstheme="majorBidi"/>
          <w:szCs w:val="24"/>
        </w:rPr>
        <w:t xml:space="preserve"> and income </w:t>
      </w:r>
      <w:r w:rsidR="00D401EC" w:rsidRPr="0004264F">
        <w:rPr>
          <w:rFonts w:eastAsiaTheme="minorEastAsia" w:cstheme="majorBidi"/>
          <w:szCs w:val="24"/>
        </w:rPr>
        <w:t>cover</w:t>
      </w:r>
      <w:r w:rsidR="0024513B" w:rsidRPr="0004264F">
        <w:rPr>
          <w:rFonts w:eastAsiaTheme="minorEastAsia" w:cstheme="majorBidi"/>
          <w:szCs w:val="24"/>
        </w:rPr>
        <w:t xml:space="preserve"> the years </w:t>
      </w:r>
      <w:r w:rsidR="0094632A" w:rsidRPr="0004264F">
        <w:rPr>
          <w:rFonts w:eastAsiaTheme="minorEastAsia" w:cstheme="majorBidi"/>
          <w:szCs w:val="24"/>
        </w:rPr>
        <w:t>1929</w:t>
      </w:r>
      <w:r w:rsidR="0024513B" w:rsidRPr="0004264F">
        <w:rPr>
          <w:rFonts w:eastAsiaTheme="minorEastAsia" w:cstheme="majorBidi"/>
          <w:szCs w:val="24"/>
        </w:rPr>
        <w:t xml:space="preserve">-1936 since our sample ends in the year 1936. </w:t>
      </w:r>
    </w:p>
    <w:p w14:paraId="32FC6B13" w14:textId="2DDD9557" w:rsidR="007C3C7F" w:rsidRPr="0004264F" w:rsidRDefault="00ED1757" w:rsidP="00C73E1C">
      <w:pPr>
        <w:spacing w:before="60" w:after="60" w:line="480" w:lineRule="auto"/>
        <w:ind w:firstLine="720"/>
        <w:jc w:val="both"/>
        <w:rPr>
          <w:rFonts w:eastAsiaTheme="minorEastAsia" w:cstheme="majorBidi"/>
          <w:szCs w:val="24"/>
        </w:rPr>
      </w:pPr>
      <w:r w:rsidRPr="0004264F">
        <w:rPr>
          <w:rFonts w:eastAsiaTheme="minorEastAsia" w:cstheme="majorBidi"/>
          <w:szCs w:val="24"/>
        </w:rPr>
        <w:t>We merge per capita retail sale</w:t>
      </w:r>
      <w:r w:rsidR="00C9008C" w:rsidRPr="0004264F">
        <w:rPr>
          <w:rFonts w:eastAsiaTheme="minorEastAsia" w:cstheme="majorBidi"/>
          <w:szCs w:val="24"/>
        </w:rPr>
        <w:t>s</w:t>
      </w:r>
      <w:r w:rsidRPr="0004264F">
        <w:rPr>
          <w:rFonts w:eastAsiaTheme="minorEastAsia" w:cstheme="majorBidi"/>
          <w:szCs w:val="24"/>
        </w:rPr>
        <w:t xml:space="preserve"> at the county and year level with our </w:t>
      </w:r>
      <w:r w:rsidR="00C73E1C" w:rsidRPr="0004264F">
        <w:rPr>
          <w:rFonts w:eastAsiaTheme="minorEastAsia" w:cstheme="majorBidi"/>
          <w:szCs w:val="24"/>
        </w:rPr>
        <w:t xml:space="preserve">bank deposit </w:t>
      </w:r>
      <w:r w:rsidRPr="0004264F">
        <w:rPr>
          <w:rFonts w:eastAsiaTheme="minorEastAsia" w:cstheme="majorBidi"/>
          <w:szCs w:val="24"/>
        </w:rPr>
        <w:t xml:space="preserve">sample and implement regressions similar to equation 1. The results are reported in </w:t>
      </w:r>
      <w:r w:rsidR="00CD2887" w:rsidRPr="0004264F">
        <w:rPr>
          <w:rFonts w:eastAsiaTheme="minorEastAsia" w:cstheme="majorBidi"/>
          <w:szCs w:val="24"/>
        </w:rPr>
        <w:t>columns 1-</w:t>
      </w:r>
      <w:r w:rsidR="00C73E1C" w:rsidRPr="0004264F">
        <w:rPr>
          <w:rFonts w:eastAsiaTheme="minorEastAsia" w:cstheme="majorBidi"/>
          <w:szCs w:val="24"/>
        </w:rPr>
        <w:t>3</w:t>
      </w:r>
      <w:r w:rsidR="00CD2887" w:rsidRPr="0004264F">
        <w:rPr>
          <w:rFonts w:eastAsiaTheme="minorEastAsia" w:cstheme="majorBidi"/>
          <w:szCs w:val="24"/>
        </w:rPr>
        <w:t xml:space="preserve"> of</w:t>
      </w:r>
      <w:r w:rsidR="003A1428" w:rsidRPr="0004264F">
        <w:rPr>
          <w:rFonts w:eastAsiaTheme="minorEastAsia" w:cstheme="majorBidi"/>
          <w:szCs w:val="24"/>
        </w:rPr>
        <w:t xml:space="preserve"> </w:t>
      </w:r>
      <w:r w:rsidR="003A1428" w:rsidRPr="0004264F">
        <w:rPr>
          <w:rFonts w:eastAsiaTheme="minorEastAsia" w:cstheme="majorBidi"/>
          <w:szCs w:val="24"/>
        </w:rPr>
        <w:fldChar w:fldCharType="begin"/>
      </w:r>
      <w:r w:rsidR="003A1428" w:rsidRPr="0004264F">
        <w:rPr>
          <w:rFonts w:eastAsiaTheme="minorEastAsia" w:cstheme="majorBidi"/>
          <w:szCs w:val="24"/>
        </w:rPr>
        <w:instrText xml:space="preserve"> REF _Ref97928819 \h </w:instrText>
      </w:r>
      <w:r w:rsidR="00510BC3" w:rsidRPr="0004264F">
        <w:rPr>
          <w:rFonts w:eastAsiaTheme="minorEastAsia" w:cstheme="majorBidi"/>
          <w:szCs w:val="24"/>
        </w:rPr>
        <w:instrText xml:space="preserve"> \* MERGEFORMAT </w:instrText>
      </w:r>
      <w:r w:rsidR="003A1428" w:rsidRPr="0004264F">
        <w:rPr>
          <w:rFonts w:eastAsiaTheme="minorEastAsia" w:cstheme="majorBidi"/>
          <w:szCs w:val="24"/>
        </w:rPr>
      </w:r>
      <w:r w:rsidR="003A1428" w:rsidRPr="0004264F">
        <w:rPr>
          <w:rFonts w:eastAsiaTheme="minorEastAsia" w:cstheme="majorBidi"/>
          <w:szCs w:val="24"/>
        </w:rPr>
        <w:fldChar w:fldCharType="separate"/>
      </w:r>
      <w:r w:rsidR="00297519" w:rsidRPr="0004264F">
        <w:rPr>
          <w:rFonts w:cstheme="majorBidi"/>
        </w:rPr>
        <w:t xml:space="preserve">Table </w:t>
      </w:r>
      <w:r w:rsidR="00297519" w:rsidRPr="0004264F">
        <w:rPr>
          <w:rFonts w:cstheme="majorBidi"/>
          <w:noProof/>
        </w:rPr>
        <w:t>7</w:t>
      </w:r>
      <w:r w:rsidR="003A1428" w:rsidRPr="0004264F">
        <w:rPr>
          <w:rFonts w:eastAsiaTheme="minorEastAsia" w:cstheme="majorBidi"/>
          <w:szCs w:val="24"/>
        </w:rPr>
        <w:fldChar w:fldCharType="end"/>
      </w:r>
      <w:r w:rsidRPr="0004264F">
        <w:rPr>
          <w:rFonts w:eastAsiaTheme="minorEastAsia" w:cstheme="majorBidi"/>
          <w:szCs w:val="24"/>
        </w:rPr>
        <w:t>.</w:t>
      </w:r>
      <w:r w:rsidR="00CD2887" w:rsidRPr="0004264F">
        <w:rPr>
          <w:rFonts w:eastAsiaTheme="minorEastAsia" w:cstheme="majorBidi"/>
          <w:szCs w:val="24"/>
        </w:rPr>
        <w:t xml:space="preserve"> </w:t>
      </w:r>
      <w:r w:rsidR="00C73E1C" w:rsidRPr="0004264F">
        <w:rPr>
          <w:rFonts w:eastAsiaTheme="minorEastAsia" w:cstheme="majorBidi"/>
          <w:szCs w:val="24"/>
        </w:rPr>
        <w:t xml:space="preserve">We start by showing the unconditional correlation in column 1, adding county and year fixed effects in column 2, and then implementing a full specification in column 3. The unconditional correlation suggests a very strong co-movements between bank deposits and retail sales. However, fixed effects explain a large portion of this correlation. </w:t>
      </w:r>
      <w:r w:rsidR="003A1428" w:rsidRPr="0004264F">
        <w:rPr>
          <w:rFonts w:eastAsiaTheme="minorEastAsia" w:cstheme="majorBidi"/>
          <w:szCs w:val="24"/>
        </w:rPr>
        <w:t>T</w:t>
      </w:r>
      <w:r w:rsidR="00CD2887" w:rsidRPr="0004264F">
        <w:rPr>
          <w:rFonts w:eastAsiaTheme="minorEastAsia" w:cstheme="majorBidi"/>
          <w:szCs w:val="24"/>
        </w:rPr>
        <w:t xml:space="preserve">he </w:t>
      </w:r>
      <w:r w:rsidR="00C73E1C" w:rsidRPr="0004264F">
        <w:rPr>
          <w:rFonts w:eastAsiaTheme="minorEastAsia" w:cstheme="majorBidi"/>
          <w:szCs w:val="24"/>
        </w:rPr>
        <w:t xml:space="preserve">correlation of the full model of column 3 </w:t>
      </w:r>
      <w:r w:rsidR="003A1428" w:rsidRPr="0004264F">
        <w:rPr>
          <w:rFonts w:eastAsiaTheme="minorEastAsia" w:cstheme="majorBidi"/>
          <w:szCs w:val="24"/>
        </w:rPr>
        <w:t xml:space="preserve">that includes </w:t>
      </w:r>
      <w:r w:rsidR="002C2C9F" w:rsidRPr="0004264F">
        <w:rPr>
          <w:rFonts w:eastAsiaTheme="minorEastAsia" w:cstheme="majorBidi"/>
          <w:szCs w:val="24"/>
        </w:rPr>
        <w:t>SEA</w:t>
      </w:r>
      <w:r w:rsidR="003A1428" w:rsidRPr="0004264F">
        <w:rPr>
          <w:rFonts w:eastAsiaTheme="minorEastAsia" w:cstheme="majorBidi"/>
          <w:szCs w:val="24"/>
        </w:rPr>
        <w:t xml:space="preserve">-by-year fixed effects </w:t>
      </w:r>
      <w:r w:rsidR="00C73E1C" w:rsidRPr="0004264F">
        <w:rPr>
          <w:rFonts w:eastAsiaTheme="minorEastAsia" w:cstheme="majorBidi"/>
          <w:szCs w:val="24"/>
        </w:rPr>
        <w:t xml:space="preserve">is still </w:t>
      </w:r>
      <w:r w:rsidR="00CD2887" w:rsidRPr="0004264F">
        <w:rPr>
          <w:rFonts w:eastAsiaTheme="minorEastAsia" w:cstheme="majorBidi"/>
          <w:szCs w:val="24"/>
        </w:rPr>
        <w:t>statistically</w:t>
      </w:r>
      <w:r w:rsidR="003177BC" w:rsidRPr="0004264F">
        <w:rPr>
          <w:rFonts w:eastAsiaTheme="minorEastAsia" w:cstheme="majorBidi"/>
          <w:szCs w:val="24"/>
        </w:rPr>
        <w:t xml:space="preserve"> and economically</w:t>
      </w:r>
      <w:r w:rsidR="00CD2887" w:rsidRPr="0004264F">
        <w:rPr>
          <w:rFonts w:eastAsiaTheme="minorEastAsia" w:cstheme="majorBidi"/>
          <w:szCs w:val="24"/>
        </w:rPr>
        <w:t xml:space="preserve"> </w:t>
      </w:r>
      <w:r w:rsidR="00C73E1C" w:rsidRPr="0004264F">
        <w:rPr>
          <w:rFonts w:eastAsiaTheme="minorEastAsia" w:cstheme="majorBidi"/>
          <w:szCs w:val="24"/>
        </w:rPr>
        <w:t>significant</w:t>
      </w:r>
      <w:r w:rsidR="00CD2887" w:rsidRPr="0004264F">
        <w:rPr>
          <w:rFonts w:eastAsiaTheme="minorEastAsia" w:cstheme="majorBidi"/>
          <w:szCs w:val="24"/>
        </w:rPr>
        <w:t>. A one-</w:t>
      </w:r>
      <w:r w:rsidR="00CD2887" w:rsidRPr="0004264F">
        <w:rPr>
          <w:rFonts w:eastAsiaTheme="minorEastAsia" w:cstheme="majorBidi"/>
          <w:szCs w:val="24"/>
        </w:rPr>
        <w:lastRenderedPageBreak/>
        <w:t xml:space="preserve">standard-deviation rise in per capita deposits is associated with </w:t>
      </w:r>
      <w:r w:rsidR="003177BC" w:rsidRPr="0004264F">
        <w:rPr>
          <w:rFonts w:eastAsiaTheme="minorEastAsia" w:cstheme="majorBidi"/>
          <w:szCs w:val="24"/>
        </w:rPr>
        <w:t>0.</w:t>
      </w:r>
      <w:r w:rsidR="002C2C9F" w:rsidRPr="0004264F">
        <w:rPr>
          <w:rFonts w:eastAsiaTheme="minorEastAsia" w:cstheme="majorBidi"/>
          <w:szCs w:val="24"/>
        </w:rPr>
        <w:t>15</w:t>
      </w:r>
      <w:r w:rsidR="00C73E1C" w:rsidRPr="0004264F">
        <w:rPr>
          <w:rFonts w:eastAsiaTheme="minorEastAsia" w:cstheme="majorBidi"/>
          <w:szCs w:val="24"/>
        </w:rPr>
        <w:t xml:space="preserve"> </w:t>
      </w:r>
      <w:r w:rsidR="003177BC" w:rsidRPr="0004264F">
        <w:rPr>
          <w:rFonts w:eastAsiaTheme="minorEastAsia" w:cstheme="majorBidi"/>
          <w:szCs w:val="24"/>
        </w:rPr>
        <w:t>standard-deviation</w:t>
      </w:r>
      <w:r w:rsidR="0094632A" w:rsidRPr="0004264F">
        <w:rPr>
          <w:rFonts w:eastAsiaTheme="minorEastAsia" w:cstheme="majorBidi"/>
          <w:szCs w:val="24"/>
        </w:rPr>
        <w:t>s</w:t>
      </w:r>
      <w:r w:rsidR="00CD2887" w:rsidRPr="0004264F">
        <w:rPr>
          <w:rFonts w:eastAsiaTheme="minorEastAsia" w:cstheme="majorBidi"/>
          <w:szCs w:val="24"/>
        </w:rPr>
        <w:t xml:space="preserve"> increase in per capita retail sale. </w:t>
      </w:r>
    </w:p>
    <w:p w14:paraId="26524113" w14:textId="7F442F15" w:rsidR="00F36BD2" w:rsidRPr="0004264F" w:rsidRDefault="00F36BD2" w:rsidP="00861AAF">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For the state-level income analysis, we aggregate our final sample at the state-level and merge it with income data at the state-year level and implement regressions that include state, year, and region-by-year fixed effects. These results are reported in columns </w:t>
      </w:r>
      <w:r w:rsidR="00C73E1C" w:rsidRPr="0004264F">
        <w:rPr>
          <w:rFonts w:eastAsiaTheme="minorEastAsia" w:cstheme="majorBidi"/>
          <w:szCs w:val="24"/>
        </w:rPr>
        <w:t>4-6</w:t>
      </w:r>
      <w:r w:rsidRPr="0004264F">
        <w:rPr>
          <w:rFonts w:eastAsiaTheme="minorEastAsia" w:cstheme="majorBidi"/>
          <w:szCs w:val="24"/>
        </w:rPr>
        <w:t xml:space="preserve"> of </w:t>
      </w:r>
      <w:r w:rsidR="00690A8E" w:rsidRPr="0004264F">
        <w:rPr>
          <w:rFonts w:eastAsiaTheme="minorEastAsia" w:cstheme="majorBidi"/>
          <w:szCs w:val="24"/>
        </w:rPr>
        <w:fldChar w:fldCharType="begin"/>
      </w:r>
      <w:r w:rsidR="00690A8E" w:rsidRPr="0004264F">
        <w:rPr>
          <w:rFonts w:eastAsiaTheme="minorEastAsia" w:cstheme="majorBidi"/>
          <w:szCs w:val="24"/>
        </w:rPr>
        <w:instrText xml:space="preserve"> REF _Ref97928819 \h </w:instrText>
      </w:r>
      <w:r w:rsidR="00510BC3" w:rsidRPr="0004264F">
        <w:rPr>
          <w:rFonts w:eastAsiaTheme="minorEastAsia" w:cstheme="majorBidi"/>
          <w:szCs w:val="24"/>
        </w:rPr>
        <w:instrText xml:space="preserve"> \* MERGEFORMAT </w:instrText>
      </w:r>
      <w:r w:rsidR="00690A8E" w:rsidRPr="0004264F">
        <w:rPr>
          <w:rFonts w:eastAsiaTheme="minorEastAsia" w:cstheme="majorBidi"/>
          <w:szCs w:val="24"/>
        </w:rPr>
      </w:r>
      <w:r w:rsidR="00690A8E"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7</w:t>
      </w:r>
      <w:r w:rsidR="00690A8E" w:rsidRPr="0004264F">
        <w:rPr>
          <w:rFonts w:eastAsiaTheme="minorEastAsia" w:cstheme="majorBidi"/>
          <w:szCs w:val="24"/>
        </w:rPr>
        <w:fldChar w:fldCharType="end"/>
      </w:r>
      <w:r w:rsidR="00690A8E" w:rsidRPr="0004264F">
        <w:rPr>
          <w:rFonts w:eastAsiaTheme="minorEastAsia" w:cstheme="majorBidi"/>
          <w:szCs w:val="24"/>
        </w:rPr>
        <w:t xml:space="preserve">. </w:t>
      </w:r>
      <w:r w:rsidR="0042616F" w:rsidRPr="0004264F">
        <w:rPr>
          <w:rFonts w:eastAsiaTheme="minorEastAsia" w:cstheme="majorBidi"/>
          <w:szCs w:val="24"/>
        </w:rPr>
        <w:t>The full specification of column 6 implies that f</w:t>
      </w:r>
      <w:r w:rsidRPr="0004264F">
        <w:rPr>
          <w:rFonts w:eastAsiaTheme="minorEastAsia" w:cstheme="majorBidi"/>
          <w:szCs w:val="24"/>
        </w:rPr>
        <w:t xml:space="preserve">or a one-standard-deviation change in deposits per capita the income per capita </w:t>
      </w:r>
      <w:r w:rsidR="003177BC" w:rsidRPr="0004264F">
        <w:rPr>
          <w:rFonts w:eastAsiaTheme="minorEastAsia" w:cstheme="majorBidi"/>
          <w:szCs w:val="24"/>
        </w:rPr>
        <w:t>changes</w:t>
      </w:r>
      <w:r w:rsidRPr="0004264F">
        <w:rPr>
          <w:rFonts w:eastAsiaTheme="minorEastAsia" w:cstheme="majorBidi"/>
          <w:szCs w:val="24"/>
        </w:rPr>
        <w:t xml:space="preserve"> by </w:t>
      </w:r>
      <w:r w:rsidR="002301F9" w:rsidRPr="0004264F">
        <w:rPr>
          <w:rFonts w:eastAsiaTheme="minorEastAsia" w:cstheme="majorBidi"/>
          <w:szCs w:val="24"/>
        </w:rPr>
        <w:t>0.</w:t>
      </w:r>
      <w:r w:rsidR="0042616F" w:rsidRPr="0004264F">
        <w:rPr>
          <w:rFonts w:eastAsiaTheme="minorEastAsia" w:cstheme="majorBidi"/>
          <w:szCs w:val="24"/>
        </w:rPr>
        <w:t>4</w:t>
      </w:r>
      <w:r w:rsidR="003177BC" w:rsidRPr="0004264F">
        <w:rPr>
          <w:rFonts w:eastAsiaTheme="minorEastAsia" w:cstheme="majorBidi"/>
          <w:szCs w:val="24"/>
        </w:rPr>
        <w:t xml:space="preserve"> </w:t>
      </w:r>
      <w:r w:rsidR="006F7863" w:rsidRPr="0004264F">
        <w:rPr>
          <w:rFonts w:eastAsiaTheme="minorEastAsia" w:cstheme="majorBidi"/>
          <w:szCs w:val="24"/>
        </w:rPr>
        <w:t>standard deviations</w:t>
      </w:r>
      <w:r w:rsidR="003177BC" w:rsidRPr="0004264F">
        <w:rPr>
          <w:rFonts w:eastAsiaTheme="minorEastAsia" w:cstheme="majorBidi"/>
          <w:szCs w:val="24"/>
        </w:rPr>
        <w:t xml:space="preserve">. </w:t>
      </w:r>
      <w:r w:rsidR="0033275F" w:rsidRPr="0004264F">
        <w:rPr>
          <w:rFonts w:eastAsiaTheme="minorEastAsia" w:cstheme="majorBidi"/>
          <w:szCs w:val="24"/>
        </w:rPr>
        <w:t>Between the years 1929 and 1933 (peak to trough</w:t>
      </w:r>
      <w:r w:rsidR="0042616F" w:rsidRPr="0004264F">
        <w:rPr>
          <w:rFonts w:eastAsiaTheme="minorEastAsia" w:cstheme="majorBidi"/>
          <w:szCs w:val="24"/>
        </w:rPr>
        <w:t xml:space="preserve"> of the </w:t>
      </w:r>
      <w:r w:rsidR="00E646AC" w:rsidRPr="0004264F">
        <w:rPr>
          <w:rFonts w:eastAsiaTheme="minorEastAsia" w:cstheme="majorBidi"/>
          <w:szCs w:val="24"/>
        </w:rPr>
        <w:t>Great Depression</w:t>
      </w:r>
      <w:r w:rsidR="0033275F" w:rsidRPr="0004264F">
        <w:rPr>
          <w:rFonts w:eastAsiaTheme="minorEastAsia" w:cstheme="majorBidi"/>
          <w:szCs w:val="24"/>
        </w:rPr>
        <w:t>)</w:t>
      </w:r>
      <w:r w:rsidR="00B673A3" w:rsidRPr="0004264F">
        <w:rPr>
          <w:rFonts w:eastAsiaTheme="minorEastAsia" w:cstheme="majorBidi"/>
          <w:szCs w:val="24"/>
        </w:rPr>
        <w:t>, income per capita decreased from $</w:t>
      </w:r>
      <w:r w:rsidR="0033275F" w:rsidRPr="0004264F">
        <w:rPr>
          <w:rFonts w:eastAsiaTheme="minorEastAsia" w:cstheme="majorBidi"/>
          <w:szCs w:val="24"/>
        </w:rPr>
        <w:t>611</w:t>
      </w:r>
      <w:r w:rsidR="00B673A3" w:rsidRPr="0004264F">
        <w:rPr>
          <w:rFonts w:eastAsiaTheme="minorEastAsia" w:cstheme="majorBidi"/>
          <w:szCs w:val="24"/>
        </w:rPr>
        <w:t xml:space="preserve"> to $</w:t>
      </w:r>
      <w:r w:rsidR="0033275F" w:rsidRPr="0004264F">
        <w:rPr>
          <w:rFonts w:eastAsiaTheme="minorEastAsia" w:cstheme="majorBidi"/>
          <w:szCs w:val="24"/>
        </w:rPr>
        <w:t>326</w:t>
      </w:r>
      <w:r w:rsidR="00B673A3" w:rsidRPr="0004264F">
        <w:rPr>
          <w:rFonts w:eastAsiaTheme="minorEastAsia" w:cstheme="majorBidi"/>
          <w:szCs w:val="24"/>
        </w:rPr>
        <w:t xml:space="preserve">, a decrease of about </w:t>
      </w:r>
      <w:r w:rsidR="0033275F" w:rsidRPr="0004264F">
        <w:rPr>
          <w:rFonts w:eastAsiaTheme="minorEastAsia" w:cstheme="majorBidi"/>
          <w:szCs w:val="24"/>
        </w:rPr>
        <w:t xml:space="preserve">1.5 times its </w:t>
      </w:r>
      <w:r w:rsidR="006F7863" w:rsidRPr="0004264F">
        <w:rPr>
          <w:rFonts w:eastAsiaTheme="minorEastAsia" w:cstheme="majorBidi"/>
          <w:szCs w:val="24"/>
        </w:rPr>
        <w:t>standard deviation</w:t>
      </w:r>
      <w:r w:rsidR="0033275F" w:rsidRPr="0004264F">
        <w:rPr>
          <w:rFonts w:eastAsiaTheme="minorEastAsia" w:cstheme="majorBidi"/>
          <w:szCs w:val="24"/>
        </w:rPr>
        <w:t xml:space="preserve"> over the sample period</w:t>
      </w:r>
      <w:r w:rsidR="00B673A3" w:rsidRPr="0004264F">
        <w:rPr>
          <w:rFonts w:eastAsiaTheme="minorEastAsia" w:cstheme="majorBidi"/>
          <w:szCs w:val="24"/>
        </w:rPr>
        <w:t xml:space="preserve">. Using figures </w:t>
      </w:r>
      <w:r w:rsidR="00E646AC" w:rsidRPr="0004264F">
        <w:rPr>
          <w:rFonts w:eastAsiaTheme="minorEastAsia" w:cstheme="majorBidi"/>
          <w:szCs w:val="24"/>
        </w:rPr>
        <w:t xml:space="preserve">from </w:t>
      </w:r>
      <w:r w:rsidR="00B673A3" w:rsidRPr="0004264F">
        <w:rPr>
          <w:rFonts w:eastAsiaTheme="minorEastAsia" w:cstheme="majorBidi"/>
          <w:szCs w:val="24"/>
        </w:rPr>
        <w:fldChar w:fldCharType="begin"/>
      </w:r>
      <w:r w:rsidR="00B673A3" w:rsidRPr="0004264F">
        <w:rPr>
          <w:rFonts w:eastAsiaTheme="minorEastAsia" w:cstheme="majorBidi"/>
          <w:szCs w:val="24"/>
        </w:rPr>
        <w:instrText xml:space="preserve"> REF _Ref97928819 \h </w:instrText>
      </w:r>
      <w:r w:rsidR="00C61E40" w:rsidRPr="0004264F">
        <w:rPr>
          <w:rFonts w:eastAsiaTheme="minorEastAsia" w:cstheme="majorBidi"/>
          <w:szCs w:val="24"/>
        </w:rPr>
        <w:instrText xml:space="preserve"> \* MERGEFORMAT </w:instrText>
      </w:r>
      <w:r w:rsidR="00B673A3" w:rsidRPr="0004264F">
        <w:rPr>
          <w:rFonts w:eastAsiaTheme="minorEastAsia" w:cstheme="majorBidi"/>
          <w:szCs w:val="24"/>
        </w:rPr>
      </w:r>
      <w:r w:rsidR="00B673A3"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7</w:t>
      </w:r>
      <w:r w:rsidR="00B673A3" w:rsidRPr="0004264F">
        <w:rPr>
          <w:rFonts w:eastAsiaTheme="minorEastAsia" w:cstheme="majorBidi"/>
          <w:szCs w:val="24"/>
        </w:rPr>
        <w:fldChar w:fldCharType="end"/>
      </w:r>
      <w:r w:rsidR="00B673A3" w:rsidRPr="0004264F">
        <w:rPr>
          <w:rFonts w:eastAsiaTheme="minorEastAsia" w:cstheme="majorBidi"/>
          <w:szCs w:val="24"/>
        </w:rPr>
        <w:t xml:space="preserve"> and this drop in income, one can deduce a roughly</w:t>
      </w:r>
      <w:r w:rsidR="00E634F0" w:rsidRPr="0004264F">
        <w:rPr>
          <w:rFonts w:eastAsiaTheme="minorEastAsia" w:cstheme="majorBidi"/>
          <w:szCs w:val="24"/>
        </w:rPr>
        <w:t xml:space="preserve"> </w:t>
      </w:r>
      <w:r w:rsidR="002C2C9F" w:rsidRPr="0004264F">
        <w:rPr>
          <w:rFonts w:eastAsiaTheme="minorEastAsia" w:cstheme="majorBidi"/>
          <w:szCs w:val="24"/>
        </w:rPr>
        <w:t>6.1</w:t>
      </w:r>
      <w:r w:rsidR="00360AF0" w:rsidRPr="0004264F">
        <w:rPr>
          <w:rFonts w:eastAsiaTheme="minorEastAsia" w:cstheme="majorBidi"/>
          <w:szCs w:val="24"/>
        </w:rPr>
        <w:t xml:space="preserve"> month</w:t>
      </w:r>
      <w:r w:rsidR="00861AAF" w:rsidRPr="0004264F">
        <w:rPr>
          <w:rFonts w:eastAsiaTheme="minorEastAsia" w:cstheme="majorBidi"/>
          <w:szCs w:val="24"/>
        </w:rPr>
        <w:t>s</w:t>
      </w:r>
      <w:r w:rsidR="00360AF0" w:rsidRPr="0004264F">
        <w:rPr>
          <w:rFonts w:eastAsiaTheme="minorEastAsia" w:cstheme="majorBidi"/>
          <w:szCs w:val="24"/>
        </w:rPr>
        <w:t xml:space="preserve"> drop in later-life longevity.</w:t>
      </w:r>
      <w:r w:rsidR="00E634F0" w:rsidRPr="0004264F">
        <w:rPr>
          <w:rStyle w:val="FootnoteReference"/>
          <w:rFonts w:eastAsiaTheme="minorEastAsia" w:cstheme="majorBidi"/>
          <w:szCs w:val="24"/>
        </w:rPr>
        <w:footnoteReference w:id="12"/>
      </w:r>
      <w:r w:rsidR="00360AF0" w:rsidRPr="0004264F">
        <w:rPr>
          <w:rFonts w:eastAsiaTheme="minorEastAsia" w:cstheme="majorBidi"/>
          <w:szCs w:val="24"/>
        </w:rPr>
        <w:t xml:space="preserve"> </w:t>
      </w:r>
      <w:r w:rsidR="0033275F" w:rsidRPr="0004264F">
        <w:rPr>
          <w:rFonts w:eastAsiaTheme="minorEastAsia" w:cstheme="majorBidi"/>
          <w:szCs w:val="24"/>
        </w:rPr>
        <w:t xml:space="preserve">This is an economically </w:t>
      </w:r>
      <w:r w:rsidR="00861AAF" w:rsidRPr="0004264F">
        <w:rPr>
          <w:rFonts w:eastAsiaTheme="minorEastAsia" w:cstheme="majorBidi"/>
          <w:szCs w:val="24"/>
        </w:rPr>
        <w:t>large</w:t>
      </w:r>
      <w:r w:rsidR="0035676D" w:rsidRPr="0004264F">
        <w:rPr>
          <w:rFonts w:eastAsiaTheme="minorEastAsia" w:cstheme="majorBidi"/>
          <w:szCs w:val="24"/>
        </w:rPr>
        <w:t xml:space="preserve"> effect</w:t>
      </w:r>
      <w:r w:rsidR="0033275F" w:rsidRPr="0004264F">
        <w:rPr>
          <w:rFonts w:eastAsiaTheme="minorEastAsia" w:cstheme="majorBidi"/>
          <w:szCs w:val="24"/>
        </w:rPr>
        <w:t xml:space="preserve">. </w:t>
      </w:r>
    </w:p>
    <w:p w14:paraId="6F40D8B6" w14:textId="23629718" w:rsidR="00AE2981" w:rsidRPr="0004264F" w:rsidRDefault="00AE2981" w:rsidP="00F970D7">
      <w:pPr>
        <w:pStyle w:val="Heading2"/>
      </w:pPr>
      <w:r w:rsidRPr="0004264F">
        <w:t>Robustness Checks</w:t>
      </w:r>
    </w:p>
    <w:p w14:paraId="59882017" w14:textId="72ACCA5B" w:rsidR="00462DE4" w:rsidRPr="0004264F" w:rsidRDefault="00F67842" w:rsidP="004B1756">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In </w:t>
      </w:r>
      <w:r w:rsidRPr="0004264F">
        <w:rPr>
          <w:rFonts w:eastAsiaTheme="minorEastAsia" w:cstheme="majorBidi"/>
          <w:szCs w:val="24"/>
        </w:rPr>
        <w:fldChar w:fldCharType="begin"/>
      </w:r>
      <w:r w:rsidRPr="0004264F">
        <w:rPr>
          <w:rFonts w:eastAsiaTheme="minorEastAsia" w:cstheme="majorBidi"/>
          <w:szCs w:val="24"/>
        </w:rPr>
        <w:instrText xml:space="preserve"> REF _Ref97968602 \h </w:instrText>
      </w:r>
      <w:r w:rsidR="00892BF3"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8</w:t>
      </w:r>
      <w:r w:rsidRPr="0004264F">
        <w:rPr>
          <w:rFonts w:eastAsiaTheme="minorEastAsia" w:cstheme="majorBidi"/>
          <w:szCs w:val="24"/>
        </w:rPr>
        <w:fldChar w:fldCharType="end"/>
      </w:r>
      <w:r w:rsidRPr="0004264F">
        <w:rPr>
          <w:rFonts w:eastAsiaTheme="minorEastAsia" w:cstheme="majorBidi"/>
          <w:szCs w:val="24"/>
        </w:rPr>
        <w:t xml:space="preserve">, we explore the robustness of the main results to alternative specifications. In column 1, we replicate the results of the full specification of </w:t>
      </w:r>
      <w:r w:rsidR="00690A8E" w:rsidRPr="0004264F">
        <w:rPr>
          <w:rFonts w:eastAsiaTheme="minorEastAsia" w:cstheme="majorBidi"/>
          <w:szCs w:val="24"/>
        </w:rPr>
        <w:fldChar w:fldCharType="begin"/>
      </w:r>
      <w:r w:rsidR="00690A8E" w:rsidRPr="0004264F">
        <w:rPr>
          <w:rFonts w:eastAsiaTheme="minorEastAsia" w:cstheme="majorBidi"/>
          <w:szCs w:val="24"/>
        </w:rPr>
        <w:instrText xml:space="preserve"> REF _Ref111322750 \h </w:instrText>
      </w:r>
      <w:r w:rsidR="00510BC3" w:rsidRPr="0004264F">
        <w:rPr>
          <w:rFonts w:eastAsiaTheme="minorEastAsia" w:cstheme="majorBidi"/>
          <w:szCs w:val="24"/>
        </w:rPr>
        <w:instrText xml:space="preserve"> \* MERGEFORMAT </w:instrText>
      </w:r>
      <w:r w:rsidR="00690A8E" w:rsidRPr="0004264F">
        <w:rPr>
          <w:rFonts w:eastAsiaTheme="minorEastAsia" w:cstheme="majorBidi"/>
          <w:szCs w:val="24"/>
        </w:rPr>
      </w:r>
      <w:r w:rsidR="00690A8E"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4</w:t>
      </w:r>
      <w:r w:rsidR="00690A8E" w:rsidRPr="0004264F">
        <w:rPr>
          <w:rFonts w:eastAsiaTheme="minorEastAsia" w:cstheme="majorBidi"/>
          <w:szCs w:val="24"/>
        </w:rPr>
        <w:fldChar w:fldCharType="end"/>
      </w:r>
      <w:r w:rsidR="00690A8E" w:rsidRPr="0004264F">
        <w:rPr>
          <w:rFonts w:eastAsiaTheme="minorEastAsia" w:cstheme="majorBidi"/>
          <w:szCs w:val="24"/>
        </w:rPr>
        <w:t xml:space="preserve"> </w:t>
      </w:r>
      <w:r w:rsidRPr="0004264F">
        <w:rPr>
          <w:rFonts w:eastAsiaTheme="minorEastAsia" w:cstheme="majorBidi"/>
          <w:szCs w:val="24"/>
        </w:rPr>
        <w:t xml:space="preserve">as the benchmark comparison. </w:t>
      </w:r>
      <w:r w:rsidR="0058158A" w:rsidRPr="0004264F">
        <w:rPr>
          <w:rFonts w:eastAsiaTheme="minorEastAsia" w:cstheme="majorBidi"/>
          <w:szCs w:val="24"/>
        </w:rPr>
        <w:t xml:space="preserve">In column 2, we allow for the time-invariant effects of counties to vary by individual covariates. </w:t>
      </w:r>
      <w:r w:rsidR="004B1756" w:rsidRPr="0004264F">
        <w:rPr>
          <w:rFonts w:eastAsiaTheme="minorEastAsia" w:cstheme="majorBidi"/>
          <w:szCs w:val="24"/>
        </w:rPr>
        <w:t xml:space="preserve">In column 3, we add county-by-parental-characteristics fixed effects so that the unobserved time-invariant features of a county can be absorbed differently by families with different sociodemographic backgrounds. </w:t>
      </w:r>
      <w:r w:rsidR="0058158A" w:rsidRPr="0004264F">
        <w:rPr>
          <w:rFonts w:eastAsiaTheme="minorEastAsia" w:cstheme="majorBidi"/>
          <w:szCs w:val="24"/>
        </w:rPr>
        <w:t>The resulting marginal effect</w:t>
      </w:r>
      <w:r w:rsidR="004B1756" w:rsidRPr="0004264F">
        <w:rPr>
          <w:rFonts w:eastAsiaTheme="minorEastAsia" w:cstheme="majorBidi"/>
          <w:szCs w:val="24"/>
        </w:rPr>
        <w:t>s</w:t>
      </w:r>
      <w:r w:rsidR="0058158A" w:rsidRPr="0004264F">
        <w:rPr>
          <w:rFonts w:eastAsiaTheme="minorEastAsia" w:cstheme="majorBidi"/>
          <w:szCs w:val="24"/>
        </w:rPr>
        <w:t xml:space="preserve"> </w:t>
      </w:r>
      <w:r w:rsidR="004B1756" w:rsidRPr="0004264F">
        <w:rPr>
          <w:rFonts w:eastAsiaTheme="minorEastAsia" w:cstheme="majorBidi"/>
          <w:szCs w:val="24"/>
        </w:rPr>
        <w:t xml:space="preserve">are almost identical to </w:t>
      </w:r>
      <w:r w:rsidR="0058158A" w:rsidRPr="0004264F">
        <w:rPr>
          <w:rFonts w:eastAsiaTheme="minorEastAsia" w:cstheme="majorBidi"/>
          <w:szCs w:val="24"/>
        </w:rPr>
        <w:t xml:space="preserve">the main results. In column </w:t>
      </w:r>
      <w:r w:rsidR="004B1756" w:rsidRPr="0004264F">
        <w:rPr>
          <w:rFonts w:eastAsiaTheme="minorEastAsia" w:cstheme="majorBidi"/>
          <w:szCs w:val="24"/>
        </w:rPr>
        <w:t>4</w:t>
      </w:r>
      <w:r w:rsidR="0058158A" w:rsidRPr="0004264F">
        <w:rPr>
          <w:rFonts w:eastAsiaTheme="minorEastAsia" w:cstheme="majorBidi"/>
          <w:szCs w:val="24"/>
        </w:rPr>
        <w:t xml:space="preserve">, we control for all unobserved county characteristics that evolve linearly over cohorts by including county-by-birth-year linear trend. </w:t>
      </w:r>
      <w:r w:rsidR="004B1756" w:rsidRPr="0004264F">
        <w:rPr>
          <w:rFonts w:eastAsiaTheme="minorEastAsia" w:cstheme="majorBidi"/>
          <w:szCs w:val="24"/>
        </w:rPr>
        <w:t>The effect rises and remain statistically significant.</w:t>
      </w:r>
    </w:p>
    <w:p w14:paraId="095E2E18" w14:textId="4FC5B981" w:rsidR="00462DE4" w:rsidRPr="0004264F" w:rsidRDefault="00657A49" w:rsidP="004B1756">
      <w:pPr>
        <w:spacing w:before="60" w:after="60" w:line="480" w:lineRule="auto"/>
        <w:ind w:firstLine="720"/>
        <w:jc w:val="both"/>
        <w:rPr>
          <w:rFonts w:eastAsiaTheme="minorEastAsia" w:cstheme="majorBidi"/>
          <w:szCs w:val="24"/>
        </w:rPr>
      </w:pPr>
      <w:r w:rsidRPr="0004264F">
        <w:rPr>
          <w:rFonts w:eastAsiaTheme="minorEastAsia" w:cstheme="majorBidi"/>
          <w:szCs w:val="24"/>
        </w:rPr>
        <w:lastRenderedPageBreak/>
        <w:t xml:space="preserve">In column </w:t>
      </w:r>
      <w:r w:rsidR="004B1756" w:rsidRPr="0004264F">
        <w:rPr>
          <w:rFonts w:eastAsiaTheme="minorEastAsia" w:cstheme="majorBidi"/>
          <w:szCs w:val="24"/>
        </w:rPr>
        <w:t>5</w:t>
      </w:r>
      <w:r w:rsidRPr="0004264F">
        <w:rPr>
          <w:rFonts w:eastAsiaTheme="minorEastAsia" w:cstheme="majorBidi"/>
          <w:szCs w:val="24"/>
        </w:rPr>
        <w:t>, we control for seasonality in birth and death outcomes by adding birth-month and death-month fixed effects. The resulting coefficient is</w:t>
      </w:r>
      <w:r w:rsidR="004B1756" w:rsidRPr="0004264F">
        <w:rPr>
          <w:rFonts w:eastAsiaTheme="minorEastAsia" w:cstheme="majorBidi"/>
          <w:szCs w:val="24"/>
        </w:rPr>
        <w:t xml:space="preserve"> comparable </w:t>
      </w:r>
      <w:r w:rsidRPr="0004264F">
        <w:rPr>
          <w:rFonts w:eastAsiaTheme="minorEastAsia" w:cstheme="majorBidi"/>
          <w:szCs w:val="24"/>
        </w:rPr>
        <w:t>to that of column 1.</w:t>
      </w:r>
      <w:r w:rsidR="005134E2" w:rsidRPr="0004264F">
        <w:rPr>
          <w:rFonts w:eastAsiaTheme="minorEastAsia" w:cstheme="majorBidi"/>
          <w:szCs w:val="24"/>
        </w:rPr>
        <w:t xml:space="preserve"> </w:t>
      </w:r>
    </w:p>
    <w:p w14:paraId="542B16B4" w14:textId="45ECDAC1" w:rsidR="00810D3F" w:rsidRPr="0004264F" w:rsidRDefault="00810D3F" w:rsidP="004B1756">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In column </w:t>
      </w:r>
      <w:r w:rsidR="004B1756" w:rsidRPr="0004264F">
        <w:rPr>
          <w:rFonts w:eastAsiaTheme="minorEastAsia" w:cstheme="majorBidi"/>
          <w:szCs w:val="24"/>
        </w:rPr>
        <w:t>6</w:t>
      </w:r>
      <w:r w:rsidRPr="0004264F">
        <w:rPr>
          <w:rFonts w:eastAsiaTheme="minorEastAsia" w:cstheme="majorBidi"/>
          <w:szCs w:val="24"/>
        </w:rPr>
        <w:t xml:space="preserve">, we check for </w:t>
      </w:r>
      <w:r w:rsidR="002C2C9F" w:rsidRPr="0004264F">
        <w:rPr>
          <w:rFonts w:eastAsiaTheme="minorEastAsia" w:cstheme="majorBidi"/>
          <w:szCs w:val="24"/>
        </w:rPr>
        <w:t xml:space="preserve">robustness of the </w:t>
      </w:r>
      <w:r w:rsidRPr="0004264F">
        <w:rPr>
          <w:rFonts w:eastAsiaTheme="minorEastAsia" w:cstheme="majorBidi"/>
          <w:szCs w:val="24"/>
        </w:rPr>
        <w:t>functional form by replacing the outcome with the log of age at death. The effect suggests 0.</w:t>
      </w:r>
      <w:r w:rsidR="002C2C9F" w:rsidRPr="0004264F">
        <w:rPr>
          <w:rFonts w:eastAsiaTheme="minorEastAsia" w:cstheme="majorBidi"/>
          <w:szCs w:val="24"/>
        </w:rPr>
        <w:t>2</w:t>
      </w:r>
      <w:r w:rsidRPr="0004264F">
        <w:rPr>
          <w:rFonts w:eastAsiaTheme="minorEastAsia" w:cstheme="majorBidi"/>
          <w:szCs w:val="24"/>
        </w:rPr>
        <w:t xml:space="preserve"> percent change in the outcome </w:t>
      </w:r>
      <w:proofErr w:type="gramStart"/>
      <w:r w:rsidRPr="0004264F">
        <w:rPr>
          <w:rFonts w:eastAsiaTheme="minorEastAsia" w:cstheme="majorBidi"/>
          <w:szCs w:val="24"/>
        </w:rPr>
        <w:t>as a result of</w:t>
      </w:r>
      <w:proofErr w:type="gramEnd"/>
      <w:r w:rsidRPr="0004264F">
        <w:rPr>
          <w:rFonts w:eastAsiaTheme="minorEastAsia" w:cstheme="majorBidi"/>
          <w:szCs w:val="24"/>
        </w:rPr>
        <w:t xml:space="preserve"> one-standard-deviation change in deposits, an effect that is almost identical to the percent change effect shown in column 4 of</w:t>
      </w:r>
      <w:r w:rsidR="00690A8E" w:rsidRPr="0004264F">
        <w:rPr>
          <w:rFonts w:eastAsiaTheme="minorEastAsia" w:cstheme="majorBidi"/>
          <w:szCs w:val="24"/>
        </w:rPr>
        <w:t xml:space="preserve"> </w:t>
      </w:r>
      <w:r w:rsidR="00690A8E" w:rsidRPr="0004264F">
        <w:rPr>
          <w:rFonts w:eastAsiaTheme="minorEastAsia" w:cstheme="majorBidi"/>
          <w:szCs w:val="24"/>
        </w:rPr>
        <w:fldChar w:fldCharType="begin"/>
      </w:r>
      <w:r w:rsidR="00690A8E" w:rsidRPr="0004264F">
        <w:rPr>
          <w:rFonts w:eastAsiaTheme="minorEastAsia" w:cstheme="majorBidi"/>
          <w:szCs w:val="24"/>
        </w:rPr>
        <w:instrText xml:space="preserve"> REF _Ref111322750 \h </w:instrText>
      </w:r>
      <w:r w:rsidR="00510BC3" w:rsidRPr="0004264F">
        <w:rPr>
          <w:rFonts w:eastAsiaTheme="minorEastAsia" w:cstheme="majorBidi"/>
          <w:szCs w:val="24"/>
        </w:rPr>
        <w:instrText xml:space="preserve"> \* MERGEFORMAT </w:instrText>
      </w:r>
      <w:r w:rsidR="00690A8E" w:rsidRPr="0004264F">
        <w:rPr>
          <w:rFonts w:eastAsiaTheme="minorEastAsia" w:cstheme="majorBidi"/>
          <w:szCs w:val="24"/>
        </w:rPr>
      </w:r>
      <w:r w:rsidR="00690A8E"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4</w:t>
      </w:r>
      <w:r w:rsidR="00690A8E" w:rsidRPr="0004264F">
        <w:rPr>
          <w:rFonts w:eastAsiaTheme="minorEastAsia" w:cstheme="majorBidi"/>
          <w:szCs w:val="24"/>
        </w:rPr>
        <w:fldChar w:fldCharType="end"/>
      </w:r>
      <w:r w:rsidRPr="0004264F">
        <w:rPr>
          <w:rFonts w:eastAsiaTheme="minorEastAsia" w:cstheme="majorBidi"/>
          <w:szCs w:val="24"/>
        </w:rPr>
        <w:t xml:space="preserve">. </w:t>
      </w:r>
      <w:r w:rsidR="004B1756" w:rsidRPr="0004264F">
        <w:rPr>
          <w:rFonts w:eastAsiaTheme="minorEastAsia" w:cstheme="majorBidi"/>
          <w:szCs w:val="24"/>
        </w:rPr>
        <w:t>In column 7</w:t>
      </w:r>
      <w:r w:rsidR="002C2C9F" w:rsidRPr="0004264F">
        <w:rPr>
          <w:rFonts w:eastAsiaTheme="minorEastAsia" w:cstheme="majorBidi"/>
          <w:szCs w:val="24"/>
        </w:rPr>
        <w:t>-8</w:t>
      </w:r>
      <w:r w:rsidR="004B1756" w:rsidRPr="0004264F">
        <w:rPr>
          <w:rFonts w:eastAsiaTheme="minorEastAsia" w:cstheme="majorBidi"/>
          <w:szCs w:val="24"/>
        </w:rPr>
        <w:t>, we replace the outcome with a dummy to indicate longevity beyond age 70</w:t>
      </w:r>
      <w:r w:rsidR="002C2C9F" w:rsidRPr="0004264F">
        <w:rPr>
          <w:rFonts w:eastAsiaTheme="minorEastAsia" w:cstheme="majorBidi"/>
          <w:szCs w:val="24"/>
        </w:rPr>
        <w:t xml:space="preserve"> and 65, respectively</w:t>
      </w:r>
      <w:r w:rsidR="004B1756" w:rsidRPr="0004264F">
        <w:rPr>
          <w:rFonts w:eastAsiaTheme="minorEastAsia" w:cstheme="majorBidi"/>
          <w:szCs w:val="24"/>
        </w:rPr>
        <w:t xml:space="preserve">. A one-standard-deviation increase in in-utero bank deposits per capita is associated with </w:t>
      </w:r>
      <w:r w:rsidR="002C2C9F" w:rsidRPr="0004264F">
        <w:rPr>
          <w:rFonts w:eastAsiaTheme="minorEastAsia" w:cstheme="majorBidi"/>
          <w:szCs w:val="24"/>
        </w:rPr>
        <w:t>62</w:t>
      </w:r>
      <w:r w:rsidR="004B1756" w:rsidRPr="0004264F">
        <w:rPr>
          <w:rFonts w:eastAsiaTheme="minorEastAsia" w:cstheme="majorBidi"/>
          <w:szCs w:val="24"/>
        </w:rPr>
        <w:t xml:space="preserve"> </w:t>
      </w:r>
      <w:r w:rsidR="002C2C9F" w:rsidRPr="0004264F">
        <w:rPr>
          <w:rFonts w:eastAsiaTheme="minorEastAsia" w:cstheme="majorBidi"/>
          <w:szCs w:val="24"/>
        </w:rPr>
        <w:t>and 53 basis</w:t>
      </w:r>
      <w:r w:rsidR="004B1756" w:rsidRPr="0004264F">
        <w:rPr>
          <w:rFonts w:eastAsiaTheme="minorEastAsia" w:cstheme="majorBidi"/>
          <w:szCs w:val="24"/>
        </w:rPr>
        <w:t>-points higher likelihood of living beyond age 70</w:t>
      </w:r>
      <w:r w:rsidR="003A230B" w:rsidRPr="0004264F">
        <w:rPr>
          <w:rFonts w:eastAsiaTheme="minorEastAsia" w:cstheme="majorBidi"/>
          <w:szCs w:val="24"/>
        </w:rPr>
        <w:t xml:space="preserve"> and 65</w:t>
      </w:r>
      <w:r w:rsidR="004B1756" w:rsidRPr="0004264F">
        <w:rPr>
          <w:rFonts w:eastAsiaTheme="minorEastAsia" w:cstheme="majorBidi"/>
          <w:szCs w:val="24"/>
        </w:rPr>
        <w:t>.</w:t>
      </w:r>
      <w:r w:rsidR="003A230B" w:rsidRPr="0004264F">
        <w:rPr>
          <w:rFonts w:eastAsiaTheme="minorEastAsia" w:cstheme="majorBidi"/>
          <w:szCs w:val="24"/>
        </w:rPr>
        <w:t xml:space="preserve"> These effects are equivalent to roughly 2.6 and 1.1 percent change from the mean of their respective outcomes. </w:t>
      </w:r>
    </w:p>
    <w:p w14:paraId="0D43B7A6" w14:textId="1A8771F1" w:rsidR="00810D3F" w:rsidRPr="0004264F" w:rsidRDefault="00810D3F" w:rsidP="00351270">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In columns </w:t>
      </w:r>
      <w:r w:rsidR="00351270" w:rsidRPr="0004264F">
        <w:rPr>
          <w:rFonts w:eastAsiaTheme="minorEastAsia" w:cstheme="majorBidi"/>
          <w:szCs w:val="24"/>
        </w:rPr>
        <w:t>9</w:t>
      </w:r>
      <w:r w:rsidRPr="0004264F">
        <w:rPr>
          <w:rFonts w:eastAsiaTheme="minorEastAsia" w:cstheme="majorBidi"/>
          <w:szCs w:val="24"/>
        </w:rPr>
        <w:t xml:space="preserve">, we </w:t>
      </w:r>
      <w:r w:rsidR="00117231" w:rsidRPr="0004264F">
        <w:rPr>
          <w:rFonts w:eastAsiaTheme="minorEastAsia" w:cstheme="majorBidi"/>
          <w:szCs w:val="24"/>
        </w:rPr>
        <w:t xml:space="preserve">check for sensitivity of county-level clustering. </w:t>
      </w:r>
      <w:r w:rsidR="003A230B" w:rsidRPr="0004264F">
        <w:rPr>
          <w:rFonts w:eastAsiaTheme="minorEastAsia" w:cstheme="majorBidi"/>
          <w:szCs w:val="24"/>
        </w:rPr>
        <w:t xml:space="preserve">We find </w:t>
      </w:r>
      <w:r w:rsidR="00117231" w:rsidRPr="0004264F">
        <w:rPr>
          <w:rFonts w:eastAsiaTheme="minorEastAsia" w:cstheme="majorBidi"/>
          <w:szCs w:val="24"/>
        </w:rPr>
        <w:t xml:space="preserve">that the errors are larger when we implement a two-way clustering by county and state-year. </w:t>
      </w:r>
      <w:r w:rsidR="003A230B" w:rsidRPr="0004264F">
        <w:rPr>
          <w:rFonts w:eastAsiaTheme="minorEastAsia" w:cstheme="majorBidi"/>
          <w:szCs w:val="24"/>
        </w:rPr>
        <w:t xml:space="preserve">However, the resulting coefficient is still statistically significant at </w:t>
      </w:r>
      <w:r w:rsidR="00F331ED" w:rsidRPr="0004264F">
        <w:rPr>
          <w:rFonts w:eastAsiaTheme="minorEastAsia" w:cstheme="majorBidi"/>
          <w:szCs w:val="24"/>
        </w:rPr>
        <w:t xml:space="preserve">the </w:t>
      </w:r>
      <w:r w:rsidR="003A230B" w:rsidRPr="0004264F">
        <w:rPr>
          <w:rFonts w:eastAsiaTheme="minorEastAsia" w:cstheme="majorBidi"/>
          <w:szCs w:val="24"/>
        </w:rPr>
        <w:t xml:space="preserve">5 percent level. </w:t>
      </w:r>
      <w:r w:rsidR="00117231" w:rsidRPr="0004264F">
        <w:rPr>
          <w:rFonts w:eastAsiaTheme="minorEastAsia" w:cstheme="majorBidi"/>
          <w:szCs w:val="24"/>
        </w:rPr>
        <w:t xml:space="preserve"> </w:t>
      </w:r>
    </w:p>
    <w:p w14:paraId="3EE20A77" w14:textId="410BDF60" w:rsidR="0058158A" w:rsidRPr="0004264F" w:rsidRDefault="00AF34C4" w:rsidP="00F970D7">
      <w:pPr>
        <w:pStyle w:val="Heading2"/>
      </w:pPr>
      <w:r w:rsidRPr="0004264F">
        <w:t xml:space="preserve">Alternative Measures </w:t>
      </w:r>
    </w:p>
    <w:p w14:paraId="7F853E83" w14:textId="324F8E1A" w:rsidR="00AF34C4" w:rsidRPr="0004264F" w:rsidRDefault="00C616B6" w:rsidP="00E121FD">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In </w:t>
      </w:r>
      <w:r w:rsidRPr="0004264F">
        <w:rPr>
          <w:rFonts w:eastAsiaTheme="minorEastAsia" w:cstheme="majorBidi"/>
          <w:szCs w:val="24"/>
        </w:rPr>
        <w:fldChar w:fldCharType="begin"/>
      </w:r>
      <w:r w:rsidRPr="0004264F">
        <w:rPr>
          <w:rFonts w:eastAsiaTheme="minorEastAsia" w:cstheme="majorBidi"/>
          <w:szCs w:val="24"/>
        </w:rPr>
        <w:instrText xml:space="preserve"> REF _Ref97970907 \h </w:instrText>
      </w:r>
      <w:r w:rsidR="00892BF3"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9</w:t>
      </w:r>
      <w:r w:rsidRPr="0004264F">
        <w:rPr>
          <w:rFonts w:eastAsiaTheme="minorEastAsia" w:cstheme="majorBidi"/>
          <w:szCs w:val="24"/>
        </w:rPr>
        <w:fldChar w:fldCharType="end"/>
      </w:r>
      <w:r w:rsidRPr="0004264F">
        <w:rPr>
          <w:rFonts w:eastAsiaTheme="minorEastAsia" w:cstheme="majorBidi"/>
          <w:szCs w:val="24"/>
        </w:rPr>
        <w:t>, we replicate the main results using alternative measures of bank</w:t>
      </w:r>
      <w:r w:rsidR="00324B27" w:rsidRPr="0004264F">
        <w:rPr>
          <w:rFonts w:eastAsiaTheme="minorEastAsia" w:cstheme="majorBidi"/>
          <w:szCs w:val="24"/>
        </w:rPr>
        <w:t>ing</w:t>
      </w:r>
      <w:r w:rsidR="003E4936" w:rsidRPr="0004264F">
        <w:rPr>
          <w:rFonts w:eastAsiaTheme="minorEastAsia" w:cstheme="majorBidi"/>
          <w:szCs w:val="24"/>
        </w:rPr>
        <w:t xml:space="preserve"> conditions. </w:t>
      </w:r>
      <w:r w:rsidR="00B4656D" w:rsidRPr="0004264F">
        <w:rPr>
          <w:rFonts w:eastAsiaTheme="minorEastAsia" w:cstheme="majorBidi"/>
          <w:szCs w:val="24"/>
        </w:rPr>
        <w:t xml:space="preserve">In column 1, </w:t>
      </w:r>
      <w:r w:rsidR="00C578B0" w:rsidRPr="0004264F">
        <w:rPr>
          <w:rFonts w:eastAsiaTheme="minorEastAsia" w:cstheme="majorBidi"/>
          <w:szCs w:val="24"/>
        </w:rPr>
        <w:t xml:space="preserve">we ignore the differences in county population as a deflating channel for the effects of deposits and use total deposits as the main independent variable. The resulting marginal effect suggests </w:t>
      </w:r>
      <w:r w:rsidR="00324B27" w:rsidRPr="0004264F">
        <w:rPr>
          <w:rFonts w:eastAsiaTheme="minorEastAsia" w:cstheme="majorBidi"/>
          <w:szCs w:val="24"/>
        </w:rPr>
        <w:t>2.</w:t>
      </w:r>
      <w:r w:rsidR="00E121FD" w:rsidRPr="0004264F">
        <w:rPr>
          <w:rFonts w:eastAsiaTheme="minorEastAsia" w:cstheme="majorBidi"/>
          <w:szCs w:val="24"/>
        </w:rPr>
        <w:t>2</w:t>
      </w:r>
      <w:r w:rsidR="00C578B0" w:rsidRPr="0004264F">
        <w:rPr>
          <w:rFonts w:eastAsiaTheme="minorEastAsia" w:cstheme="majorBidi"/>
          <w:szCs w:val="24"/>
        </w:rPr>
        <w:t xml:space="preserve"> months higher longevity as a result of</w:t>
      </w:r>
      <w:r w:rsidR="00B05787" w:rsidRPr="0004264F">
        <w:rPr>
          <w:rFonts w:eastAsiaTheme="minorEastAsia" w:cstheme="majorBidi"/>
          <w:szCs w:val="24"/>
        </w:rPr>
        <w:t xml:space="preserve"> a</w:t>
      </w:r>
      <w:r w:rsidR="00C578B0" w:rsidRPr="0004264F">
        <w:rPr>
          <w:rFonts w:eastAsiaTheme="minorEastAsia" w:cstheme="majorBidi"/>
          <w:szCs w:val="24"/>
        </w:rPr>
        <w:t xml:space="preserve"> one-standard-deviation change in deposits. In column </w:t>
      </w:r>
      <w:r w:rsidR="00265A9F" w:rsidRPr="0004264F">
        <w:rPr>
          <w:rFonts w:eastAsiaTheme="minorEastAsia" w:cstheme="majorBidi"/>
          <w:szCs w:val="24"/>
        </w:rPr>
        <w:t>2</w:t>
      </w:r>
      <w:r w:rsidR="00C578B0" w:rsidRPr="0004264F">
        <w:rPr>
          <w:rFonts w:eastAsiaTheme="minorEastAsia" w:cstheme="majorBidi"/>
          <w:szCs w:val="24"/>
        </w:rPr>
        <w:t xml:space="preserve">, we replace the independent variable with </w:t>
      </w:r>
      <w:r w:rsidR="00E121FD" w:rsidRPr="0004264F">
        <w:rPr>
          <w:rFonts w:eastAsiaTheme="minorEastAsia" w:cstheme="majorBidi"/>
          <w:szCs w:val="24"/>
        </w:rPr>
        <w:t>two</w:t>
      </w:r>
      <w:r w:rsidR="00C578B0" w:rsidRPr="0004264F">
        <w:rPr>
          <w:rFonts w:eastAsiaTheme="minorEastAsia" w:cstheme="majorBidi"/>
          <w:szCs w:val="24"/>
        </w:rPr>
        <w:t xml:space="preserve"> dummy indicating that banking deposits </w:t>
      </w:r>
      <w:r w:rsidR="00E74E5D" w:rsidRPr="0004264F">
        <w:rPr>
          <w:rFonts w:eastAsiaTheme="minorEastAsia" w:cstheme="majorBidi"/>
          <w:szCs w:val="24"/>
        </w:rPr>
        <w:t xml:space="preserve">in a specific county and year </w:t>
      </w:r>
      <w:r w:rsidR="00C578B0" w:rsidRPr="0004264F">
        <w:rPr>
          <w:rFonts w:eastAsiaTheme="minorEastAsia" w:cstheme="majorBidi"/>
          <w:szCs w:val="24"/>
        </w:rPr>
        <w:t xml:space="preserve">have dropped </w:t>
      </w:r>
      <w:r w:rsidR="00E121FD" w:rsidRPr="0004264F">
        <w:rPr>
          <w:rFonts w:eastAsiaTheme="minorEastAsia" w:cstheme="majorBidi"/>
          <w:szCs w:val="24"/>
        </w:rPr>
        <w:t>between 5-10 and more-than-10</w:t>
      </w:r>
      <w:r w:rsidR="00C578B0" w:rsidRPr="0004264F">
        <w:rPr>
          <w:rFonts w:eastAsiaTheme="minorEastAsia" w:cstheme="majorBidi"/>
          <w:szCs w:val="24"/>
        </w:rPr>
        <w:t xml:space="preserve"> percent relative to the </w:t>
      </w:r>
      <w:r w:rsidR="00E74E5D" w:rsidRPr="0004264F">
        <w:rPr>
          <w:rFonts w:eastAsiaTheme="minorEastAsia" w:cstheme="majorBidi"/>
          <w:szCs w:val="24"/>
        </w:rPr>
        <w:t xml:space="preserve">county’s </w:t>
      </w:r>
      <w:r w:rsidR="00C578B0" w:rsidRPr="0004264F">
        <w:rPr>
          <w:rFonts w:eastAsiaTheme="minorEastAsia" w:cstheme="majorBidi"/>
          <w:szCs w:val="24"/>
        </w:rPr>
        <w:t>previous year</w:t>
      </w:r>
      <w:r w:rsidR="00E74E5D" w:rsidRPr="0004264F">
        <w:rPr>
          <w:rFonts w:eastAsiaTheme="minorEastAsia" w:cstheme="majorBidi"/>
          <w:szCs w:val="24"/>
        </w:rPr>
        <w:t>’s deposits</w:t>
      </w:r>
      <w:r w:rsidR="00C578B0" w:rsidRPr="0004264F">
        <w:rPr>
          <w:rFonts w:eastAsiaTheme="minorEastAsia" w:cstheme="majorBidi"/>
          <w:szCs w:val="24"/>
        </w:rPr>
        <w:t>, candidate measure</w:t>
      </w:r>
      <w:r w:rsidR="00E121FD" w:rsidRPr="0004264F">
        <w:rPr>
          <w:rFonts w:eastAsiaTheme="minorEastAsia" w:cstheme="majorBidi"/>
          <w:szCs w:val="24"/>
        </w:rPr>
        <w:t>s</w:t>
      </w:r>
      <w:r w:rsidR="00C578B0" w:rsidRPr="0004264F">
        <w:rPr>
          <w:rFonts w:eastAsiaTheme="minorEastAsia" w:cstheme="majorBidi"/>
          <w:szCs w:val="24"/>
        </w:rPr>
        <w:t xml:space="preserve"> of </w:t>
      </w:r>
      <w:r w:rsidR="00433FCB" w:rsidRPr="0004264F">
        <w:rPr>
          <w:rFonts w:eastAsiaTheme="minorEastAsia" w:cstheme="majorBidi"/>
          <w:szCs w:val="24"/>
        </w:rPr>
        <w:t xml:space="preserve">the </w:t>
      </w:r>
      <w:r w:rsidR="00C578B0" w:rsidRPr="0004264F">
        <w:rPr>
          <w:rFonts w:eastAsiaTheme="minorEastAsia" w:cstheme="majorBidi"/>
          <w:szCs w:val="24"/>
        </w:rPr>
        <w:t xml:space="preserve">banking crisis. The result suggests a reduction of </w:t>
      </w:r>
      <w:r w:rsidR="00324B27" w:rsidRPr="0004264F">
        <w:rPr>
          <w:rFonts w:eastAsiaTheme="minorEastAsia" w:cstheme="majorBidi"/>
          <w:szCs w:val="24"/>
        </w:rPr>
        <w:t>0.</w:t>
      </w:r>
      <w:r w:rsidR="00E121FD" w:rsidRPr="0004264F">
        <w:rPr>
          <w:rFonts w:eastAsiaTheme="minorEastAsia" w:cstheme="majorBidi"/>
          <w:szCs w:val="24"/>
        </w:rPr>
        <w:t>6</w:t>
      </w:r>
      <w:r w:rsidR="00C578B0" w:rsidRPr="0004264F">
        <w:rPr>
          <w:rFonts w:eastAsiaTheme="minorEastAsia" w:cstheme="majorBidi"/>
          <w:szCs w:val="24"/>
        </w:rPr>
        <w:t xml:space="preserve"> months in </w:t>
      </w:r>
      <w:r w:rsidR="00E121FD" w:rsidRPr="0004264F">
        <w:rPr>
          <w:rFonts w:eastAsiaTheme="minorEastAsia" w:cstheme="majorBidi"/>
          <w:szCs w:val="24"/>
        </w:rPr>
        <w:t xml:space="preserve">longevity for both measures of banking crisis. </w:t>
      </w:r>
      <w:r w:rsidR="00324B27" w:rsidRPr="0004264F">
        <w:rPr>
          <w:rFonts w:eastAsiaTheme="minorEastAsia" w:cstheme="majorBidi"/>
          <w:szCs w:val="24"/>
        </w:rPr>
        <w:t xml:space="preserve">We should note that </w:t>
      </w:r>
      <w:r w:rsidR="00E121FD" w:rsidRPr="0004264F">
        <w:rPr>
          <w:rFonts w:eastAsiaTheme="minorEastAsia" w:cstheme="majorBidi"/>
          <w:szCs w:val="24"/>
        </w:rPr>
        <w:t xml:space="preserve">33 </w:t>
      </w:r>
      <w:r w:rsidR="00324B27" w:rsidRPr="0004264F">
        <w:rPr>
          <w:rFonts w:eastAsiaTheme="minorEastAsia" w:cstheme="majorBidi"/>
          <w:szCs w:val="24"/>
        </w:rPr>
        <w:t>percent of cohorts have experienced a banking crisis during their prenatal period</w:t>
      </w:r>
      <w:r w:rsidR="00E121FD" w:rsidRPr="0004264F">
        <w:rPr>
          <w:rFonts w:eastAsiaTheme="minorEastAsia" w:cstheme="majorBidi"/>
          <w:szCs w:val="24"/>
        </w:rPr>
        <w:t xml:space="preserve">, per our definition </w:t>
      </w:r>
      <w:r w:rsidR="00E121FD" w:rsidRPr="0004264F">
        <w:rPr>
          <w:rFonts w:eastAsiaTheme="minorEastAsia" w:cstheme="majorBidi"/>
          <w:szCs w:val="24"/>
        </w:rPr>
        <w:lastRenderedPageBreak/>
        <w:t xml:space="preserve">of crisis (see </w:t>
      </w:r>
      <w:r w:rsidR="00E121FD" w:rsidRPr="0004264F">
        <w:rPr>
          <w:rFonts w:eastAsiaTheme="minorEastAsia" w:cstheme="majorBidi"/>
          <w:szCs w:val="24"/>
        </w:rPr>
        <w:fldChar w:fldCharType="begin"/>
      </w:r>
      <w:r w:rsidR="00E121FD" w:rsidRPr="0004264F">
        <w:rPr>
          <w:rFonts w:eastAsiaTheme="minorEastAsia" w:cstheme="majorBidi"/>
          <w:szCs w:val="24"/>
        </w:rPr>
        <w:instrText xml:space="preserve"> REF _Ref97676908 \h </w:instrText>
      </w:r>
      <w:r w:rsidR="002D11C3" w:rsidRPr="0004264F">
        <w:rPr>
          <w:rFonts w:eastAsiaTheme="minorEastAsia" w:cstheme="majorBidi"/>
          <w:szCs w:val="24"/>
        </w:rPr>
        <w:instrText xml:space="preserve"> \* MERGEFORMAT </w:instrText>
      </w:r>
      <w:r w:rsidR="00E121FD" w:rsidRPr="0004264F">
        <w:rPr>
          <w:rFonts w:eastAsiaTheme="minorEastAsia" w:cstheme="majorBidi"/>
          <w:szCs w:val="24"/>
        </w:rPr>
      </w:r>
      <w:r w:rsidR="00E121FD" w:rsidRPr="0004264F">
        <w:rPr>
          <w:rFonts w:eastAsiaTheme="minorEastAsia" w:cstheme="majorBidi"/>
          <w:szCs w:val="24"/>
        </w:rPr>
        <w:fldChar w:fldCharType="separate"/>
      </w:r>
      <w:r w:rsidR="00E121FD" w:rsidRPr="0004264F">
        <w:rPr>
          <w:rFonts w:cstheme="majorBidi"/>
        </w:rPr>
        <w:t xml:space="preserve">Table </w:t>
      </w:r>
      <w:r w:rsidR="00E121FD" w:rsidRPr="0004264F">
        <w:rPr>
          <w:rFonts w:cstheme="majorBidi"/>
          <w:noProof/>
        </w:rPr>
        <w:t>1</w:t>
      </w:r>
      <w:r w:rsidR="00E121FD" w:rsidRPr="0004264F">
        <w:rPr>
          <w:rFonts w:eastAsiaTheme="minorEastAsia" w:cstheme="majorBidi"/>
          <w:szCs w:val="24"/>
        </w:rPr>
        <w:fldChar w:fldCharType="end"/>
      </w:r>
      <w:r w:rsidR="00E121FD" w:rsidRPr="0004264F">
        <w:rPr>
          <w:rFonts w:eastAsiaTheme="minorEastAsia" w:cstheme="majorBidi"/>
          <w:szCs w:val="24"/>
        </w:rPr>
        <w:t>)</w:t>
      </w:r>
      <w:r w:rsidR="00324B27" w:rsidRPr="0004264F">
        <w:rPr>
          <w:rFonts w:eastAsiaTheme="minorEastAsia" w:cstheme="majorBidi"/>
          <w:szCs w:val="24"/>
        </w:rPr>
        <w:t xml:space="preserve">. </w:t>
      </w:r>
      <w:r w:rsidR="00C578B0" w:rsidRPr="0004264F">
        <w:rPr>
          <w:rFonts w:eastAsiaTheme="minorEastAsia" w:cstheme="majorBidi"/>
          <w:szCs w:val="24"/>
        </w:rPr>
        <w:t xml:space="preserve">Overall, these results add to the general picture that the economic conditions of </w:t>
      </w:r>
      <w:r w:rsidR="00EF009E" w:rsidRPr="0004264F">
        <w:rPr>
          <w:rFonts w:eastAsiaTheme="minorEastAsia" w:cstheme="majorBidi"/>
          <w:szCs w:val="24"/>
        </w:rPr>
        <w:t>early life</w:t>
      </w:r>
      <w:r w:rsidR="00C578B0" w:rsidRPr="0004264F">
        <w:rPr>
          <w:rFonts w:eastAsiaTheme="minorEastAsia" w:cstheme="majorBidi"/>
          <w:szCs w:val="24"/>
        </w:rPr>
        <w:t xml:space="preserve"> have </w:t>
      </w:r>
      <w:r w:rsidR="00324B27" w:rsidRPr="0004264F">
        <w:rPr>
          <w:rFonts w:eastAsiaTheme="minorEastAsia" w:cstheme="majorBidi"/>
          <w:szCs w:val="24"/>
        </w:rPr>
        <w:t>significant</w:t>
      </w:r>
      <w:r w:rsidR="00C578B0" w:rsidRPr="0004264F">
        <w:rPr>
          <w:rFonts w:eastAsiaTheme="minorEastAsia" w:cstheme="majorBidi"/>
          <w:szCs w:val="24"/>
        </w:rPr>
        <w:t xml:space="preserve"> effects on later-life longevity. </w:t>
      </w:r>
    </w:p>
    <w:p w14:paraId="28D02D12" w14:textId="77777777" w:rsidR="00893582" w:rsidRPr="0004264F" w:rsidRDefault="00893582" w:rsidP="00F970D7">
      <w:pPr>
        <w:pStyle w:val="Heading2"/>
      </w:pPr>
      <w:r w:rsidRPr="0004264F">
        <w:t>Heterogeneity by Subsamples</w:t>
      </w:r>
    </w:p>
    <w:p w14:paraId="762272A2" w14:textId="11EBE57E" w:rsidR="00893582" w:rsidRPr="0004264F" w:rsidRDefault="00893582" w:rsidP="00893582">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In </w:t>
      </w:r>
      <w:r w:rsidRPr="0004264F">
        <w:rPr>
          <w:rFonts w:eastAsiaTheme="minorEastAsia" w:cstheme="majorBidi"/>
          <w:szCs w:val="24"/>
        </w:rPr>
        <w:fldChar w:fldCharType="begin"/>
      </w:r>
      <w:r w:rsidRPr="0004264F">
        <w:rPr>
          <w:rFonts w:eastAsiaTheme="minorEastAsia" w:cstheme="majorBidi"/>
          <w:szCs w:val="24"/>
        </w:rPr>
        <w:instrText xml:space="preserve"> REF _Ref97968173 \n \h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eastAsiaTheme="minorEastAsia" w:cstheme="majorBidi"/>
          <w:szCs w:val="24"/>
        </w:rPr>
        <w:t>Appendix A</w:t>
      </w:r>
      <w:r w:rsidRPr="0004264F">
        <w:rPr>
          <w:rFonts w:eastAsiaTheme="minorEastAsia" w:cstheme="majorBidi"/>
          <w:szCs w:val="24"/>
        </w:rPr>
        <w:fldChar w:fldCharType="end"/>
      </w:r>
      <w:r w:rsidRPr="0004264F">
        <w:rPr>
          <w:rFonts w:eastAsiaTheme="minorEastAsia" w:cstheme="majorBidi"/>
          <w:szCs w:val="24"/>
        </w:rPr>
        <w:t xml:space="preserve">, we replicate the main results across two subpopulations: whites and blacks. We find that </w:t>
      </w:r>
      <w:r w:rsidR="00DE1E56" w:rsidRPr="0004264F">
        <w:rPr>
          <w:rFonts w:eastAsiaTheme="minorEastAsia" w:cstheme="majorBidi"/>
          <w:szCs w:val="24"/>
        </w:rPr>
        <w:t xml:space="preserve">the </w:t>
      </w:r>
      <w:r w:rsidRPr="0004264F">
        <w:rPr>
          <w:rFonts w:eastAsiaTheme="minorEastAsia" w:cstheme="majorBidi"/>
          <w:szCs w:val="24"/>
        </w:rPr>
        <w:t xml:space="preserve">longevity of </w:t>
      </w:r>
      <w:r w:rsidR="00E121FD" w:rsidRPr="0004264F">
        <w:rPr>
          <w:rFonts w:eastAsiaTheme="minorEastAsia" w:cstheme="majorBidi"/>
          <w:szCs w:val="24"/>
        </w:rPr>
        <w:t xml:space="preserve">black people </w:t>
      </w:r>
      <w:r w:rsidR="00DE1E56" w:rsidRPr="0004264F">
        <w:rPr>
          <w:rFonts w:eastAsiaTheme="minorEastAsia" w:cstheme="majorBidi"/>
          <w:szCs w:val="24"/>
        </w:rPr>
        <w:t xml:space="preserve">is </w:t>
      </w:r>
      <w:r w:rsidR="00E121FD" w:rsidRPr="0004264F">
        <w:rPr>
          <w:rFonts w:eastAsiaTheme="minorEastAsia" w:cstheme="majorBidi"/>
          <w:szCs w:val="24"/>
        </w:rPr>
        <w:t xml:space="preserve">more strongly </w:t>
      </w:r>
      <w:r w:rsidRPr="0004264F">
        <w:rPr>
          <w:rFonts w:eastAsiaTheme="minorEastAsia" w:cstheme="majorBidi"/>
          <w:szCs w:val="24"/>
        </w:rPr>
        <w:t xml:space="preserve">connected with economic conditions. The marginal effect of </w:t>
      </w:r>
      <w:r w:rsidR="00E121FD" w:rsidRPr="0004264F">
        <w:rPr>
          <w:rFonts w:eastAsiaTheme="minorEastAsia" w:cstheme="majorBidi"/>
          <w:szCs w:val="24"/>
        </w:rPr>
        <w:t xml:space="preserve">black </w:t>
      </w:r>
      <w:r w:rsidRPr="0004264F">
        <w:rPr>
          <w:rFonts w:eastAsiaTheme="minorEastAsia" w:cstheme="majorBidi"/>
          <w:szCs w:val="24"/>
        </w:rPr>
        <w:t xml:space="preserve">sample is roughly </w:t>
      </w:r>
      <w:r w:rsidR="00E121FD" w:rsidRPr="0004264F">
        <w:rPr>
          <w:rFonts w:eastAsiaTheme="minorEastAsia" w:cstheme="majorBidi"/>
          <w:szCs w:val="24"/>
        </w:rPr>
        <w:t xml:space="preserve">2.5 times that of </w:t>
      </w:r>
      <w:r w:rsidRPr="0004264F">
        <w:rPr>
          <w:rFonts w:eastAsiaTheme="minorEastAsia" w:cstheme="majorBidi"/>
          <w:szCs w:val="24"/>
        </w:rPr>
        <w:t xml:space="preserve">the </w:t>
      </w:r>
      <w:r w:rsidR="00E121FD" w:rsidRPr="0004264F">
        <w:rPr>
          <w:rFonts w:eastAsiaTheme="minorEastAsia" w:cstheme="majorBidi"/>
          <w:szCs w:val="24"/>
        </w:rPr>
        <w:t xml:space="preserve">white sample, although the effects in both samples are significant. </w:t>
      </w:r>
    </w:p>
    <w:p w14:paraId="462858B2" w14:textId="7B135DDE" w:rsidR="008340DD" w:rsidRPr="0004264F" w:rsidRDefault="008340DD" w:rsidP="008340DD">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During the period of the study and specifically for post-1934 years, many counties in </w:t>
      </w:r>
      <w:r w:rsidR="00DE1E56" w:rsidRPr="0004264F">
        <w:rPr>
          <w:rFonts w:eastAsiaTheme="minorEastAsia" w:cstheme="majorBidi"/>
          <w:szCs w:val="24"/>
        </w:rPr>
        <w:t xml:space="preserve">the </w:t>
      </w:r>
      <w:r w:rsidRPr="0004264F">
        <w:rPr>
          <w:rFonts w:eastAsiaTheme="minorEastAsia" w:cstheme="majorBidi"/>
          <w:szCs w:val="24"/>
        </w:rPr>
        <w:t xml:space="preserve">Southern Plains region experienced </w:t>
      </w:r>
      <w:r w:rsidR="00DE1E56" w:rsidRPr="0004264F">
        <w:rPr>
          <w:rFonts w:eastAsiaTheme="minorEastAsia" w:cstheme="majorBidi"/>
          <w:szCs w:val="24"/>
        </w:rPr>
        <w:t xml:space="preserve">the </w:t>
      </w:r>
      <w:r w:rsidRPr="0004264F">
        <w:rPr>
          <w:rFonts w:eastAsiaTheme="minorEastAsia" w:cstheme="majorBidi"/>
          <w:szCs w:val="24"/>
        </w:rPr>
        <w:t xml:space="preserve">Dust Bowl. We examine how the effects vary by Dust Bowl exposure counties in </w:t>
      </w:r>
      <w:r w:rsidRPr="0004264F">
        <w:rPr>
          <w:rFonts w:eastAsiaTheme="minorEastAsia" w:cstheme="majorBidi"/>
          <w:szCs w:val="24"/>
        </w:rPr>
        <w:fldChar w:fldCharType="begin"/>
      </w:r>
      <w:r w:rsidRPr="0004264F">
        <w:rPr>
          <w:rFonts w:eastAsiaTheme="minorEastAsia" w:cstheme="majorBidi"/>
          <w:szCs w:val="24"/>
        </w:rPr>
        <w:instrText xml:space="preserve"> REF _Ref105367045 \n \h </w:instrText>
      </w:r>
      <w:r w:rsidR="00033EB9"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eastAsiaTheme="minorEastAsia" w:cstheme="majorBidi"/>
          <w:szCs w:val="24"/>
        </w:rPr>
        <w:t>Appendix C</w:t>
      </w:r>
      <w:r w:rsidRPr="0004264F">
        <w:rPr>
          <w:rFonts w:eastAsiaTheme="minorEastAsia" w:cstheme="majorBidi"/>
          <w:szCs w:val="24"/>
        </w:rPr>
        <w:fldChar w:fldCharType="end"/>
      </w:r>
      <w:r w:rsidRPr="0004264F">
        <w:rPr>
          <w:rFonts w:eastAsiaTheme="minorEastAsia" w:cstheme="majorBidi"/>
          <w:szCs w:val="24"/>
        </w:rPr>
        <w:t xml:space="preserve">. </w:t>
      </w:r>
      <w:r w:rsidR="00C50545" w:rsidRPr="0004264F">
        <w:rPr>
          <w:rFonts w:eastAsiaTheme="minorEastAsia" w:cstheme="majorBidi"/>
          <w:szCs w:val="24"/>
        </w:rPr>
        <w:t>W</w:t>
      </w:r>
      <w:r w:rsidR="00F916BD" w:rsidRPr="0004264F">
        <w:rPr>
          <w:rFonts w:eastAsiaTheme="minorEastAsia" w:cstheme="majorBidi"/>
          <w:szCs w:val="24"/>
        </w:rPr>
        <w:t xml:space="preserve">e find that for counties exposed to </w:t>
      </w:r>
      <w:r w:rsidR="00DE1E56" w:rsidRPr="0004264F">
        <w:rPr>
          <w:rFonts w:eastAsiaTheme="minorEastAsia" w:cstheme="majorBidi"/>
          <w:szCs w:val="24"/>
        </w:rPr>
        <w:t xml:space="preserve">the </w:t>
      </w:r>
      <w:r w:rsidR="00F916BD" w:rsidRPr="0004264F">
        <w:rPr>
          <w:rFonts w:eastAsiaTheme="minorEastAsia" w:cstheme="majorBidi"/>
          <w:szCs w:val="24"/>
        </w:rPr>
        <w:t xml:space="preserve">Dust Bowl, the correlations are about </w:t>
      </w:r>
      <w:r w:rsidR="00E121FD" w:rsidRPr="0004264F">
        <w:rPr>
          <w:rFonts w:eastAsiaTheme="minorEastAsia" w:cstheme="majorBidi"/>
          <w:szCs w:val="24"/>
        </w:rPr>
        <w:t xml:space="preserve">five </w:t>
      </w:r>
      <w:r w:rsidR="00F916BD" w:rsidRPr="0004264F">
        <w:rPr>
          <w:rFonts w:eastAsiaTheme="minorEastAsia" w:cstheme="majorBidi"/>
          <w:szCs w:val="24"/>
        </w:rPr>
        <w:t>times larger</w:t>
      </w:r>
      <w:r w:rsidR="00DE1E56" w:rsidRPr="0004264F">
        <w:rPr>
          <w:rFonts w:eastAsiaTheme="minorEastAsia" w:cstheme="majorBidi"/>
          <w:szCs w:val="24"/>
        </w:rPr>
        <w:t>,</w:t>
      </w:r>
      <w:r w:rsidR="00F916BD" w:rsidRPr="0004264F">
        <w:rPr>
          <w:rFonts w:eastAsiaTheme="minorEastAsia" w:cstheme="majorBidi"/>
          <w:szCs w:val="24"/>
        </w:rPr>
        <w:t xml:space="preserve"> though statistically insignificant. </w:t>
      </w:r>
      <w:r w:rsidR="00C50545" w:rsidRPr="0004264F">
        <w:rPr>
          <w:rFonts w:eastAsiaTheme="minorEastAsia" w:cstheme="majorBidi"/>
          <w:szCs w:val="24"/>
        </w:rPr>
        <w:t xml:space="preserve">The effect on other counties is almost identical to that of the main results of the paper. </w:t>
      </w:r>
    </w:p>
    <w:p w14:paraId="0705A00C" w14:textId="185FDA06" w:rsidR="00893582" w:rsidRPr="0004264F" w:rsidRDefault="00625D11" w:rsidP="00F970D7">
      <w:pPr>
        <w:pStyle w:val="Heading2"/>
      </w:pPr>
      <w:r w:rsidRPr="0004264F">
        <w:t>Sensitivity to Death Window</w:t>
      </w:r>
      <w:r w:rsidR="00661FCD" w:rsidRPr="0004264F">
        <w:t xml:space="preserve"> and Gender Selection</w:t>
      </w:r>
    </w:p>
    <w:p w14:paraId="64C7596F" w14:textId="4E681085" w:rsidR="00625D11" w:rsidRPr="0004264F" w:rsidRDefault="00661FCD" w:rsidP="00324B27">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The DMF reports death records </w:t>
      </w:r>
      <w:r w:rsidR="001A728B" w:rsidRPr="0004264F">
        <w:rPr>
          <w:rFonts w:eastAsiaTheme="minorEastAsia" w:cstheme="majorBidi"/>
          <w:szCs w:val="24"/>
        </w:rPr>
        <w:t xml:space="preserve">for </w:t>
      </w:r>
      <w:r w:rsidRPr="0004264F">
        <w:rPr>
          <w:rFonts w:eastAsiaTheme="minorEastAsia" w:cstheme="majorBidi"/>
          <w:szCs w:val="24"/>
        </w:rPr>
        <w:t xml:space="preserve">males in </w:t>
      </w:r>
      <w:r w:rsidR="00B61D76" w:rsidRPr="0004264F">
        <w:rPr>
          <w:rFonts w:eastAsiaTheme="minorEastAsia" w:cstheme="majorBidi"/>
          <w:szCs w:val="24"/>
        </w:rPr>
        <w:t xml:space="preserve">the </w:t>
      </w:r>
      <w:r w:rsidRPr="0004264F">
        <w:rPr>
          <w:rFonts w:eastAsiaTheme="minorEastAsia" w:cstheme="majorBidi"/>
          <w:szCs w:val="24"/>
        </w:rPr>
        <w:t xml:space="preserve">years </w:t>
      </w:r>
      <w:r w:rsidR="00793345" w:rsidRPr="0004264F">
        <w:rPr>
          <w:rFonts w:eastAsiaTheme="minorEastAsia" w:cstheme="majorBidi"/>
          <w:szCs w:val="24"/>
        </w:rPr>
        <w:t xml:space="preserve">from </w:t>
      </w:r>
      <w:r w:rsidRPr="0004264F">
        <w:rPr>
          <w:rFonts w:eastAsiaTheme="minorEastAsia" w:cstheme="majorBidi"/>
          <w:szCs w:val="24"/>
        </w:rPr>
        <w:t>1975</w:t>
      </w:r>
      <w:r w:rsidR="00793345" w:rsidRPr="0004264F">
        <w:rPr>
          <w:rFonts w:eastAsiaTheme="minorEastAsia" w:cstheme="majorBidi"/>
          <w:szCs w:val="24"/>
        </w:rPr>
        <w:t xml:space="preserve"> to </w:t>
      </w:r>
      <w:r w:rsidRPr="0004264F">
        <w:rPr>
          <w:rFonts w:eastAsiaTheme="minorEastAsia" w:cstheme="majorBidi"/>
          <w:szCs w:val="24"/>
        </w:rPr>
        <w:t>2005. As an alternative source of data that covers both genders, we use Numident death records of</w:t>
      </w:r>
      <w:r w:rsidR="009D1A2D" w:rsidRPr="0004264F">
        <w:rPr>
          <w:rFonts w:eastAsiaTheme="minorEastAsia" w:cstheme="majorBidi"/>
          <w:szCs w:val="24"/>
        </w:rPr>
        <w:t xml:space="preserve"> the</w:t>
      </w:r>
      <w:r w:rsidRPr="0004264F">
        <w:rPr>
          <w:rFonts w:eastAsiaTheme="minorEastAsia" w:cstheme="majorBidi"/>
          <w:szCs w:val="24"/>
        </w:rPr>
        <w:t xml:space="preserve"> Social Security Administration extracted from </w:t>
      </w:r>
      <w:r w:rsidR="009D1A2D" w:rsidRPr="0004264F">
        <w:rPr>
          <w:rFonts w:eastAsiaTheme="minorEastAsia" w:cstheme="majorBidi"/>
          <w:szCs w:val="24"/>
        </w:rPr>
        <w:t xml:space="preserve">the </w:t>
      </w:r>
      <w:r w:rsidRPr="0004264F">
        <w:rPr>
          <w:rFonts w:eastAsiaTheme="minorEastAsia" w:cstheme="majorBidi"/>
          <w:szCs w:val="24"/>
        </w:rPr>
        <w:t xml:space="preserve">Censoc Project </w:t>
      </w:r>
      <w:r w:rsidRPr="0004264F">
        <w:rPr>
          <w:rFonts w:eastAsiaTheme="minorEastAsia" w:cstheme="majorBidi"/>
          <w:szCs w:val="24"/>
        </w:rPr>
        <w:fldChar w:fldCharType="begin" w:fldLock="1"/>
      </w:r>
      <w:r w:rsidR="00E87B4E" w:rsidRPr="0004264F">
        <w:rPr>
          <w:rFonts w:eastAsiaTheme="minorEastAsia" w:cstheme="majorBidi"/>
          <w:szCs w:val="24"/>
        </w:rPr>
        <w:instrText>ADDIN CSL_CITATION {"citationItems":[{"id":"ITEM-1","itemData":{"author":[{"dropping-particle":"","family":"Goldstein","given":"Joshua R","non-dropping-particle":"","parse-names":false,"suffix":""},{"dropping-particle":"","family":"Alexander","given":"Monica","non-dropping-particle":"","parse-names":false,"suffix":""},{"dropping-particle":"","family":"Breen","given":"Casey","non-dropping-particle":"","parse-names":false,"suffix":""},{"dropping-particle":"","family":"Miranda González","given":"Andrea","non-dropping-particle":"","parse-names":false,"suffix":""},{"dropping-particle":"","family":"Menares","given":"Felipe","non-dropping-particle":"","parse-names":false,"suffix":""},{"dropping-particle":"","family":"Osborne","given":"Maria","non-dropping-particle":"","parse-names":false,"suffix":""},{"dropping-particle":"","family":"Snyder","given":"Mallika","non-dropping-particle":"","parse-names":false,"suffix":""},{"dropping-particle":"","family":"Yildirim","given":"Ugur","non-dropping-particle":"","parse-names":false,"suffix":""}],"container-title":"CenSoc Mortality File: Version 2.0. Berkeley: University of California","id":"ITEM-1","issued":{"date-parts":[["2021"]]},"title":"Censoc Project","type":"article"},"uris":["http://www.mendeley.com/documents/?uuid=481fa735-9363-31bd-b3db-032f703eb989"]}],"mendeley":{"formattedCitation":"(Goldstein et al., 2021)","plainTextFormattedCitation":"(Goldstein et al., 2021)","previouslyFormattedCitation":"(Goldstein et al., 2021)"},"properties":{"noteIndex":0},"schema":"https://github.com/citation-style-language/schema/raw/master/csl-citation.json"}</w:instrText>
      </w:r>
      <w:r w:rsidRPr="0004264F">
        <w:rPr>
          <w:rFonts w:eastAsiaTheme="minorEastAsia" w:cstheme="majorBidi"/>
          <w:szCs w:val="24"/>
        </w:rPr>
        <w:fldChar w:fldCharType="separate"/>
      </w:r>
      <w:r w:rsidRPr="0004264F">
        <w:rPr>
          <w:rFonts w:eastAsiaTheme="minorEastAsia" w:cstheme="majorBidi"/>
          <w:noProof/>
          <w:szCs w:val="24"/>
        </w:rPr>
        <w:t>(Goldstein et al., 2021)</w:t>
      </w:r>
      <w:r w:rsidRPr="0004264F">
        <w:rPr>
          <w:rFonts w:eastAsiaTheme="minorEastAsia" w:cstheme="majorBidi"/>
          <w:szCs w:val="24"/>
        </w:rPr>
        <w:fldChar w:fldCharType="end"/>
      </w:r>
      <w:r w:rsidRPr="0004264F">
        <w:rPr>
          <w:rFonts w:eastAsiaTheme="minorEastAsia" w:cstheme="majorBidi"/>
          <w:szCs w:val="24"/>
        </w:rPr>
        <w:t xml:space="preserve">. Numident is also linked to the 1940 census but reports </w:t>
      </w:r>
      <w:r w:rsidR="007A4B77" w:rsidRPr="0004264F">
        <w:rPr>
          <w:rFonts w:eastAsiaTheme="minorEastAsia" w:cstheme="majorBidi"/>
          <w:szCs w:val="24"/>
        </w:rPr>
        <w:t xml:space="preserve">the </w:t>
      </w:r>
      <w:r w:rsidRPr="0004264F">
        <w:rPr>
          <w:rFonts w:eastAsiaTheme="minorEastAsia" w:cstheme="majorBidi"/>
          <w:szCs w:val="24"/>
        </w:rPr>
        <w:t xml:space="preserve">death to both females and males for death years 1988-2005. We explore </w:t>
      </w:r>
      <w:r w:rsidR="009D1A2D" w:rsidRPr="0004264F">
        <w:rPr>
          <w:rFonts w:eastAsiaTheme="minorEastAsia" w:cstheme="majorBidi"/>
          <w:szCs w:val="24"/>
        </w:rPr>
        <w:t xml:space="preserve">whether </w:t>
      </w:r>
      <w:r w:rsidRPr="0004264F">
        <w:rPr>
          <w:rFonts w:eastAsiaTheme="minorEastAsia" w:cstheme="majorBidi"/>
          <w:szCs w:val="24"/>
        </w:rPr>
        <w:t xml:space="preserve">the results are sensitive to gender selection and death selection of DMF in </w:t>
      </w:r>
      <w:r w:rsidRPr="0004264F">
        <w:rPr>
          <w:rFonts w:eastAsiaTheme="minorEastAsia" w:cstheme="majorBidi"/>
          <w:szCs w:val="24"/>
        </w:rPr>
        <w:fldChar w:fldCharType="begin"/>
      </w:r>
      <w:r w:rsidRPr="0004264F">
        <w:rPr>
          <w:rFonts w:eastAsiaTheme="minorEastAsia" w:cstheme="majorBidi"/>
          <w:szCs w:val="24"/>
        </w:rPr>
        <w:instrText xml:space="preserve"> REF _Ref105368166 \n \h </w:instrText>
      </w:r>
      <w:r w:rsidR="00033EB9"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eastAsiaTheme="minorEastAsia" w:cstheme="majorBidi"/>
          <w:szCs w:val="24"/>
        </w:rPr>
        <w:t>Appendix B</w:t>
      </w:r>
      <w:r w:rsidRPr="0004264F">
        <w:rPr>
          <w:rFonts w:eastAsiaTheme="minorEastAsia" w:cstheme="majorBidi"/>
          <w:szCs w:val="24"/>
        </w:rPr>
        <w:fldChar w:fldCharType="end"/>
      </w:r>
      <w:r w:rsidRPr="0004264F">
        <w:rPr>
          <w:rFonts w:eastAsiaTheme="minorEastAsia" w:cstheme="majorBidi"/>
          <w:szCs w:val="24"/>
        </w:rPr>
        <w:t xml:space="preserve">. We show that when we restrict the sample to Numident death years (i.e., 1988-2005) the effect drops by about </w:t>
      </w:r>
      <w:r w:rsidR="00E121FD" w:rsidRPr="0004264F">
        <w:rPr>
          <w:rFonts w:eastAsiaTheme="minorEastAsia" w:cstheme="majorBidi"/>
          <w:szCs w:val="24"/>
        </w:rPr>
        <w:t xml:space="preserve">65 </w:t>
      </w:r>
      <w:r w:rsidRPr="0004264F">
        <w:rPr>
          <w:rFonts w:eastAsiaTheme="minorEastAsia" w:cstheme="majorBidi"/>
          <w:szCs w:val="24"/>
        </w:rPr>
        <w:t xml:space="preserve">percent (column 2 of </w:t>
      </w:r>
      <w:r w:rsidRPr="0004264F">
        <w:rPr>
          <w:rFonts w:eastAsiaTheme="minorEastAsia" w:cstheme="majorBidi"/>
          <w:szCs w:val="24"/>
        </w:rPr>
        <w:fldChar w:fldCharType="begin"/>
      </w:r>
      <w:r w:rsidRPr="0004264F">
        <w:rPr>
          <w:rFonts w:eastAsiaTheme="minorEastAsia" w:cstheme="majorBidi"/>
          <w:szCs w:val="24"/>
        </w:rPr>
        <w:instrText xml:space="preserve"> REF _Ref105368270 \h </w:instrText>
      </w:r>
      <w:r w:rsidR="00033EB9"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cstheme="majorBidi"/>
        </w:rPr>
        <w:t xml:space="preserve">Appendix Table </w:t>
      </w:r>
      <w:r w:rsidR="00CA5B9D" w:rsidRPr="0004264F">
        <w:rPr>
          <w:rFonts w:cstheme="majorBidi"/>
          <w:noProof/>
        </w:rPr>
        <w:t>B</w:t>
      </w:r>
      <w:r w:rsidR="00CA5B9D" w:rsidRPr="0004264F">
        <w:rPr>
          <w:rFonts w:cstheme="majorBidi"/>
          <w:noProof/>
        </w:rPr>
        <w:noBreakHyphen/>
        <w:t>1</w:t>
      </w:r>
      <w:r w:rsidRPr="0004264F">
        <w:rPr>
          <w:rFonts w:eastAsiaTheme="minorEastAsia" w:cstheme="majorBidi"/>
          <w:szCs w:val="24"/>
        </w:rPr>
        <w:fldChar w:fldCharType="end"/>
      </w:r>
      <w:r w:rsidRPr="0004264F">
        <w:rPr>
          <w:rFonts w:eastAsiaTheme="minorEastAsia" w:cstheme="majorBidi"/>
          <w:szCs w:val="24"/>
        </w:rPr>
        <w:t xml:space="preserve">). This is quite comparable to the Numident results (column 5 of </w:t>
      </w:r>
      <w:r w:rsidRPr="0004264F">
        <w:rPr>
          <w:rFonts w:eastAsiaTheme="minorEastAsia" w:cstheme="majorBidi"/>
          <w:szCs w:val="24"/>
        </w:rPr>
        <w:fldChar w:fldCharType="begin"/>
      </w:r>
      <w:r w:rsidRPr="0004264F">
        <w:rPr>
          <w:rFonts w:eastAsiaTheme="minorEastAsia" w:cstheme="majorBidi"/>
          <w:szCs w:val="24"/>
        </w:rPr>
        <w:instrText xml:space="preserve"> REF _Ref105368270 \h </w:instrText>
      </w:r>
      <w:r w:rsidR="00033EB9"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cstheme="majorBidi"/>
        </w:rPr>
        <w:t xml:space="preserve">Appendix Table </w:t>
      </w:r>
      <w:r w:rsidR="00CA5B9D" w:rsidRPr="0004264F">
        <w:rPr>
          <w:rFonts w:cstheme="majorBidi"/>
          <w:noProof/>
        </w:rPr>
        <w:t>B</w:t>
      </w:r>
      <w:r w:rsidR="00CA5B9D" w:rsidRPr="0004264F">
        <w:rPr>
          <w:rFonts w:cstheme="majorBidi"/>
          <w:noProof/>
        </w:rPr>
        <w:noBreakHyphen/>
        <w:t>1</w:t>
      </w:r>
      <w:r w:rsidRPr="0004264F">
        <w:rPr>
          <w:rFonts w:eastAsiaTheme="minorEastAsia" w:cstheme="majorBidi"/>
          <w:szCs w:val="24"/>
        </w:rPr>
        <w:fldChar w:fldCharType="end"/>
      </w:r>
      <w:r w:rsidRPr="0004264F">
        <w:rPr>
          <w:rFonts w:eastAsiaTheme="minorEastAsia" w:cstheme="majorBidi"/>
          <w:szCs w:val="24"/>
        </w:rPr>
        <w:t xml:space="preserve">). Therefore, the effects are larger as we expand </w:t>
      </w:r>
      <w:r w:rsidR="009D1A2D" w:rsidRPr="0004264F">
        <w:rPr>
          <w:rFonts w:eastAsiaTheme="minorEastAsia" w:cstheme="majorBidi"/>
          <w:szCs w:val="24"/>
        </w:rPr>
        <w:t xml:space="preserve">the </w:t>
      </w:r>
      <w:r w:rsidRPr="0004264F">
        <w:rPr>
          <w:rFonts w:eastAsiaTheme="minorEastAsia" w:cstheme="majorBidi"/>
          <w:szCs w:val="24"/>
        </w:rPr>
        <w:t>death window to cover earlier deaths</w:t>
      </w:r>
      <w:r w:rsidR="0026471B" w:rsidRPr="0004264F">
        <w:rPr>
          <w:rFonts w:eastAsiaTheme="minorEastAsia" w:cstheme="majorBidi"/>
          <w:szCs w:val="24"/>
        </w:rPr>
        <w:t xml:space="preserve">, suggesting that the Great Depression accelerated the </w:t>
      </w:r>
      <w:r w:rsidR="00D123FC" w:rsidRPr="0004264F">
        <w:rPr>
          <w:rFonts w:eastAsiaTheme="minorEastAsia" w:cstheme="majorBidi"/>
          <w:szCs w:val="24"/>
        </w:rPr>
        <w:t xml:space="preserve">age </w:t>
      </w:r>
      <w:r w:rsidR="0026471B" w:rsidRPr="0004264F">
        <w:rPr>
          <w:rFonts w:eastAsiaTheme="minorEastAsia" w:cstheme="majorBidi"/>
          <w:szCs w:val="24"/>
        </w:rPr>
        <w:t>of mortality</w:t>
      </w:r>
      <w:r w:rsidRPr="0004264F">
        <w:rPr>
          <w:rFonts w:eastAsiaTheme="minorEastAsia" w:cstheme="majorBidi"/>
          <w:szCs w:val="24"/>
        </w:rPr>
        <w:t xml:space="preserve">. </w:t>
      </w:r>
    </w:p>
    <w:p w14:paraId="2E3489B2" w14:textId="08A72B56" w:rsidR="00661FCD" w:rsidRPr="0004264F" w:rsidRDefault="00661FCD" w:rsidP="00324B27">
      <w:pPr>
        <w:spacing w:before="60" w:after="60" w:line="480" w:lineRule="auto"/>
        <w:ind w:firstLine="720"/>
        <w:jc w:val="both"/>
        <w:rPr>
          <w:rFonts w:eastAsiaTheme="minorEastAsia" w:cstheme="majorBidi"/>
          <w:szCs w:val="24"/>
        </w:rPr>
      </w:pPr>
      <w:r w:rsidRPr="0004264F">
        <w:rPr>
          <w:rFonts w:eastAsiaTheme="minorEastAsia" w:cstheme="majorBidi"/>
          <w:szCs w:val="24"/>
        </w:rPr>
        <w:lastRenderedPageBreak/>
        <w:t xml:space="preserve">Looking at </w:t>
      </w:r>
      <w:r w:rsidR="009D1A2D" w:rsidRPr="0004264F">
        <w:rPr>
          <w:rFonts w:eastAsiaTheme="minorEastAsia" w:cstheme="majorBidi"/>
          <w:szCs w:val="24"/>
        </w:rPr>
        <w:t xml:space="preserve">the </w:t>
      </w:r>
      <w:r w:rsidRPr="0004264F">
        <w:rPr>
          <w:rFonts w:eastAsiaTheme="minorEastAsia" w:cstheme="majorBidi"/>
          <w:szCs w:val="24"/>
        </w:rPr>
        <w:t>male subsample of Numident reveal</w:t>
      </w:r>
      <w:r w:rsidR="00D401EC" w:rsidRPr="0004264F">
        <w:rPr>
          <w:rFonts w:eastAsiaTheme="minorEastAsia" w:cstheme="majorBidi"/>
          <w:szCs w:val="24"/>
        </w:rPr>
        <w:t>s</w:t>
      </w:r>
      <w:r w:rsidRPr="0004264F">
        <w:rPr>
          <w:rFonts w:eastAsiaTheme="minorEastAsia" w:cstheme="majorBidi"/>
          <w:szCs w:val="24"/>
        </w:rPr>
        <w:t xml:space="preserve"> an effect of </w:t>
      </w:r>
      <w:r w:rsidR="00E121FD" w:rsidRPr="0004264F">
        <w:rPr>
          <w:rFonts w:eastAsiaTheme="minorEastAsia" w:cstheme="majorBidi"/>
          <w:szCs w:val="24"/>
        </w:rPr>
        <w:t>0.8</w:t>
      </w:r>
      <w:r w:rsidRPr="0004264F">
        <w:rPr>
          <w:rFonts w:eastAsiaTheme="minorEastAsia" w:cstheme="majorBidi"/>
          <w:szCs w:val="24"/>
        </w:rPr>
        <w:t xml:space="preserve"> months while the female subsample </w:t>
      </w:r>
      <w:r w:rsidR="00C8104C" w:rsidRPr="0004264F">
        <w:rPr>
          <w:rFonts w:eastAsiaTheme="minorEastAsia" w:cstheme="majorBidi"/>
          <w:szCs w:val="24"/>
        </w:rPr>
        <w:t>suggests</w:t>
      </w:r>
      <w:r w:rsidRPr="0004264F">
        <w:rPr>
          <w:rFonts w:eastAsiaTheme="minorEastAsia" w:cstheme="majorBidi"/>
          <w:szCs w:val="24"/>
        </w:rPr>
        <w:t xml:space="preserve"> an insignificant effect of 0.2. Therefore, the results are primarily driven by males</w:t>
      </w:r>
      <w:r w:rsidR="009D1A2D" w:rsidRPr="0004264F">
        <w:rPr>
          <w:rFonts w:eastAsiaTheme="minorEastAsia" w:cstheme="majorBidi"/>
          <w:szCs w:val="24"/>
        </w:rPr>
        <w:t>,</w:t>
      </w:r>
      <w:r w:rsidRPr="0004264F">
        <w:rPr>
          <w:rFonts w:eastAsiaTheme="minorEastAsia" w:cstheme="majorBidi"/>
          <w:szCs w:val="24"/>
        </w:rPr>
        <w:t xml:space="preserve"> suggesting that early-life economic conditions are more relevant </w:t>
      </w:r>
      <w:r w:rsidR="00FA3C2B" w:rsidRPr="0004264F">
        <w:rPr>
          <w:rFonts w:eastAsiaTheme="minorEastAsia" w:cstheme="majorBidi"/>
          <w:szCs w:val="24"/>
        </w:rPr>
        <w:t>to</w:t>
      </w:r>
      <w:r w:rsidRPr="0004264F">
        <w:rPr>
          <w:rFonts w:eastAsiaTheme="minorEastAsia" w:cstheme="majorBidi"/>
          <w:szCs w:val="24"/>
        </w:rPr>
        <w:t xml:space="preserve"> </w:t>
      </w:r>
      <w:r w:rsidR="009D1A2D" w:rsidRPr="0004264F">
        <w:rPr>
          <w:rFonts w:eastAsiaTheme="minorEastAsia" w:cstheme="majorBidi"/>
          <w:szCs w:val="24"/>
        </w:rPr>
        <w:t>th</w:t>
      </w:r>
      <w:r w:rsidR="00C52417" w:rsidRPr="0004264F">
        <w:rPr>
          <w:rFonts w:eastAsiaTheme="minorEastAsia" w:cstheme="majorBidi"/>
          <w:szCs w:val="24"/>
        </w:rPr>
        <w:t>e</w:t>
      </w:r>
      <w:r w:rsidR="009D1A2D" w:rsidRPr="0004264F">
        <w:rPr>
          <w:rFonts w:eastAsiaTheme="minorEastAsia" w:cstheme="majorBidi"/>
          <w:szCs w:val="24"/>
        </w:rPr>
        <w:t xml:space="preserve"> </w:t>
      </w:r>
      <w:r w:rsidRPr="0004264F">
        <w:rPr>
          <w:rFonts w:eastAsiaTheme="minorEastAsia" w:cstheme="majorBidi"/>
          <w:szCs w:val="24"/>
        </w:rPr>
        <w:t>health of male</w:t>
      </w:r>
      <w:r w:rsidR="009D1A2D" w:rsidRPr="0004264F">
        <w:rPr>
          <w:rFonts w:eastAsiaTheme="minorEastAsia" w:cstheme="majorBidi"/>
          <w:szCs w:val="24"/>
        </w:rPr>
        <w:t>s</w:t>
      </w:r>
      <w:r w:rsidRPr="0004264F">
        <w:rPr>
          <w:rFonts w:eastAsiaTheme="minorEastAsia" w:cstheme="majorBidi"/>
          <w:szCs w:val="24"/>
        </w:rPr>
        <w:t xml:space="preserve"> than females.</w:t>
      </w:r>
      <w:r w:rsidR="00E121FD" w:rsidRPr="0004264F">
        <w:rPr>
          <w:rFonts w:eastAsiaTheme="minorEastAsia" w:cstheme="majorBidi"/>
          <w:szCs w:val="24"/>
        </w:rPr>
        <w:t xml:space="preserve"> This fact is in line with studies that show the exposures in early-life are more impactful for males </w:t>
      </w:r>
      <w:r w:rsidR="00675F39" w:rsidRPr="0004264F">
        <w:rPr>
          <w:rFonts w:eastAsiaTheme="minorEastAsia" w:cstheme="majorBidi"/>
          <w:szCs w:val="24"/>
        </w:rPr>
        <w:fldChar w:fldCharType="begin" w:fldLock="1"/>
      </w:r>
      <w:r w:rsidR="00821F25" w:rsidRPr="0004264F">
        <w:rPr>
          <w:rFonts w:eastAsiaTheme="minorEastAsia" w:cstheme="majorBidi"/>
          <w:szCs w:val="24"/>
        </w:rPr>
        <w:instrText>ADDIN CSL_CITATION {"citationItems":[{"id":"ITEM-1","itemData":{"DOI":"10.1016/J.EHB.2020.100964","ISSN":"1570-677X","PMID":"33493867","abstract":"We consider the effects of major prenatal economic shocks experienced by mothers on two indicators of newborn-infant health, birth weight and head circumference, using detailed microdata from the UK ALSPAC survey. Controlling for physiological and socioeconomic factors, an economic shock in the first 18 weeks of gestation lowers birth weight by 40–70 g and head circumference by 2–3 mm. We find evidence of transmission via poorer maternal health due to absolute material deprivation and tobacco and alcohol consumption, but not for the endocrinological effects of increased psychosocial anxiety. The fragile-male hypothesis holds for birth weight but not for head circumference, as predicted by recent theories on gender differences in prenatal development.","author":[{"dropping-particle":"","family":"Clark","given":"Andrew E.","non-dropping-particle":"","parse-names":false,"suffix":""},{"dropping-particle":"","family":"D'Ambrosio","given":"Conchita","non-dropping-particle":"","parse-names":false,"suffix":""},{"dropping-particle":"","family":"Rohde","given":"Nicholas","non-dropping-particle":"","parse-names":false,"suffix":""}],"container-title":"Economics &amp; Human Biology","id":"ITEM-1","issued":{"date-parts":[["2021","5","1"]]},"page":"100964","publisher":"North-Holland","title":"Prenatal economic shocks and birth outcomes in UK cohort data","type":"article-journal","volume":"41"},"uris":["http://www.mendeley.com/documents/?uuid=23edc648-1132-3656-b4c4-173bc0f19bda"]},{"id":"ITEM-2","itemData":{"DOI":"10.1080/10253890.2019.1608944/SUPPL_FILE/ISTS_A_1608944_SM4672.DOCX","ISSN":"16078888","PMID":"31057018","abstract":"Maternal psychosocial stress can negatively impact gestational length and development of the fetus. These effects may be sex-specific but have not been extensively studied. The objective of this study was to examine the associations between prenatal maternal stress and birth outcomes and whether effects are modified by sex. Prenatal maternal stress was indexed by a maternal negative life events (NLEs) score ascertained in 527 urban mothers; a higher NLE score indicates greater stress. Birth outcomes included gestational age, preterm birth (PTB) (&lt;37 weeks), and birthweight for gestational age z-scores. Modified Poisson regression and linear models were used to evaluate associations of prenatal NLE scores with birth outcomes. Sex differences were assessed by inclusion of an interaction term for sex by NLE score and in sex-stratified analyses. In analyses adjusted for maternal age, education, race/ethnicity, and pre-pregnancy body mass index (BMI), increasing prenatal stress was associated with shortened gestational age (days) (β = −0.63, [95% CI −1.20, −0.06]). This effect was sex specific, with increasing prenatal stress associated with shortened gestational age, as well as increased risk of PTB, in male infants (β = −1.35 [95% CI −2.17, −0.54] and RR = 1.18 [95% CI 0.99, 1.42], respectively) but not female infants (β = 0.15 [95%CI −0.63, 0.94] and RR = 0.85, [95%CI 0.65, 1.11], respectively). Prenatal stress was not associated with birthweight z-scores. Our results support the importance of psychosocial stress as a programming factor that may have sex-specific effects for adverse fetal outcomes. Understanding sex-specific effects of prenatal stress on birth outcomes may inform prevention strategies. LAY SUMMARY Higher stress experienced by mothers in pregnancy was associated with shorter length of pregnancy and the effect was stronger in male infants when compared to female infants.","author":[{"dropping-particle":"","family":"Rosa","given":"Maria José","non-dropping-particle":"","parse-names":false,"suffix":""},{"dropping-particle":"","family":"Nentin","given":"Farida","non-dropping-particle":"","parse-names":false,"suffix":""},{"dropping-particle":"","family":"Bosquet Enlow","given":"Michelle","non-dropping-particle":"","parse-names":false,"suffix":""},{"dropping-particle":"","family":"Hacker","given":"Michele R.","non-dropping-particle":"","parse-names":false,"suffix":""},{"dropping-particle":"","family":"Pollas","given":"Nastasia","non-dropping-particle":"","parse-names":false,"suffix":""},{"dropping-particle":"","family":"Coull","given":"Brent","non-dropping-particle":"","parse-names":false,"suffix":""},{"dropping-particle":"","family":"Wright","given":"Rosalind J.","non-dropping-particle":"","parse-names":false,"suffix":""}],"container-title":"Stress","id":"ITEM-2","issue":"6","issued":{"date-parts":[["2019","11","2"]]},"page":"647-653","publisher":"Taylor and Francis Ltd","title":"Sex-specific associations between prenatal negative life events and birth outcomes","type":"article-journal","volume":"22"},"uris":["http://www.mendeley.com/documents/?uuid=13beb678-0b36-3b2d-ad2a-6abd0e8a6e21"]},{"id":"ITEM-3","itemData":{"DOI":"10.1111/J.1365-2826.2008.01669.X","ISSN":"1365-2826","PMID":"18266938","abstract":"Prenatal exposure to alcohol has adverse effects on offspring neuroendocrine and behavioural functions. Alcohol readily crosses the placenta, thus directly affecting developing foetal endocrine organs. In addition, alcohol-induced changes in maternal endocrine function can disrupt the normal hormonal interactions between the pregnant female and foetal systems, altering the normal hormone balance and, indirectly, affecting the development of foetal metabolic, physiological and endocrine functions. The present review focuses on the adverse effects of prenatal alcohol exposure on offspring neuroendocrine function, with particular emphasis on the hypothalamic-pituitary-adrenal (HPA) axis, a key player in the stress response. The HPA axis is highly susceptible to programming during foetal and neonatal development. Here, we review data demonstrating that alcohol exposure in utero programmes the foetal HPA axis such that HPA tone is increased throughout life. Importantly, we show that, although alterations in HPA responsiveness and regulation are robust phenomena, occurring in both male and female offspring, sexually dimorphic effects of alcohol are frequently observed. We present updated findings on possible mechanisms underlying differential effects of alcohol on male and female offspring, with special emphasis on effects at different levels of the HPA axis, and on modulatory influences of the hypothalamic-pituitary-gonadal hormones and serotonin. Finally, possible mechanisms underlying foetal programming of the HPA axis, and the long-term implications of increased exposure to endogenous glucocorticoids for offspring vulnerability to illnesses or disorders later in life are discussed. © Journal compilation © 2008 Blackwell Publishing.","author":[{"dropping-particle":"","family":"Weinberg","given":"Joanne","non-dropping-particle":"","parse-names":false,"suffix":""},{"dropping-particle":"","family":"Sliwowska","given":"J. H.","non-dropping-particle":"","parse-names":false,"suffix":""},{"dropping-particle":"","family":"Lan","given":"N.","non-dropping-particle":"","parse-names":false,"suffix":""},{"dropping-particle":"","family":"Hellemans","given":"K. G.C.","non-dropping-particle":"","parse-names":false,"suffix":""}],"container-title":"Journal of Neuroendocrinology","id":"ITEM-3","issue":"4","issued":{"date-parts":[["2008","4","1"]]},"page":"470-488","publisher":"John Wiley &amp; Sons, Ltd","title":"Prenatal Alcohol Exposure: Foetal Programming, the Hypothalamic-Pituitary-Adrenal Axis and Sex Differences in Outcome","type":"article-journal","volume":"20"},"uris":["http://www.mendeley.com/documents/?uuid=17fb7547-11ec-36eb-ad67-04e5391f5e34"]},{"id":"ITEM-4","itemData":{"DOI":"10.1093/AJE/KWQ383","ISSN":"0002-9262","PMID":"21190988","abstract":"Arsenic in drinking water causes increased mortality from several cancers, ischemic heart disease, bronchiectasis, and other diseases. This paper presents the first evidence relating arsenic exposure to pulmonary tuberculosis, by estimating mortality rate ratios for Region II of Chile compared with Region V for the years 1958-2000. The authors compared mortality rate ratios with time patterns of arsenic exposure, which increased abruptly in 1958 in Region II and then declined starting in 1971. Tuberculosis mortality rate ratios in men started increasing in 1968, 10 years after high arsenic exposure commenced. The peak male 5-year mortality rate ratio occurred during 1982-1986 (rate ratio = 2.1, 95% confidence interval: 1.7, 2.6; P &lt; 0.001) and subsequently declined. Mortality rates in women were also elevated but with fewer excess pulmonary tuberculosis deaths (359 among men and 95 among women). The clear rise and fall of tuberculosis mortality rate ratios in men following high arsenic exposure are consistent with a causal relation. The findings are biologically plausible in view of evidence that arsenic is an immunosuppressant and also a cause of chronic lung disease. Finding weaker associations in women is unsurprising, because this is true of most arsenic-caused health effects. Confirmatory evidence is needed from other arsenic-exposed populations. © 2011 The Author.","author":[{"dropping-particle":"","family":"Smith","given":"Allan H.","non-dropping-particle":"","parse-names":false,"suffix":""},{"dropping-particle":"","family":"Marshall","given":"Guillermo","non-dropping-particle":"","parse-names":false,"suffix":""},{"dropping-particle":"","family":"Yuan","given":"Yan","non-dropping-particle":"","parse-names":false,"suffix":""},{"dropping-particle":"","family":"Liaw","given":"Jane","non-dropping-particle":"","parse-names":false,"suffix":""},{"dropping-particle":"","family":"Ferreccio","given":"Catterina","non-dropping-particle":"","parse-names":false,"suffix":""},{"dropping-particle":"","family":"Steinmaus","given":"Craig","non-dropping-particle":"","parse-names":false,"suffix":""}],"container-title":"American Journal of Epidemiology","id":"ITEM-4","issue":"4","issued":{"date-parts":[["2011","2","15"]]},"page":"414-420","publisher":"Oxford Academic","title":"Evidence From Chile That Arsenic in Drinking Water May Increase Mortality From Pulmonary Tuberculosis","type":"article-journal","volume":"173"},"uris":["http://www.mendeley.com/documents/?uuid=006699b1-528f-39d1-9ae0-6a90b16dd04e"]},{"id":"ITEM-5","itemData":{"DOI":"10.1016/J.ENVPOL.2017.03.031","ISSN":"0269-7491","PMID":"28371734","abstract":"Studies on the associations between prenatal lead exposure and birth outcomes have been inconsistent, and few data are available on the sex differences in these associations. We measured the cord blood lead levels of newborns in Shanghai and determined their associations with birth outcomes, which included birth weight, birth length, head circumference, and the ponderal index, in the total sample and within sex subgroups. A total of 1009 mother-infant pairs were enrolled from 10 hospitals in Shanghai between September 2008 and October 2009. The geometric mean of the cord blood lead concentrations was 4.07 μg/dl (95% CI3.98–4.17 μg/dl). A significant inverse association was found between cord blood lead levels and head circumference only in the male subgroup, and increasing cord blood lead levels were related to significant decreases in the ponderal index only in females. The birth weights of the male infants were positively associated with cord blood lead levels; after adjusting for the maternal intake frequency of preserved eggs, the estimated mean differences in birth weights decreased by 11.7% for each 1-unit increase in the log10-transformed cord blood lead concentration. Our findings suggest that prenatal lead exposure may have sex-specific effects on birth outcomes and that maternal dietary intake may be a potential confounder in these relationships. Further studies on this topic are highly warranted.","author":[{"dropping-particle":"","family":"Wang","given":"Ju","non-dropping-particle":"","parse-names":false,"suffix":""},{"dropping-particle":"","family":"Gao","given":"Zhen Yan","non-dropping-particle":"","parse-names":false,"suffix":""},{"dropping-particle":"","family":"Yan","given":"Jin","non-dropping-particle":"","parse-names":false,"suffix":""},{"dropping-particle":"","family":"Ying","given":"Xiao Lan","non-dropping-particle":"","parse-names":false,"suffix":""},{"dropping-particle":"","family":"Tong","given":"Shi Lu","non-dropping-particle":"","parse-names":false,"suffix":""},{"dropping-particle":"","family":"Yan","given":"Chong Huai","non-dropping-particle":"","parse-names":false,"suffix":""}],"container-title":"Environmental Pollution","id":"ITEM-5","issued":{"date-parts":[["2017","6","1"]]},"page":"193-200","publisher":"Elsevier","title":"Sex differences in the effects of prenatal lead exposure on birth outcomes","type":"article-journal","volume":"225"},"uris":["http://www.mendeley.com/documents/?uuid=7f5706d5-f3b5-3735-85eb-79b1f9c8573c"]},{"id":"ITEM-6","itemData":{"DOI":"10.1016/J.EHB.2019.03.001","ISSN":"1570-677X","PMID":"30913446","abstract":"Surface soil contamination has been long recognized as an important pathway of human lead exposure, and is now a worldwide health concern. This study estimates the causal effects of exposure to lead in topsoil on cognitive ability among 5-year-old children. We draw on individual level data from the 2000 U.S. Census, and USGS data on lead in topsoil covering a broad set of counties across the United States. Using an instrumental variable approach relying on the 1944 Interstate Highway System Plan, we find that higher lead in topsoil increases considerably the probability of 5-year-old boys experiencing cognitive difficulties such as learning, remembering, concentrating, or making decisions. Living in counties with topsoil lead concentration above the national median roughly doubles the probability of 5-year-old boys having cognitive difficulties. Nevertheless, it does not seem to affect 5-year-old girls, consistent with previous studies. Importantly, the adverse effects of lead exposure on boys are found even in counties with levels of topsoil lead concentration considered low by the guidelines from the U.S. EPA and state agencies. These findings are concerning because they suggest that legacy lead may continue to impair cognition today, both in the United States and in other countries that have considerable lead deposition in topsoil.","author":[{"dropping-particle":"","family":"Clay","given":"Karen","non-dropping-particle":"","parse-names":false,"suffix":""},{"dropping-particle":"","family":"Portnykh","given":"Margarita","non-dropping-particle":"","parse-names":false,"suffix":""},{"dropping-particle":"","family":"Severnini","given":"Edson","non-dropping-particle":"","parse-names":false,"suffix":""}],"container-title":"Economics &amp; Human Biology","id":"ITEM-6","issued":{"date-parts":[["2019","5","1"]]},"page":"181-192","publisher":"North-Holland","title":"The legacy lead deposition in soils and its impact on cognitive function in preschool-aged children in the United States","type":"article-journal","volume":"33"},"uris":["http://www.mendeley.com/documents/?uuid=c993ca61-1909-3f2a-99d9-15fe3418552e"]}],"mendeley":{"formattedCitation":"(Clark et al., 2021; Clay et al., 2019; Rosa et al., 2019; Smith et al., 2011; Wang et al., 2017; Weinberg et al., 2008)","plainTextFormattedCitation":"(Clark et al., 2021; Clay et al., 2019; Rosa et al., 2019; Smith et al., 2011; Wang et al., 2017; Weinberg et al., 2008)","previouslyFormattedCitation":"(Clark et al., 2021; Clay et al., 2019; Rosa et al., 2019; Smith et al., 2011; Wang et al., 2017; Weinberg et al., 2008)"},"properties":{"noteIndex":0},"schema":"https://github.com/citation-style-language/schema/raw/master/csl-citation.json"}</w:instrText>
      </w:r>
      <w:r w:rsidR="00675F39" w:rsidRPr="0004264F">
        <w:rPr>
          <w:rFonts w:eastAsiaTheme="minorEastAsia" w:cstheme="majorBidi"/>
          <w:szCs w:val="24"/>
        </w:rPr>
        <w:fldChar w:fldCharType="separate"/>
      </w:r>
      <w:r w:rsidR="00675F39" w:rsidRPr="0004264F">
        <w:rPr>
          <w:rFonts w:eastAsiaTheme="minorEastAsia" w:cstheme="majorBidi"/>
          <w:noProof/>
          <w:szCs w:val="24"/>
        </w:rPr>
        <w:t>(Clark et al., 2021; Clay et al., 2019; Rosa et al., 2019; Smith et al., 2011; Wang et al., 2017; Weinberg et al., 2008)</w:t>
      </w:r>
      <w:r w:rsidR="00675F39" w:rsidRPr="0004264F">
        <w:rPr>
          <w:rFonts w:eastAsiaTheme="minorEastAsia" w:cstheme="majorBidi"/>
          <w:szCs w:val="24"/>
        </w:rPr>
        <w:fldChar w:fldCharType="end"/>
      </w:r>
      <w:r w:rsidR="00675F39" w:rsidRPr="0004264F">
        <w:rPr>
          <w:rFonts w:eastAsiaTheme="minorEastAsia" w:cstheme="majorBidi"/>
          <w:szCs w:val="24"/>
        </w:rPr>
        <w:t>.</w:t>
      </w:r>
      <w:r w:rsidRPr="0004264F">
        <w:rPr>
          <w:rFonts w:eastAsiaTheme="minorEastAsia" w:cstheme="majorBidi"/>
          <w:szCs w:val="24"/>
        </w:rPr>
        <w:t xml:space="preserve">  </w:t>
      </w:r>
    </w:p>
    <w:p w14:paraId="53609A5F" w14:textId="1191E267" w:rsidR="00601825" w:rsidRPr="0004264F" w:rsidRDefault="0084128D" w:rsidP="009B353A">
      <w:pPr>
        <w:pStyle w:val="Heading1"/>
        <w:rPr>
          <w:rFonts w:asciiTheme="majorBidi" w:eastAsiaTheme="minorEastAsia" w:hAnsiTheme="majorBidi"/>
        </w:rPr>
      </w:pPr>
      <w:bookmarkStart w:id="8" w:name="_Ref98081130"/>
      <w:r w:rsidRPr="0004264F">
        <w:rPr>
          <w:rFonts w:asciiTheme="majorBidi" w:eastAsiaTheme="minorEastAsia" w:hAnsiTheme="majorBidi"/>
        </w:rPr>
        <w:t>Fertility Response</w:t>
      </w:r>
      <w:bookmarkEnd w:id="8"/>
    </w:p>
    <w:p w14:paraId="45EE220C" w14:textId="28DD5A97" w:rsidR="00893582" w:rsidRPr="0004264F" w:rsidRDefault="0084128D" w:rsidP="003D1FA4">
      <w:pPr>
        <w:spacing w:before="60" w:after="60" w:line="480" w:lineRule="auto"/>
        <w:ind w:firstLine="720"/>
        <w:jc w:val="both"/>
        <w:rPr>
          <w:rFonts w:eastAsiaTheme="minorEastAsia" w:cstheme="majorBidi"/>
          <w:szCs w:val="24"/>
        </w:rPr>
      </w:pPr>
      <w:r w:rsidRPr="0004264F">
        <w:rPr>
          <w:rFonts w:eastAsiaTheme="minorEastAsia" w:cstheme="majorBidi"/>
          <w:szCs w:val="24"/>
        </w:rPr>
        <w:t>While the balancing tests o</w:t>
      </w:r>
      <w:r w:rsidR="00687BA0" w:rsidRPr="0004264F">
        <w:rPr>
          <w:rFonts w:eastAsiaTheme="minorEastAsia" w:cstheme="majorBidi"/>
          <w:szCs w:val="24"/>
        </w:rPr>
        <w:t xml:space="preserve">f </w:t>
      </w:r>
      <w:r w:rsidR="00687BA0" w:rsidRPr="0004264F">
        <w:rPr>
          <w:rFonts w:eastAsiaTheme="minorEastAsia" w:cstheme="majorBidi"/>
          <w:szCs w:val="24"/>
        </w:rPr>
        <w:fldChar w:fldCharType="begin"/>
      </w:r>
      <w:r w:rsidR="00687BA0" w:rsidRPr="0004264F">
        <w:rPr>
          <w:rFonts w:eastAsiaTheme="minorEastAsia" w:cstheme="majorBidi"/>
          <w:szCs w:val="24"/>
        </w:rPr>
        <w:instrText xml:space="preserve"> REF _Ref111326180 \h </w:instrText>
      </w:r>
      <w:r w:rsidR="00510BC3" w:rsidRPr="0004264F">
        <w:rPr>
          <w:rFonts w:eastAsiaTheme="minorEastAsia" w:cstheme="majorBidi"/>
          <w:szCs w:val="24"/>
        </w:rPr>
        <w:instrText xml:space="preserve"> \* MERGEFORMAT </w:instrText>
      </w:r>
      <w:r w:rsidR="00687BA0" w:rsidRPr="0004264F">
        <w:rPr>
          <w:rFonts w:eastAsiaTheme="minorEastAsia" w:cstheme="majorBidi"/>
          <w:szCs w:val="24"/>
        </w:rPr>
      </w:r>
      <w:r w:rsidR="00687BA0"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2</w:t>
      </w:r>
      <w:r w:rsidR="00687BA0" w:rsidRPr="0004264F">
        <w:rPr>
          <w:rFonts w:eastAsiaTheme="minorEastAsia" w:cstheme="majorBidi"/>
          <w:szCs w:val="24"/>
        </w:rPr>
        <w:fldChar w:fldCharType="end"/>
      </w:r>
      <w:r w:rsidRPr="0004264F">
        <w:rPr>
          <w:rFonts w:eastAsiaTheme="minorEastAsia" w:cstheme="majorBidi"/>
          <w:szCs w:val="24"/>
        </w:rPr>
        <w:t xml:space="preserve"> </w:t>
      </w:r>
      <w:r w:rsidR="003A6034" w:rsidRPr="0004264F">
        <w:rPr>
          <w:rFonts w:eastAsiaTheme="minorEastAsia" w:cstheme="majorBidi"/>
          <w:szCs w:val="24"/>
        </w:rPr>
        <w:t>are inconsistent with</w:t>
      </w:r>
      <w:r w:rsidRPr="0004264F">
        <w:rPr>
          <w:rFonts w:eastAsiaTheme="minorEastAsia" w:cstheme="majorBidi"/>
          <w:szCs w:val="24"/>
        </w:rPr>
        <w:t xml:space="preserve"> strong demographic compositional change</w:t>
      </w:r>
      <w:r w:rsidR="003A6034" w:rsidRPr="0004264F">
        <w:rPr>
          <w:rFonts w:eastAsiaTheme="minorEastAsia" w:cstheme="majorBidi"/>
          <w:szCs w:val="24"/>
        </w:rPr>
        <w:t>s</w:t>
      </w:r>
      <w:r w:rsidRPr="0004264F">
        <w:rPr>
          <w:rFonts w:eastAsiaTheme="minorEastAsia" w:cstheme="majorBidi"/>
          <w:szCs w:val="24"/>
        </w:rPr>
        <w:t xml:space="preserve"> due to </w:t>
      </w:r>
      <w:r w:rsidR="00360792" w:rsidRPr="0004264F">
        <w:rPr>
          <w:rFonts w:eastAsiaTheme="minorEastAsia" w:cstheme="majorBidi"/>
          <w:szCs w:val="24"/>
        </w:rPr>
        <w:t xml:space="preserve">the </w:t>
      </w:r>
      <w:r w:rsidR="0094176D" w:rsidRPr="0004264F">
        <w:rPr>
          <w:rFonts w:eastAsiaTheme="minorEastAsia" w:cstheme="majorBidi"/>
          <w:szCs w:val="24"/>
        </w:rPr>
        <w:t xml:space="preserve">differences </w:t>
      </w:r>
      <w:r w:rsidRPr="0004264F">
        <w:rPr>
          <w:rFonts w:eastAsiaTheme="minorEastAsia" w:cstheme="majorBidi"/>
          <w:szCs w:val="24"/>
        </w:rPr>
        <w:t xml:space="preserve">in </w:t>
      </w:r>
      <w:r w:rsidR="00E16CD5" w:rsidRPr="0004264F">
        <w:rPr>
          <w:rFonts w:eastAsiaTheme="minorEastAsia" w:cstheme="majorBidi"/>
          <w:szCs w:val="24"/>
        </w:rPr>
        <w:t xml:space="preserve">the </w:t>
      </w:r>
      <w:r w:rsidRPr="0004264F">
        <w:rPr>
          <w:rFonts w:eastAsiaTheme="minorEastAsia" w:cstheme="majorBidi"/>
          <w:szCs w:val="24"/>
        </w:rPr>
        <w:t>survival of subpopulations, one may be concerned that parents observe the economic condition and plan their fertility accordingly</w:t>
      </w:r>
      <w:r w:rsidR="00687BA0" w:rsidRPr="0004264F">
        <w:rPr>
          <w:rFonts w:eastAsiaTheme="minorEastAsia" w:cstheme="majorBidi"/>
          <w:szCs w:val="24"/>
        </w:rPr>
        <w:t xml:space="preserve"> </w:t>
      </w:r>
      <w:r w:rsidR="00687BA0" w:rsidRPr="0004264F">
        <w:rPr>
          <w:rFonts w:eastAsiaTheme="minorEastAsia" w:cstheme="majorBidi"/>
          <w:szCs w:val="24"/>
        </w:rPr>
        <w:fldChar w:fldCharType="begin" w:fldLock="1"/>
      </w:r>
      <w:r w:rsidR="0089408A" w:rsidRPr="0004264F">
        <w:rPr>
          <w:rFonts w:eastAsiaTheme="minorEastAsia" w:cstheme="majorBidi"/>
          <w:szCs w:val="24"/>
        </w:rPr>
        <w:instrText>ADDIN CSL_CITATION {"citationItems":[{"id":"ITEM-1","itemData":{"DOI":"10.1073/PNAS.1408975111/SUPPL_FILE/PNAS.1408975111.SAPP.PDF","ISSN":"10916490","PMID":"25267622","abstract":"Scholars have been examining the relationship between fertility and unemployment for more than a century. Most studies find that fertility falls with unemployment in the short run, but it is not known whether these negative effects persist, because women simply may postpone childbearing to better economic times. Using more than 140 million US birth records for the period 1975-2010, we analyze both the short- And long-run effects of unemployment on fertility.We follow fixed cohorts of US-born women defined by their own state and year of birth, and relate their fertility to the unemployment rate experienced by each cohort at different ages. We focus on conceptions that result in a live birth. We find that women in their early 20s are most affected by high unemployment rates in the short run and that the negative effects on fertility grow over time. A one percentage point increase in the average unemployment rate experienced between the ages of 20 and 24 reduces the short-run fertility of women in this age range by six conceptions per 1,000 women. When we follow these women to age 40, we find that a one percentage point increase in the unemployment rate experienced at ages 20-24 leads to an overall loss of 14.2 conceptions. This long-run effect is driven largely by women who remain childless and thus do not have either first births or higher-order births.","author":[{"dropping-particle":"","family":"Currie","given":"Janet","non-dropping-particle":"","parse-names":false,"suffix":""},{"dropping-particle":"","family":"Schwandt","given":"Hannes","non-dropping-particle":"","parse-names":false,"suffix":""}],"container-title":"Proceedings of the National Academy of Sciences of the United States of America","id":"ITEM-1","issue":"41","issued":{"date-parts":[["2014","10","14"]]},"page":"14734-14739","publisher":"National Academy of Sciences","title":"Short- And long-term effects of unemployment on fertility","type":"article-journal","volume":"111"},"uris":["http://www.mendeley.com/documents/?uuid=5cc120de-4fde-33ec-a274-9bb6cbe827a6"]},{"id":"ITEM-2","itemData":{"DOI":"10.1257/PANDP.20201109","ISSN":"2574-0768","abstract":"This paper reexamines the association between local economic conditions and fertility using a new dataset of county-level birthrates and per capita income in the United States spanning the period 1937-2016. Using a panel data model, we estimate that growth in local income is positively associated with birthrates over our entire sample period and that the strength of that association peaked during the 1960-1990 period and has declined in recent decades. We additionally estimate dynamic responses to local income shocks, finding that birthrates remain elevated for up to four years after a shock.","author":[{"dropping-particle":"","family":"Schaller","given":"Jessamyn","non-dropping-particle":"","parse-names":false,"suffix":""},{"dropping-particle":"","family":"Fishback","given":"Price","non-dropping-particle":"","parse-names":false,"suffix":""},{"dropping-particle":"","family":"Marquardt","given":"Kelli","non-dropping-particle":"","parse-names":false,"suffix":""}],"container-title":"AEA Papers and Proceedings","id":"ITEM-2","issued":{"date-parts":[["2020","5","1"]]},"page":"236-40","publisher":"American Economic Association","title":"Local Economic Conditions and Fertility from the Great Depression through the Great Recession","type":"article-journal","volume":"110"},"uris":["http://www.mendeley.com/documents/?uuid=da2c6265-74b7-30a9-a2c7-3911fbe6a2e4"]},{"id":"ITEM-3","itemData":{"DOI":"10.3368/jhr.51.1.1","ISSN":"0022166X","abstract":"In this paper, I present estimates of the effect of local labor demand shocks on birth rates. To identify exogenous variation in male and female labor demand, I create indices that exploit cross- sectional variation in industry composition, changes in gender-education composition within industries, and growth in national industry employment. Consistent with economic theory, I find that improvements in men's labor market conditions are associated with increases in fertility while improvements in women's labor market conditions have smaller negative effects. I separately find that increases in unemployment rates are associated with small decreases in birth rates at the state level.","author":[{"dropping-particle":"","family":"Schaller","given":"Jessamyn","non-dropping-particle":"","parse-names":false,"suffix":""}],"container-title":"Journal of Human Resources","id":"ITEM-3","issue":"1","issued":{"date-parts":[["2016"]]},"page":"1-29","publisher":"University of Wisconsin Press","title":"Booms, busts, and fertility: Testing the becker model using gender-specific labor demand","type":"article-journal","volume":"51"},"uris":["http://www.mendeley.com/documents/?uuid=026e7ef6-1d74-3d9d-973f-62a1e67e09c6"]}],"mendeley":{"formattedCitation":"(Currie &amp; Schwandt, 2014; Schaller, 2016; Schaller et al., 2020)","plainTextFormattedCitation":"(Currie &amp; Schwandt, 2014; Schaller, 2016; Schaller et al., 2020)","previouslyFormattedCitation":"(Currie &amp; Schwandt, 2014; Schaller, 2016; Schaller et al., 2020)"},"properties":{"noteIndex":0},"schema":"https://github.com/citation-style-language/schema/raw/master/csl-citation.json"}</w:instrText>
      </w:r>
      <w:r w:rsidR="00687BA0" w:rsidRPr="0004264F">
        <w:rPr>
          <w:rFonts w:eastAsiaTheme="minorEastAsia" w:cstheme="majorBidi"/>
          <w:szCs w:val="24"/>
        </w:rPr>
        <w:fldChar w:fldCharType="separate"/>
      </w:r>
      <w:r w:rsidR="00687BA0" w:rsidRPr="0004264F">
        <w:rPr>
          <w:rFonts w:eastAsiaTheme="minorEastAsia" w:cstheme="majorBidi"/>
          <w:noProof/>
          <w:szCs w:val="24"/>
        </w:rPr>
        <w:t>(Currie &amp; Schwandt, 2014; Schaller, 2016; Schaller et al., 2020)</w:t>
      </w:r>
      <w:r w:rsidR="00687BA0" w:rsidRPr="0004264F">
        <w:rPr>
          <w:rFonts w:eastAsiaTheme="minorEastAsia" w:cstheme="majorBidi"/>
          <w:szCs w:val="24"/>
        </w:rPr>
        <w:fldChar w:fldCharType="end"/>
      </w:r>
      <w:r w:rsidRPr="0004264F">
        <w:rPr>
          <w:rFonts w:eastAsiaTheme="minorEastAsia" w:cstheme="majorBidi"/>
          <w:szCs w:val="24"/>
        </w:rPr>
        <w:t xml:space="preserve">. However, </w:t>
      </w:r>
      <w:r w:rsidR="00916B6F" w:rsidRPr="0004264F">
        <w:rPr>
          <w:rFonts w:eastAsiaTheme="minorEastAsia" w:cstheme="majorBidi"/>
          <w:szCs w:val="24"/>
        </w:rPr>
        <w:t>the literature on economic conditions and fertility is not conclusive</w:t>
      </w:r>
      <w:r w:rsidR="002301F9" w:rsidRPr="0004264F">
        <w:rPr>
          <w:rFonts w:eastAsiaTheme="minorEastAsia" w:cstheme="majorBidi"/>
          <w:szCs w:val="24"/>
        </w:rPr>
        <w:t xml:space="preserve"> </w:t>
      </w:r>
      <w:r w:rsidR="002301F9" w:rsidRPr="0004264F">
        <w:rPr>
          <w:rFonts w:eastAsiaTheme="minorEastAsia" w:cstheme="majorBidi"/>
          <w:szCs w:val="24"/>
        </w:rPr>
        <w:fldChar w:fldCharType="begin" w:fldLock="1"/>
      </w:r>
      <w:r w:rsidR="00977077" w:rsidRPr="0004264F">
        <w:rPr>
          <w:rFonts w:eastAsiaTheme="minorEastAsia" w:cstheme="majorBidi"/>
          <w:szCs w:val="24"/>
        </w:rPr>
        <w:instrText>ADDIN CSL_CITATION {"citationItems":[{"id":"ITEM-1","itemData":{"DOI":"10.1162/REST_A_00257","ISSN":"0034-6535","abstract":"We examine Becker's (1960) contention that children are \"normal.\" For the cross-section of non-Hispanic white married couples in the United States, we show that when we restrict comparisons to similarly educated women living in similarly expensive locations, completed fertility is positively correlated with the husband's income. The empirical evidence is consistent with children being \"normal.\" In an effort to show causal effects, we analyze the localized impact on fertility of the mid-1970s' increase in world energy prices, an exogenous shock that substantially increased men's incomes in the Appalachian coal-mining region. Empirical evidence for that population indicates that fertility increases with men's income.","author":[{"dropping-particle":"","family":"Black","given":"Dan A.","non-dropping-particle":"","parse-names":false,"suffix":""},{"dropping-particle":"","family":"Kolesnikova","given":"Natalia","non-dropping-particle":"","parse-names":false,"suffix":""},{"dropping-particle":"","family":"Sanders","given":"Seth G.","non-dropping-particle":"","parse-names":false,"suffix":""},{"dropping-particle":"","family":"Taylor","given":"Lowell J.","non-dropping-particle":"","parse-names":false,"suffix":""}],"container-title":"The Review of Economics and Statistics","id":"ITEM-1","issue":"1","issued":{"date-parts":[["2013","3","1"]]},"page":"21-33","publisher":"MIT Press","title":"Are Children “Normal”?","type":"article-journal","volume":"95"},"uris":["http://www.mendeley.com/documents/?uuid=b4b03d9c-1de4-3dd7-bd01-e7c11eab6cd8"]},{"id":"ITEM-2","itemData":{"DOI":"10.1162/REST_A_00342","ISSN":"0034-6535","abstract":"Using panel data on over 300,000 Israeli women from 1999 to 2005, we exploit variation in Israel's child subsidy to identify the impact of changes in the price of a marginal child on fertility. We find a positive, statistically significant, and economically meaningful price effect on overall fertility and, consistent with Becker (1960) and Becker and Tomes (1976), a small effect of income on fertility, which is negative at low and positive at high income levels. We also find a price effect on fertility among older women, suggesting that part of the overall effect is due to a reduction in total fertility. © 2013 by the President and Fellows of Harvard College and the Massachusetts Institute of Technology.","author":[{"dropping-particle":"","family":"Cohen","given":"Alma","non-dropping-particle":"","parse-names":false,"suffix":""},{"dropping-particle":"","family":"Dehejia","given":"Rajeev","non-dropping-particle":"","parse-names":false,"suffix":""},{"dropping-particle":"","family":"Romanov","given":"Dmitri","non-dropping-particle":"","parse-names":false,"suffix":""}],"container-title":"The Review of Economics and Statistics","id":"ITEM-2","issue":"1","issued":{"date-parts":[["2013","3","1"]]},"page":"1-20","publisher":"MIT Press","title":"Financial Incentives and Fertility","type":"article-journal","volume":"95"},"uris":["http://www.mendeley.com/documents/?uuid=e0f8aa8f-b11b-367d-af57-f38d70e1ac10"]},{"id":"ITEM-3","itemData":{"DOI":"10.1111/J.0013-0427.2004.00369.X","ISSN":"1468-0335","abstract":"This paper presents a model of inequality, income determination and fertility, that is consistent with aggregated stylized facts and individual survey data on fertility and income. It shows that indivisibilities in human capital investments limit the possibility of trade-off between the quality and the quantity of children. This generates a non-monotonic relationship between income and fertility at the micro level. On the aggregate, the total fertility rate can increase or decrease with income, depending on the income distribution of the population and on the private cost of education. © The London School of Economics and Political Science 2004.","author":[{"dropping-particle":"","family":"Docquier","given":"Frédéric","non-dropping-particle":"","parse-names":false,"suffix":""}],"container-title":"Economica","id":"ITEM-3","issue":"282","issued":{"date-parts":[["2004","5","1"]]},"page":"261-273","publisher":"John Wiley &amp; Sons, Ltd","title":"Income Distribution, Non-convexities and the Fertility–Income Relationship","type":"article-journal","volume":"71"},"uris":["http://www.mendeley.com/documents/?uuid=4b6f2e0e-69d8-393f-b0d8-c1a8ef782d6f"]}],"mendeley":{"formattedCitation":"(D. A. Black et al., 2013; Cohen et al., 2013; Docquier, 2004)","manualFormatting":"(Black et al., 2013; Cohen et al., 2013; Docquier, 2004)","plainTextFormattedCitation":"(D. A. Black et al., 2013; Cohen et al., 2013; Docquier, 2004)","previouslyFormattedCitation":"(D. A. Black et al., 2013; Cohen et al., 2013; Docquier, 2004)"},"properties":{"noteIndex":0},"schema":"https://github.com/citation-style-language/schema/raw/master/csl-citation.json"}</w:instrText>
      </w:r>
      <w:r w:rsidR="002301F9" w:rsidRPr="0004264F">
        <w:rPr>
          <w:rFonts w:eastAsiaTheme="minorEastAsia" w:cstheme="majorBidi"/>
          <w:szCs w:val="24"/>
        </w:rPr>
        <w:fldChar w:fldCharType="separate"/>
      </w:r>
      <w:r w:rsidR="002301F9" w:rsidRPr="0004264F">
        <w:rPr>
          <w:rFonts w:eastAsiaTheme="minorEastAsia" w:cstheme="majorBidi"/>
          <w:noProof/>
          <w:szCs w:val="24"/>
        </w:rPr>
        <w:t>(Black et al., 2013; Cohen et al., 2013; Docquier, 2004)</w:t>
      </w:r>
      <w:r w:rsidR="002301F9" w:rsidRPr="0004264F">
        <w:rPr>
          <w:rFonts w:eastAsiaTheme="minorEastAsia" w:cstheme="majorBidi"/>
          <w:szCs w:val="24"/>
        </w:rPr>
        <w:fldChar w:fldCharType="end"/>
      </w:r>
      <w:r w:rsidR="00916B6F" w:rsidRPr="0004264F">
        <w:rPr>
          <w:rFonts w:eastAsiaTheme="minorEastAsia" w:cstheme="majorBidi"/>
          <w:szCs w:val="24"/>
        </w:rPr>
        <w:t xml:space="preserve">. Moreover, little empirical research has been done for </w:t>
      </w:r>
      <w:r w:rsidR="00C4128C" w:rsidRPr="0004264F">
        <w:rPr>
          <w:rFonts w:eastAsiaTheme="minorEastAsia" w:cstheme="majorBidi"/>
          <w:szCs w:val="24"/>
        </w:rPr>
        <w:t>our study</w:t>
      </w:r>
      <w:r w:rsidR="00916B6F" w:rsidRPr="0004264F">
        <w:rPr>
          <w:rFonts w:eastAsiaTheme="minorEastAsia" w:cstheme="majorBidi"/>
          <w:szCs w:val="24"/>
        </w:rPr>
        <w:t xml:space="preserve"> period </w:t>
      </w:r>
      <w:r w:rsidR="002301F9" w:rsidRPr="0004264F">
        <w:rPr>
          <w:rFonts w:eastAsiaTheme="minorEastAsia" w:cstheme="majorBidi"/>
          <w:szCs w:val="24"/>
        </w:rPr>
        <w:fldChar w:fldCharType="begin" w:fldLock="1"/>
      </w:r>
      <w:r w:rsidR="002301F9" w:rsidRPr="0004264F">
        <w:rPr>
          <w:rFonts w:eastAsiaTheme="minorEastAsia" w:cstheme="majorBidi"/>
          <w:szCs w:val="24"/>
        </w:rPr>
        <w:instrText>ADDIN CSL_CITATION {"citationItems":[{"id":"ITEM-1","itemData":{"DOI":"10.1162/REST.89.1.1","ISSN":"0034-6535","abstract":"The article examines the impact of New Deal relief programs on infant mortality, non-infant mortality, and general fertility rates in major U.S. cities between 1929 and 1940. Effects are estimated using a variety of specifications and techniques for a panel of 114 cities that reported information on relief spending between 1929 and 1940. The significant rise in relief spending during the New Deal contributed to reductions in infant mortality, suicide rates, and some other causes of death, while contributing to increases in the general fertility rate. Similar to Ruhm's (2000) findings for the modern United States, the article finds that many types of death rates were pro-cyclical during the 1930s. Estimates of the relief costs associated with saving a life (adjusted for inflation) are similar to those found in studies of modern social insurance programs. © 2007 by the President and Fellows of Harvard College and the Massachusetts Institute of Technology.","author":[{"dropping-particle":"V.","family":"Fishback","given":"Price","non-dropping-particle":"","parse-names":false,"suffix":""},{"dropping-particle":"","family":"Haines","given":"Michael R.","non-dropping-particle":"","parse-names":false,"suffix":""},{"dropping-particle":"","family":"Kantor","given":"Shawn","non-dropping-particle":"","parse-names":false,"suffix":""}],"container-title":"The Review of Economics and Statistics","id":"ITEM-1","issue":"1","issued":{"date-parts":[["2007","2","1"]]},"page":"1-14","publisher":"MIT Press","title":"Births, Deaths, and New Deal Relief during the Great Depression","type":"article-journal","volume":"89"},"uris":["http://www.mendeley.com/documents/?uuid=7af75157-3dc7-37af-bcd8-5ffcdd4156a4"]}],"mendeley":{"formattedCitation":"(Fishback et al., 2007)","plainTextFormattedCitation":"(Fishback et al., 2007)","previouslyFormattedCitation":"(Fishback et al., 2007)"},"properties":{"noteIndex":0},"schema":"https://github.com/citation-style-language/schema/raw/master/csl-citation.json"}</w:instrText>
      </w:r>
      <w:r w:rsidR="002301F9" w:rsidRPr="0004264F">
        <w:rPr>
          <w:rFonts w:eastAsiaTheme="minorEastAsia" w:cstheme="majorBidi"/>
          <w:szCs w:val="24"/>
        </w:rPr>
        <w:fldChar w:fldCharType="separate"/>
      </w:r>
      <w:r w:rsidR="002301F9" w:rsidRPr="0004264F">
        <w:rPr>
          <w:rFonts w:eastAsiaTheme="minorEastAsia" w:cstheme="majorBidi"/>
          <w:noProof/>
          <w:szCs w:val="24"/>
        </w:rPr>
        <w:t>(Fishback et al., 2007)</w:t>
      </w:r>
      <w:r w:rsidR="002301F9" w:rsidRPr="0004264F">
        <w:rPr>
          <w:rFonts w:eastAsiaTheme="minorEastAsia" w:cstheme="majorBidi"/>
          <w:szCs w:val="24"/>
        </w:rPr>
        <w:fldChar w:fldCharType="end"/>
      </w:r>
      <w:r w:rsidR="00916B6F" w:rsidRPr="0004264F">
        <w:rPr>
          <w:rFonts w:eastAsiaTheme="minorEastAsia" w:cstheme="majorBidi"/>
          <w:szCs w:val="24"/>
        </w:rPr>
        <w:t xml:space="preserve">. </w:t>
      </w:r>
      <w:r w:rsidR="00C4128C" w:rsidRPr="0004264F">
        <w:rPr>
          <w:rFonts w:eastAsiaTheme="minorEastAsia" w:cstheme="majorBidi"/>
          <w:szCs w:val="24"/>
        </w:rPr>
        <w:t xml:space="preserve">To explore the selective fertility of parents to the observed </w:t>
      </w:r>
      <w:r w:rsidR="00AA48D3" w:rsidRPr="0004264F">
        <w:rPr>
          <w:rFonts w:eastAsiaTheme="minorEastAsia" w:cstheme="majorBidi"/>
          <w:szCs w:val="24"/>
        </w:rPr>
        <w:t>deposit</w:t>
      </w:r>
      <w:r w:rsidR="00C4128C" w:rsidRPr="0004264F">
        <w:rPr>
          <w:rFonts w:eastAsiaTheme="minorEastAsia" w:cstheme="majorBidi"/>
          <w:szCs w:val="24"/>
        </w:rPr>
        <w:t xml:space="preserve"> changes, we use county-level births data over the years 192</w:t>
      </w:r>
      <w:r w:rsidR="002D11C3" w:rsidRPr="0004264F">
        <w:rPr>
          <w:rFonts w:eastAsiaTheme="minorEastAsia" w:cstheme="majorBidi"/>
          <w:szCs w:val="24"/>
        </w:rPr>
        <w:t>6</w:t>
      </w:r>
      <w:r w:rsidR="00C4128C" w:rsidRPr="0004264F">
        <w:rPr>
          <w:rFonts w:eastAsiaTheme="minorEastAsia" w:cstheme="majorBidi"/>
          <w:szCs w:val="24"/>
        </w:rPr>
        <w:t xml:space="preserve">-1936 extracted from </w:t>
      </w:r>
      <w:r w:rsidR="002301F9" w:rsidRPr="0004264F">
        <w:rPr>
          <w:rFonts w:eastAsiaTheme="minorEastAsia" w:cstheme="majorBidi"/>
          <w:szCs w:val="24"/>
        </w:rPr>
        <w:fldChar w:fldCharType="begin" w:fldLock="1"/>
      </w:r>
      <w:r w:rsidR="00756D2B" w:rsidRPr="0004264F">
        <w:rPr>
          <w:rFonts w:eastAsiaTheme="minorEastAsia" w:cstheme="majorBidi"/>
          <w:szCs w:val="24"/>
        </w:rPr>
        <w:instrText>ADDIN CSL_CITATION {"citationItems":[{"id":"ITEM-1","itemData":{"DOI":"https://doi.org/10.3886/E100229V4","author":[{"dropping-particle":"","family":"Bailey","given":"Martha","non-dropping-particle":"","parse-names":false,"suffix":""},{"dropping-particle":"","family":"Clay","given":"Karen","non-dropping-particle":"","parse-names":false,"suffix":""},{"dropping-particle":"","family":"Fishback","given":"Price","non-dropping-particle":"","parse-names":false,"suffix":""},{"dropping-particle":"","family":"Haines","given":"Michael","non-dropping-particle":"","parse-names":false,"suffix":""},{"dropping-particle":"","family":"Kantor","given":"Shawn","non-dropping-particle":"","parse-names":false,"suffix":""},{"dropping-particle":"","family":"Severnini","given":"Edson","non-dropping-particle":"","parse-names":false,"suffix":""},{"dropping-particle":"","family":"Wentz","given":"Anna","non-dropping-particle":"","parse-names":false,"suffix":""}],"container-title":"Inter-university Consortium for Political and Social Research","id":"ITEM-1","issued":{"date-parts":[["2016"]]},"title":"U.S. County-Level Natality and Mortality Data, 1915-2007","type":"article-journal"},"uris":["http://www.mendeley.com/documents/?uuid=f60636ca-9ba0-4065-a935-c7c7d40659f2"]}],"mendeley":{"formattedCitation":"(Bailey et al., 2016)","manualFormatting":"Bailey et al. (2016)","plainTextFormattedCitation":"(Bailey et al., 2016)","previouslyFormattedCitation":"(Bailey et al., 2016)"},"properties":{"noteIndex":0},"schema":"https://github.com/citation-style-language/schema/raw/master/csl-citation.json"}</w:instrText>
      </w:r>
      <w:r w:rsidR="002301F9" w:rsidRPr="0004264F">
        <w:rPr>
          <w:rFonts w:eastAsiaTheme="minorEastAsia" w:cstheme="majorBidi"/>
          <w:szCs w:val="24"/>
        </w:rPr>
        <w:fldChar w:fldCharType="separate"/>
      </w:r>
      <w:r w:rsidR="002301F9" w:rsidRPr="0004264F">
        <w:rPr>
          <w:rFonts w:eastAsiaTheme="minorEastAsia" w:cstheme="majorBidi"/>
          <w:noProof/>
          <w:szCs w:val="24"/>
        </w:rPr>
        <w:t>Bailey et al. (2016)</w:t>
      </w:r>
      <w:r w:rsidR="002301F9" w:rsidRPr="0004264F">
        <w:rPr>
          <w:rFonts w:eastAsiaTheme="minorEastAsia" w:cstheme="majorBidi"/>
          <w:szCs w:val="24"/>
        </w:rPr>
        <w:fldChar w:fldCharType="end"/>
      </w:r>
      <w:r w:rsidR="00C4128C" w:rsidRPr="0004264F">
        <w:rPr>
          <w:rFonts w:eastAsiaTheme="minorEastAsia" w:cstheme="majorBidi"/>
          <w:szCs w:val="24"/>
        </w:rPr>
        <w:t xml:space="preserve">. The data offers three main variables that are specifically useful for the analysis of this section: general birth rate, share of births to whites, and share of births to blacks. Since over time more counties appear in the sample and the effects may be driven by differential fertility of new counties, we balance the county-year sample so that each county has appeared </w:t>
      </w:r>
      <w:r w:rsidR="003A6034" w:rsidRPr="0004264F">
        <w:rPr>
          <w:rFonts w:eastAsiaTheme="minorEastAsia" w:cstheme="majorBidi"/>
          <w:szCs w:val="24"/>
        </w:rPr>
        <w:t xml:space="preserve">in at </w:t>
      </w:r>
      <w:r w:rsidR="00C4128C" w:rsidRPr="0004264F">
        <w:rPr>
          <w:rFonts w:eastAsiaTheme="minorEastAsia" w:cstheme="majorBidi"/>
          <w:szCs w:val="24"/>
        </w:rPr>
        <w:t xml:space="preserve">least </w:t>
      </w:r>
      <w:r w:rsidR="00893582" w:rsidRPr="0004264F">
        <w:rPr>
          <w:rFonts w:eastAsiaTheme="minorEastAsia" w:cstheme="majorBidi"/>
          <w:szCs w:val="24"/>
        </w:rPr>
        <w:t xml:space="preserve">5 </w:t>
      </w:r>
      <w:r w:rsidR="00C4128C" w:rsidRPr="0004264F">
        <w:rPr>
          <w:rFonts w:eastAsiaTheme="minorEastAsia" w:cstheme="majorBidi"/>
          <w:szCs w:val="24"/>
        </w:rPr>
        <w:t xml:space="preserve">years. This leaves us with roughly </w:t>
      </w:r>
      <w:r w:rsidR="009B4C1D" w:rsidRPr="0004264F">
        <w:rPr>
          <w:rFonts w:eastAsiaTheme="minorEastAsia" w:cstheme="majorBidi"/>
          <w:szCs w:val="24"/>
        </w:rPr>
        <w:t>896</w:t>
      </w:r>
      <w:r w:rsidR="00893582" w:rsidRPr="0004264F">
        <w:rPr>
          <w:rFonts w:eastAsiaTheme="minorEastAsia" w:cstheme="majorBidi"/>
          <w:szCs w:val="24"/>
        </w:rPr>
        <w:t xml:space="preserve"> </w:t>
      </w:r>
      <w:r w:rsidR="00C4128C" w:rsidRPr="0004264F">
        <w:rPr>
          <w:rFonts w:eastAsiaTheme="minorEastAsia" w:cstheme="majorBidi"/>
          <w:szCs w:val="24"/>
        </w:rPr>
        <w:t xml:space="preserve">counties. We merge this with deposit data and implement regressions </w:t>
      </w:r>
      <w:r w:rsidR="00AA1532" w:rsidRPr="0004264F">
        <w:rPr>
          <w:rFonts w:eastAsiaTheme="minorEastAsia" w:cstheme="majorBidi"/>
          <w:szCs w:val="24"/>
        </w:rPr>
        <w:t xml:space="preserve">that include </w:t>
      </w:r>
      <w:r w:rsidR="0068394A" w:rsidRPr="0004264F">
        <w:rPr>
          <w:rFonts w:eastAsiaTheme="minorEastAsia" w:cstheme="majorBidi"/>
          <w:szCs w:val="24"/>
        </w:rPr>
        <w:t xml:space="preserve">the </w:t>
      </w:r>
      <w:r w:rsidR="00AA1532" w:rsidRPr="0004264F">
        <w:rPr>
          <w:rFonts w:eastAsiaTheme="minorEastAsia" w:cstheme="majorBidi"/>
          <w:szCs w:val="24"/>
        </w:rPr>
        <w:t xml:space="preserve">county and </w:t>
      </w:r>
      <w:r w:rsidR="009B4C1D" w:rsidRPr="0004264F">
        <w:rPr>
          <w:rFonts w:eastAsiaTheme="minorEastAsia" w:cstheme="majorBidi"/>
          <w:szCs w:val="24"/>
        </w:rPr>
        <w:t>SEA</w:t>
      </w:r>
      <w:r w:rsidR="00AA1532" w:rsidRPr="0004264F">
        <w:rPr>
          <w:rFonts w:eastAsiaTheme="minorEastAsia" w:cstheme="majorBidi"/>
          <w:szCs w:val="24"/>
        </w:rPr>
        <w:t xml:space="preserve">-year fixed effects. The results are reported in </w:t>
      </w:r>
      <w:r w:rsidR="00B24111" w:rsidRPr="0004264F">
        <w:rPr>
          <w:rFonts w:eastAsiaTheme="minorEastAsia" w:cstheme="majorBidi"/>
          <w:szCs w:val="24"/>
        </w:rPr>
        <w:fldChar w:fldCharType="begin"/>
      </w:r>
      <w:r w:rsidR="00B24111" w:rsidRPr="0004264F">
        <w:rPr>
          <w:rFonts w:eastAsiaTheme="minorEastAsia" w:cstheme="majorBidi"/>
          <w:szCs w:val="24"/>
        </w:rPr>
        <w:instrText xml:space="preserve"> REF _Ref97964848 \h </w:instrText>
      </w:r>
      <w:r w:rsidR="00510BC3" w:rsidRPr="0004264F">
        <w:rPr>
          <w:rFonts w:eastAsiaTheme="minorEastAsia" w:cstheme="majorBidi"/>
          <w:szCs w:val="24"/>
        </w:rPr>
        <w:instrText xml:space="preserve"> \* MERGEFORMAT </w:instrText>
      </w:r>
      <w:r w:rsidR="00B24111" w:rsidRPr="0004264F">
        <w:rPr>
          <w:rFonts w:eastAsiaTheme="minorEastAsia" w:cstheme="majorBidi"/>
          <w:szCs w:val="24"/>
        </w:rPr>
      </w:r>
      <w:r w:rsidR="00B24111"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10</w:t>
      </w:r>
      <w:r w:rsidR="00B24111" w:rsidRPr="0004264F">
        <w:rPr>
          <w:rFonts w:eastAsiaTheme="minorEastAsia" w:cstheme="majorBidi"/>
          <w:szCs w:val="24"/>
        </w:rPr>
        <w:fldChar w:fldCharType="end"/>
      </w:r>
      <w:r w:rsidR="000D2212" w:rsidRPr="0004264F">
        <w:rPr>
          <w:rFonts w:eastAsiaTheme="minorEastAsia" w:cstheme="majorBidi"/>
          <w:szCs w:val="24"/>
        </w:rPr>
        <w:t>.</w:t>
      </w:r>
      <w:r w:rsidR="008E2076" w:rsidRPr="0004264F">
        <w:rPr>
          <w:rFonts w:eastAsiaTheme="minorEastAsia" w:cstheme="majorBidi"/>
          <w:szCs w:val="24"/>
        </w:rPr>
        <w:t xml:space="preserve"> Deposits are </w:t>
      </w:r>
      <w:r w:rsidR="00893582" w:rsidRPr="0004264F">
        <w:rPr>
          <w:rFonts w:eastAsiaTheme="minorEastAsia" w:cstheme="majorBidi"/>
          <w:szCs w:val="24"/>
        </w:rPr>
        <w:t xml:space="preserve">positively </w:t>
      </w:r>
      <w:r w:rsidR="008E2076" w:rsidRPr="0004264F">
        <w:rPr>
          <w:rFonts w:eastAsiaTheme="minorEastAsia" w:cstheme="majorBidi"/>
          <w:szCs w:val="24"/>
        </w:rPr>
        <w:t xml:space="preserve">associated with </w:t>
      </w:r>
      <w:r w:rsidR="00893582" w:rsidRPr="0004264F">
        <w:rPr>
          <w:rFonts w:eastAsiaTheme="minorEastAsia" w:cstheme="majorBidi"/>
          <w:szCs w:val="24"/>
        </w:rPr>
        <w:t>birth rate</w:t>
      </w:r>
      <w:r w:rsidR="003A6034" w:rsidRPr="0004264F">
        <w:rPr>
          <w:rFonts w:eastAsiaTheme="minorEastAsia" w:cstheme="majorBidi"/>
          <w:szCs w:val="24"/>
        </w:rPr>
        <w:t>s</w:t>
      </w:r>
      <w:r w:rsidR="008E2076" w:rsidRPr="0004264F">
        <w:rPr>
          <w:rFonts w:eastAsiaTheme="minorEastAsia" w:cstheme="majorBidi"/>
          <w:szCs w:val="24"/>
        </w:rPr>
        <w:t xml:space="preserve">. A one-standard-deviation change in per capita deposits is associated with </w:t>
      </w:r>
      <w:r w:rsidR="00893582" w:rsidRPr="0004264F">
        <w:rPr>
          <w:rFonts w:eastAsiaTheme="minorEastAsia" w:cstheme="majorBidi"/>
          <w:szCs w:val="24"/>
        </w:rPr>
        <w:t>0.1</w:t>
      </w:r>
      <w:r w:rsidR="009B4C1D" w:rsidRPr="0004264F">
        <w:rPr>
          <w:rFonts w:eastAsiaTheme="minorEastAsia" w:cstheme="majorBidi"/>
          <w:szCs w:val="24"/>
        </w:rPr>
        <w:t>8</w:t>
      </w:r>
      <w:r w:rsidR="008E2076" w:rsidRPr="0004264F">
        <w:rPr>
          <w:rFonts w:eastAsiaTheme="minorEastAsia" w:cstheme="majorBidi"/>
          <w:szCs w:val="24"/>
        </w:rPr>
        <w:t xml:space="preserve"> </w:t>
      </w:r>
      <w:r w:rsidR="003A6034" w:rsidRPr="0004264F">
        <w:rPr>
          <w:rFonts w:eastAsiaTheme="minorEastAsia" w:cstheme="majorBidi"/>
          <w:szCs w:val="24"/>
        </w:rPr>
        <w:t xml:space="preserve">additional </w:t>
      </w:r>
      <w:r w:rsidR="008E2076" w:rsidRPr="0004264F">
        <w:rPr>
          <w:rFonts w:eastAsiaTheme="minorEastAsia" w:cstheme="majorBidi"/>
          <w:szCs w:val="24"/>
        </w:rPr>
        <w:t xml:space="preserve">births per 1,000 women in the county, equivalent to roughly </w:t>
      </w:r>
      <w:r w:rsidR="00893582" w:rsidRPr="0004264F">
        <w:rPr>
          <w:rFonts w:eastAsiaTheme="minorEastAsia" w:cstheme="majorBidi"/>
          <w:szCs w:val="24"/>
        </w:rPr>
        <w:t>0.</w:t>
      </w:r>
      <w:r w:rsidR="009B4C1D" w:rsidRPr="0004264F">
        <w:rPr>
          <w:rFonts w:eastAsiaTheme="minorEastAsia" w:cstheme="majorBidi"/>
          <w:szCs w:val="24"/>
        </w:rPr>
        <w:t>5</w:t>
      </w:r>
      <w:r w:rsidR="008E2076" w:rsidRPr="0004264F">
        <w:rPr>
          <w:rFonts w:eastAsiaTheme="minorEastAsia" w:cstheme="majorBidi"/>
          <w:szCs w:val="24"/>
        </w:rPr>
        <w:t xml:space="preserve"> percent </w:t>
      </w:r>
      <w:r w:rsidR="00893582" w:rsidRPr="0004264F">
        <w:rPr>
          <w:rFonts w:eastAsiaTheme="minorEastAsia" w:cstheme="majorBidi"/>
          <w:szCs w:val="24"/>
        </w:rPr>
        <w:t xml:space="preserve">rise in </w:t>
      </w:r>
      <w:r w:rsidR="008E2076" w:rsidRPr="0004264F">
        <w:rPr>
          <w:rFonts w:eastAsiaTheme="minorEastAsia" w:cstheme="majorBidi"/>
          <w:szCs w:val="24"/>
        </w:rPr>
        <w:t xml:space="preserve">the mean </w:t>
      </w:r>
      <w:r w:rsidR="008E2076" w:rsidRPr="0004264F">
        <w:rPr>
          <w:rFonts w:eastAsiaTheme="minorEastAsia" w:cstheme="majorBidi"/>
          <w:szCs w:val="24"/>
        </w:rPr>
        <w:lastRenderedPageBreak/>
        <w:t>of the outcome</w:t>
      </w:r>
      <w:r w:rsidR="00893582" w:rsidRPr="0004264F">
        <w:rPr>
          <w:rFonts w:eastAsiaTheme="minorEastAsia" w:cstheme="majorBidi"/>
          <w:szCs w:val="24"/>
        </w:rPr>
        <w:t xml:space="preserve">, a quite small change. Although we find evidence of procyclical fertility, the results fail to provide evidence of compositional changes in births. Specifically, there is no change in </w:t>
      </w:r>
      <w:r w:rsidR="003F377B" w:rsidRPr="0004264F">
        <w:rPr>
          <w:rFonts w:eastAsiaTheme="minorEastAsia" w:cstheme="majorBidi"/>
          <w:szCs w:val="24"/>
        </w:rPr>
        <w:t xml:space="preserve">the </w:t>
      </w:r>
      <w:r w:rsidR="00893582" w:rsidRPr="0004264F">
        <w:rPr>
          <w:rFonts w:eastAsiaTheme="minorEastAsia" w:cstheme="majorBidi"/>
          <w:szCs w:val="24"/>
        </w:rPr>
        <w:t>share of births to white and black mothers (columns 2 and 3). The marginal effects are statistically insignificant and economically small</w:t>
      </w:r>
      <w:r w:rsidR="00850631" w:rsidRPr="0004264F">
        <w:rPr>
          <w:rFonts w:eastAsiaTheme="minorEastAsia" w:cstheme="majorBidi"/>
          <w:szCs w:val="24"/>
        </w:rPr>
        <w:t>,</w:t>
      </w:r>
      <w:r w:rsidR="00893582" w:rsidRPr="0004264F">
        <w:rPr>
          <w:rFonts w:eastAsiaTheme="minorEastAsia" w:cstheme="majorBidi"/>
          <w:szCs w:val="24"/>
        </w:rPr>
        <w:t xml:space="preserve"> as implied by percent changes from the mean of the outcome.</w:t>
      </w:r>
      <w:r w:rsidR="00E3137B" w:rsidRPr="0004264F">
        <w:rPr>
          <w:rFonts w:eastAsiaTheme="minorEastAsia" w:cstheme="majorBidi"/>
          <w:szCs w:val="24"/>
        </w:rPr>
        <w:t xml:space="preserve"> </w:t>
      </w:r>
      <w:r w:rsidR="005C678F" w:rsidRPr="0004264F">
        <w:rPr>
          <w:rFonts w:eastAsiaTheme="minorEastAsia" w:cstheme="majorBidi"/>
          <w:szCs w:val="24"/>
        </w:rPr>
        <w:t xml:space="preserve">For instance, a one-standard-deviation </w:t>
      </w:r>
      <w:r w:rsidR="000C46C7" w:rsidRPr="0004264F">
        <w:rPr>
          <w:rFonts w:eastAsiaTheme="minorEastAsia" w:cstheme="majorBidi"/>
          <w:szCs w:val="24"/>
        </w:rPr>
        <w:t>rise</w:t>
      </w:r>
      <w:r w:rsidR="005C678F" w:rsidRPr="0004264F">
        <w:rPr>
          <w:rFonts w:eastAsiaTheme="minorEastAsia" w:cstheme="majorBidi"/>
          <w:szCs w:val="24"/>
        </w:rPr>
        <w:t xml:space="preserve"> in deposits is associated with </w:t>
      </w:r>
      <w:r w:rsidR="00850631" w:rsidRPr="0004264F">
        <w:rPr>
          <w:rFonts w:eastAsiaTheme="minorEastAsia" w:cstheme="majorBidi"/>
          <w:szCs w:val="24"/>
        </w:rPr>
        <w:t xml:space="preserve">a </w:t>
      </w:r>
      <w:r w:rsidR="003458EF" w:rsidRPr="0004264F">
        <w:rPr>
          <w:rFonts w:eastAsiaTheme="minorEastAsia" w:cstheme="majorBidi"/>
          <w:szCs w:val="24"/>
        </w:rPr>
        <w:t>three</w:t>
      </w:r>
      <w:r w:rsidR="00893582" w:rsidRPr="0004264F">
        <w:rPr>
          <w:rFonts w:eastAsiaTheme="minorEastAsia" w:cstheme="majorBidi"/>
          <w:szCs w:val="24"/>
        </w:rPr>
        <w:t xml:space="preserve"> </w:t>
      </w:r>
      <w:r w:rsidR="00850631" w:rsidRPr="0004264F">
        <w:rPr>
          <w:rFonts w:eastAsiaTheme="minorEastAsia" w:cstheme="majorBidi"/>
          <w:szCs w:val="24"/>
        </w:rPr>
        <w:t>basis-point</w:t>
      </w:r>
      <w:r w:rsidR="000C46C7" w:rsidRPr="0004264F">
        <w:rPr>
          <w:rFonts w:eastAsiaTheme="minorEastAsia" w:cstheme="majorBidi"/>
          <w:szCs w:val="24"/>
        </w:rPr>
        <w:t xml:space="preserve"> </w:t>
      </w:r>
      <w:r w:rsidR="00893582" w:rsidRPr="0004264F">
        <w:rPr>
          <w:rFonts w:eastAsiaTheme="minorEastAsia" w:cstheme="majorBidi"/>
          <w:szCs w:val="24"/>
        </w:rPr>
        <w:t xml:space="preserve">decrease </w:t>
      </w:r>
      <w:r w:rsidR="000C46C7" w:rsidRPr="0004264F">
        <w:rPr>
          <w:rFonts w:eastAsiaTheme="minorEastAsia" w:cstheme="majorBidi"/>
          <w:szCs w:val="24"/>
        </w:rPr>
        <w:t xml:space="preserve">in </w:t>
      </w:r>
      <w:r w:rsidR="00850631" w:rsidRPr="0004264F">
        <w:rPr>
          <w:rFonts w:eastAsiaTheme="minorEastAsia" w:cstheme="majorBidi"/>
          <w:szCs w:val="24"/>
        </w:rPr>
        <w:t xml:space="preserve">the </w:t>
      </w:r>
      <w:r w:rsidR="000C46C7" w:rsidRPr="0004264F">
        <w:rPr>
          <w:rFonts w:eastAsiaTheme="minorEastAsia" w:cstheme="majorBidi"/>
          <w:szCs w:val="24"/>
        </w:rPr>
        <w:t xml:space="preserve">share of births to </w:t>
      </w:r>
      <w:r w:rsidR="00893582" w:rsidRPr="0004264F">
        <w:rPr>
          <w:rFonts w:eastAsiaTheme="minorEastAsia" w:cstheme="majorBidi"/>
          <w:szCs w:val="24"/>
        </w:rPr>
        <w:t>whites</w:t>
      </w:r>
      <w:r w:rsidR="000C46C7" w:rsidRPr="0004264F">
        <w:rPr>
          <w:rFonts w:eastAsiaTheme="minorEastAsia" w:cstheme="majorBidi"/>
          <w:szCs w:val="24"/>
        </w:rPr>
        <w:t>, roughly 0.</w:t>
      </w:r>
      <w:r w:rsidR="00893582" w:rsidRPr="0004264F">
        <w:rPr>
          <w:rFonts w:eastAsiaTheme="minorEastAsia" w:cstheme="majorBidi"/>
          <w:szCs w:val="24"/>
        </w:rPr>
        <w:t>05</w:t>
      </w:r>
      <w:r w:rsidR="000C46C7" w:rsidRPr="0004264F">
        <w:rPr>
          <w:rFonts w:eastAsiaTheme="minorEastAsia" w:cstheme="majorBidi"/>
          <w:szCs w:val="24"/>
        </w:rPr>
        <w:t xml:space="preserve"> percent change from the mean. </w:t>
      </w:r>
      <w:r w:rsidR="00B86D22" w:rsidRPr="0004264F">
        <w:rPr>
          <w:rFonts w:eastAsiaTheme="minorEastAsia" w:cstheme="majorBidi"/>
          <w:szCs w:val="24"/>
        </w:rPr>
        <w:t xml:space="preserve">If we believe that </w:t>
      </w:r>
      <w:r w:rsidR="00893582" w:rsidRPr="0004264F">
        <w:rPr>
          <w:rFonts w:eastAsiaTheme="minorEastAsia" w:cstheme="majorBidi"/>
          <w:szCs w:val="24"/>
        </w:rPr>
        <w:t xml:space="preserve">whites </w:t>
      </w:r>
      <w:r w:rsidR="00B86D22" w:rsidRPr="0004264F">
        <w:rPr>
          <w:rFonts w:eastAsiaTheme="minorEastAsia" w:cstheme="majorBidi"/>
          <w:szCs w:val="24"/>
        </w:rPr>
        <w:t xml:space="preserve">have </w:t>
      </w:r>
      <w:r w:rsidR="00893582" w:rsidRPr="0004264F">
        <w:rPr>
          <w:rFonts w:eastAsiaTheme="minorEastAsia" w:cstheme="majorBidi"/>
          <w:szCs w:val="24"/>
        </w:rPr>
        <w:t xml:space="preserve">higher </w:t>
      </w:r>
      <w:r w:rsidR="00B86D22" w:rsidRPr="0004264F">
        <w:rPr>
          <w:rFonts w:eastAsiaTheme="minorEastAsia" w:cstheme="majorBidi"/>
          <w:szCs w:val="24"/>
        </w:rPr>
        <w:t xml:space="preserve">longevity for unobservable reasons, then the associated </w:t>
      </w:r>
      <w:r w:rsidR="00893582" w:rsidRPr="0004264F">
        <w:rPr>
          <w:rFonts w:eastAsiaTheme="minorEastAsia" w:cstheme="majorBidi"/>
          <w:szCs w:val="24"/>
        </w:rPr>
        <w:t xml:space="preserve">reduction </w:t>
      </w:r>
      <w:r w:rsidR="00B86D22" w:rsidRPr="0004264F">
        <w:rPr>
          <w:rFonts w:eastAsiaTheme="minorEastAsia" w:cstheme="majorBidi"/>
          <w:szCs w:val="24"/>
        </w:rPr>
        <w:t xml:space="preserve">in their fertility could understate the effects in the main results. </w:t>
      </w:r>
    </w:p>
    <w:p w14:paraId="0CF4B96A" w14:textId="5F58B333" w:rsidR="003D1FA4" w:rsidRPr="0004264F" w:rsidRDefault="003D1FA4" w:rsidP="003D1FA4">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Economic conditions could also affect the survival of fetuses into birth. Fetal death selection is disproportionately higher among males to a degree that sex ratio at birth has been used as a proxy for fetal death </w:t>
      </w:r>
      <w:r w:rsidRPr="0004264F">
        <w:rPr>
          <w:rFonts w:eastAsiaTheme="minorEastAsia" w:cstheme="majorBidi"/>
          <w:szCs w:val="24"/>
        </w:rPr>
        <w:fldChar w:fldCharType="begin" w:fldLock="1"/>
      </w:r>
      <w:r w:rsidR="00075E74" w:rsidRPr="0004264F">
        <w:rPr>
          <w:rFonts w:eastAsiaTheme="minorEastAsia" w:cstheme="majorBidi"/>
          <w:szCs w:val="24"/>
        </w:rPr>
        <w:instrText>ADDIN CSL_CITATION {"citationItems":[{"id":"ITEM-1","itemData":{"DOI":"10.1016/J.JHEALECO.2014.12.005","ISSN":"0167-6296","PMID":"25655338","abstract":"Fetal health is an important consideration in policy formation. Unfortunately, a complete census of fetal deaths, an important measure of overall fetal health, is infeasible, and available data are selectively observed. We consider this issue in the context of the Clean Air Act Amendments of 1970 (CAAA), one of the largest and most influential environmental regulations in the history of the United States. We discuss a model of potential bias in measuring observed fetal deaths, and present the sex ratio of live births as an alternative fetal health endpoint, taking advantage of the finding that males are more vulnerable to side effects of maternal stress in utero. We find the CAAA caused substantial improvements in fetal health, in addition to previously identified reductions in post-natal mortality.","author":[{"dropping-particle":"","family":"Sanders","given":"Nicholas J.","non-dropping-particle":"","parse-names":false,"suffix":""},{"dropping-particle":"","family":"Stoecker","given":"Charles","non-dropping-particle":"","parse-names":false,"suffix":""}],"container-title":"Journal of Health Economics","id":"ITEM-1","issued":{"date-parts":[["2015","5","1"]]},"page":"30-45","publisher":"North-Holland","title":"Where have all the young men gone? Using sex ratios to measure fetal death rates","type":"article-journal","volume":"41"},"uris":["http://www.mendeley.com/documents/?uuid=5c3a708b-cc74-3d57-af72-131369a57235"]}],"mendeley":{"formattedCitation":"(Sanders &amp; Stoecker, 2015)","plainTextFormattedCitation":"(Sanders &amp; Stoecker, 2015)","previouslyFormattedCitation":"(Sanders &amp; Stoecker, 2015)"},"properties":{"noteIndex":0},"schema":"https://github.com/citation-style-language/schema/raw/master/csl-citation.json"}</w:instrText>
      </w:r>
      <w:r w:rsidRPr="0004264F">
        <w:rPr>
          <w:rFonts w:eastAsiaTheme="minorEastAsia" w:cstheme="majorBidi"/>
          <w:szCs w:val="24"/>
        </w:rPr>
        <w:fldChar w:fldCharType="separate"/>
      </w:r>
      <w:r w:rsidRPr="0004264F">
        <w:rPr>
          <w:rFonts w:eastAsiaTheme="minorEastAsia" w:cstheme="majorBidi"/>
          <w:noProof/>
          <w:szCs w:val="24"/>
        </w:rPr>
        <w:t>(Sanders &amp; Stoecker, 2015)</w:t>
      </w:r>
      <w:r w:rsidRPr="0004264F">
        <w:rPr>
          <w:rFonts w:eastAsiaTheme="minorEastAsia" w:cstheme="majorBidi"/>
          <w:szCs w:val="24"/>
        </w:rPr>
        <w:fldChar w:fldCharType="end"/>
      </w:r>
      <w:r w:rsidRPr="0004264F">
        <w:rPr>
          <w:rFonts w:eastAsiaTheme="minorEastAsia" w:cstheme="majorBidi"/>
          <w:szCs w:val="24"/>
        </w:rPr>
        <w:t xml:space="preserve">. We explore the effects of changes in local economic conditions on sex ratio at birth using the 1940 full-count Census. We report and discuss the results in </w:t>
      </w:r>
      <w:r w:rsidRPr="0004264F">
        <w:rPr>
          <w:rFonts w:eastAsiaTheme="minorEastAsia" w:cstheme="majorBidi"/>
          <w:szCs w:val="24"/>
        </w:rPr>
        <w:fldChar w:fldCharType="begin"/>
      </w:r>
      <w:r w:rsidRPr="0004264F">
        <w:rPr>
          <w:rFonts w:eastAsiaTheme="minorEastAsia" w:cstheme="majorBidi"/>
          <w:szCs w:val="24"/>
        </w:rPr>
        <w:instrText xml:space="preserve"> REF _Ref111408841 \n \h </w:instrText>
      </w:r>
      <w:r w:rsidR="00510BC3"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eastAsiaTheme="minorEastAsia" w:cstheme="majorBidi"/>
          <w:szCs w:val="24"/>
        </w:rPr>
        <w:t>Appendix D</w:t>
      </w:r>
      <w:r w:rsidRPr="0004264F">
        <w:rPr>
          <w:rFonts w:eastAsiaTheme="minorEastAsia" w:cstheme="majorBidi"/>
          <w:szCs w:val="24"/>
        </w:rPr>
        <w:fldChar w:fldCharType="end"/>
      </w:r>
      <w:r w:rsidRPr="0004264F">
        <w:rPr>
          <w:rFonts w:eastAsiaTheme="minorEastAsia" w:cstheme="majorBidi"/>
          <w:szCs w:val="24"/>
        </w:rPr>
        <w:t xml:space="preserve">. We find insignificant effects that are very small in magnitude. We further examine selective fertility response of parents to changes in deposits based on maternal education. These results, also reported in </w:t>
      </w:r>
      <w:r w:rsidRPr="0004264F">
        <w:rPr>
          <w:rFonts w:eastAsiaTheme="minorEastAsia" w:cstheme="majorBidi"/>
          <w:szCs w:val="24"/>
        </w:rPr>
        <w:fldChar w:fldCharType="begin"/>
      </w:r>
      <w:r w:rsidRPr="0004264F">
        <w:rPr>
          <w:rFonts w:eastAsiaTheme="minorEastAsia" w:cstheme="majorBidi"/>
          <w:szCs w:val="24"/>
        </w:rPr>
        <w:instrText xml:space="preserve"> REF _Ref111408841 \n \h </w:instrText>
      </w:r>
      <w:r w:rsidR="00510BC3" w:rsidRPr="0004264F">
        <w:rPr>
          <w:rFonts w:eastAsiaTheme="minorEastAsia" w:cstheme="majorBidi"/>
          <w:szCs w:val="24"/>
        </w:rPr>
        <w:instrText xml:space="preserve"> \* MERGEFORMAT </w:instrText>
      </w:r>
      <w:r w:rsidRPr="0004264F">
        <w:rPr>
          <w:rFonts w:eastAsiaTheme="minorEastAsia" w:cstheme="majorBidi"/>
          <w:szCs w:val="24"/>
        </w:rPr>
      </w:r>
      <w:r w:rsidRPr="0004264F">
        <w:rPr>
          <w:rFonts w:eastAsiaTheme="minorEastAsia" w:cstheme="majorBidi"/>
          <w:szCs w:val="24"/>
        </w:rPr>
        <w:fldChar w:fldCharType="separate"/>
      </w:r>
      <w:r w:rsidR="00CA5B9D" w:rsidRPr="0004264F">
        <w:rPr>
          <w:rFonts w:eastAsiaTheme="minorEastAsia" w:cstheme="majorBidi"/>
          <w:szCs w:val="24"/>
        </w:rPr>
        <w:t>Appendix D</w:t>
      </w:r>
      <w:r w:rsidRPr="0004264F">
        <w:rPr>
          <w:rFonts w:eastAsiaTheme="minorEastAsia" w:cstheme="majorBidi"/>
          <w:szCs w:val="24"/>
        </w:rPr>
        <w:fldChar w:fldCharType="end"/>
      </w:r>
      <w:r w:rsidRPr="0004264F">
        <w:rPr>
          <w:rFonts w:eastAsiaTheme="minorEastAsia" w:cstheme="majorBidi"/>
          <w:szCs w:val="24"/>
        </w:rPr>
        <w:t>, do not provide a</w:t>
      </w:r>
      <w:r w:rsidR="009B4C1D" w:rsidRPr="0004264F">
        <w:rPr>
          <w:rFonts w:eastAsiaTheme="minorEastAsia" w:cstheme="majorBidi"/>
          <w:szCs w:val="24"/>
        </w:rPr>
        <w:t xml:space="preserve"> consistent and strong</w:t>
      </w:r>
      <w:r w:rsidRPr="0004264F">
        <w:rPr>
          <w:rFonts w:eastAsiaTheme="minorEastAsia" w:cstheme="majorBidi"/>
          <w:szCs w:val="24"/>
        </w:rPr>
        <w:t xml:space="preserve"> evidence of selective fertility behavior by maternal education. </w:t>
      </w:r>
    </w:p>
    <w:p w14:paraId="66E4CD72" w14:textId="1A686470" w:rsidR="00573B13" w:rsidRPr="0004264F" w:rsidRDefault="00780C32" w:rsidP="009B353A">
      <w:pPr>
        <w:pStyle w:val="Heading1"/>
        <w:rPr>
          <w:rFonts w:asciiTheme="majorBidi" w:eastAsiaTheme="minorEastAsia" w:hAnsiTheme="majorBidi"/>
        </w:rPr>
      </w:pPr>
      <w:bookmarkStart w:id="9" w:name="_Ref98081145"/>
      <w:r w:rsidRPr="0004264F">
        <w:rPr>
          <w:rFonts w:asciiTheme="majorBidi" w:eastAsiaTheme="minorEastAsia" w:hAnsiTheme="majorBidi"/>
        </w:rPr>
        <w:t xml:space="preserve">Mechanism </w:t>
      </w:r>
      <w:bookmarkEnd w:id="9"/>
    </w:p>
    <w:p w14:paraId="1DE70A7E" w14:textId="62F797B4" w:rsidR="007A1ABF" w:rsidRPr="0004264F" w:rsidRDefault="00027D0B" w:rsidP="00977077">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The results so far suggest that early-life economic conditions have </w:t>
      </w:r>
      <w:r w:rsidR="003A6034" w:rsidRPr="0004264F">
        <w:rPr>
          <w:rFonts w:eastAsiaTheme="minorEastAsia" w:cstheme="majorBidi"/>
          <w:szCs w:val="24"/>
        </w:rPr>
        <w:t xml:space="preserve">moderate and </w:t>
      </w:r>
      <w:r w:rsidRPr="0004264F">
        <w:rPr>
          <w:rFonts w:eastAsiaTheme="minorEastAsia" w:cstheme="majorBidi"/>
          <w:szCs w:val="24"/>
        </w:rPr>
        <w:t>robust effects on later-life longevity.</w:t>
      </w:r>
      <w:r w:rsidR="0088669C" w:rsidRPr="0004264F">
        <w:rPr>
          <w:rFonts w:eastAsiaTheme="minorEastAsia" w:cstheme="majorBidi"/>
          <w:szCs w:val="24"/>
        </w:rPr>
        <w:t xml:space="preserve"> </w:t>
      </w:r>
      <w:r w:rsidR="008A0969" w:rsidRPr="0004264F">
        <w:rPr>
          <w:rFonts w:eastAsiaTheme="minorEastAsia" w:cstheme="majorBidi"/>
          <w:szCs w:val="24"/>
        </w:rPr>
        <w:t>To</w:t>
      </w:r>
      <w:r w:rsidR="0088669C" w:rsidRPr="0004264F">
        <w:rPr>
          <w:rFonts w:eastAsiaTheme="minorEastAsia" w:cstheme="majorBidi"/>
          <w:szCs w:val="24"/>
        </w:rPr>
        <w:t xml:space="preserve"> establish a candidate mediatory link, we explore the effects on later-life education-income profile</w:t>
      </w:r>
      <w:r w:rsidR="003A6034" w:rsidRPr="0004264F">
        <w:rPr>
          <w:rFonts w:eastAsiaTheme="minorEastAsia" w:cstheme="majorBidi"/>
          <w:szCs w:val="24"/>
        </w:rPr>
        <w:t>s</w:t>
      </w:r>
      <w:r w:rsidR="0088669C" w:rsidRPr="0004264F">
        <w:rPr>
          <w:rFonts w:eastAsiaTheme="minorEastAsia" w:cstheme="majorBidi"/>
          <w:szCs w:val="24"/>
        </w:rPr>
        <w:t xml:space="preserve">. However, in </w:t>
      </w:r>
      <w:r w:rsidR="008A0969" w:rsidRPr="0004264F">
        <w:rPr>
          <w:rFonts w:eastAsiaTheme="minorEastAsia" w:cstheme="majorBidi"/>
          <w:szCs w:val="24"/>
        </w:rPr>
        <w:t xml:space="preserve">the </w:t>
      </w:r>
      <w:r w:rsidR="0088669C" w:rsidRPr="0004264F">
        <w:rPr>
          <w:rFonts w:eastAsiaTheme="minorEastAsia" w:cstheme="majorBidi"/>
          <w:szCs w:val="24"/>
        </w:rPr>
        <w:t xml:space="preserve">1940 </w:t>
      </w:r>
      <w:r w:rsidR="00535911" w:rsidRPr="0004264F">
        <w:rPr>
          <w:rFonts w:eastAsiaTheme="minorEastAsia" w:cstheme="majorBidi"/>
          <w:szCs w:val="24"/>
        </w:rPr>
        <w:t>C</w:t>
      </w:r>
      <w:r w:rsidR="0088669C" w:rsidRPr="0004264F">
        <w:rPr>
          <w:rFonts w:eastAsiaTheme="minorEastAsia" w:cstheme="majorBidi"/>
          <w:szCs w:val="24"/>
        </w:rPr>
        <w:t xml:space="preserve">ensus, the cohorts of our final sample (born in 1926-1936) </w:t>
      </w:r>
      <w:r w:rsidR="007A1ABF" w:rsidRPr="0004264F">
        <w:rPr>
          <w:rFonts w:eastAsiaTheme="minorEastAsia" w:cstheme="majorBidi"/>
          <w:szCs w:val="24"/>
        </w:rPr>
        <w:t>had</w:t>
      </w:r>
      <w:r w:rsidR="0088669C" w:rsidRPr="0004264F">
        <w:rPr>
          <w:rFonts w:eastAsiaTheme="minorEastAsia" w:cstheme="majorBidi"/>
          <w:szCs w:val="24"/>
        </w:rPr>
        <w:t xml:space="preserve"> not completed their education. In addition to this issue, post-1940 censuses do not provide county identifier</w:t>
      </w:r>
      <w:r w:rsidR="003A6034" w:rsidRPr="0004264F">
        <w:rPr>
          <w:rFonts w:eastAsiaTheme="minorEastAsia" w:cstheme="majorBidi"/>
          <w:szCs w:val="24"/>
        </w:rPr>
        <w:t>s</w:t>
      </w:r>
      <w:r w:rsidR="0088669C" w:rsidRPr="0004264F">
        <w:rPr>
          <w:rFonts w:eastAsiaTheme="minorEastAsia" w:cstheme="majorBidi"/>
          <w:szCs w:val="24"/>
        </w:rPr>
        <w:t xml:space="preserve">. </w:t>
      </w:r>
      <w:r w:rsidR="007A1ABF" w:rsidRPr="0004264F">
        <w:rPr>
          <w:rFonts w:eastAsiaTheme="minorEastAsia" w:cstheme="majorBidi"/>
          <w:szCs w:val="24"/>
        </w:rPr>
        <w:t>To</w:t>
      </w:r>
      <w:r w:rsidR="0088669C" w:rsidRPr="0004264F">
        <w:rPr>
          <w:rFonts w:eastAsiaTheme="minorEastAsia" w:cstheme="majorBidi"/>
          <w:szCs w:val="24"/>
        </w:rPr>
        <w:t xml:space="preserve"> overcome this problem, we </w:t>
      </w:r>
      <w:r w:rsidR="003A6034" w:rsidRPr="0004264F">
        <w:rPr>
          <w:rFonts w:eastAsiaTheme="minorEastAsia" w:cstheme="majorBidi"/>
          <w:szCs w:val="24"/>
        </w:rPr>
        <w:t>use</w:t>
      </w:r>
      <w:r w:rsidR="0088669C" w:rsidRPr="0004264F">
        <w:rPr>
          <w:rFonts w:eastAsiaTheme="minorEastAsia" w:cstheme="majorBidi"/>
          <w:szCs w:val="24"/>
        </w:rPr>
        <w:t xml:space="preserve"> the 1960 census in which we have a below-state geographic identifier: Public Use Microdata Area (PUMA). </w:t>
      </w:r>
    </w:p>
    <w:p w14:paraId="195E95E0" w14:textId="23EF62B3" w:rsidR="008110CD" w:rsidRPr="0004264F" w:rsidRDefault="0088669C" w:rsidP="00977077">
      <w:pPr>
        <w:spacing w:before="60" w:after="60" w:line="480" w:lineRule="auto"/>
        <w:ind w:firstLine="720"/>
        <w:jc w:val="both"/>
        <w:rPr>
          <w:rFonts w:eastAsiaTheme="minorEastAsia" w:cstheme="majorBidi"/>
          <w:szCs w:val="24"/>
        </w:rPr>
      </w:pPr>
      <w:r w:rsidRPr="0004264F">
        <w:rPr>
          <w:rFonts w:eastAsiaTheme="minorEastAsia" w:cstheme="majorBidi"/>
          <w:szCs w:val="24"/>
        </w:rPr>
        <w:lastRenderedPageBreak/>
        <w:t xml:space="preserve">PUMA is a </w:t>
      </w:r>
      <w:r w:rsidR="00535911" w:rsidRPr="0004264F">
        <w:rPr>
          <w:rFonts w:eastAsiaTheme="minorEastAsia" w:cstheme="majorBidi"/>
          <w:szCs w:val="24"/>
        </w:rPr>
        <w:t>C</w:t>
      </w:r>
      <w:r w:rsidRPr="0004264F">
        <w:rPr>
          <w:rFonts w:eastAsiaTheme="minorEastAsia" w:cstheme="majorBidi"/>
          <w:szCs w:val="24"/>
        </w:rPr>
        <w:t xml:space="preserve">ensus-defined geographic boundary that identifies places based on their population. In urban areas with </w:t>
      </w:r>
      <w:r w:rsidR="000465A9" w:rsidRPr="0004264F">
        <w:rPr>
          <w:rFonts w:eastAsiaTheme="minorEastAsia" w:cstheme="majorBidi"/>
          <w:szCs w:val="24"/>
        </w:rPr>
        <w:t xml:space="preserve">a </w:t>
      </w:r>
      <w:r w:rsidRPr="0004264F">
        <w:rPr>
          <w:rFonts w:eastAsiaTheme="minorEastAsia" w:cstheme="majorBidi"/>
          <w:szCs w:val="24"/>
        </w:rPr>
        <w:t xml:space="preserve">higher population (and population density), a county contains several PUMAs. In rural areas with </w:t>
      </w:r>
      <w:r w:rsidR="000465A9" w:rsidRPr="0004264F">
        <w:rPr>
          <w:rFonts w:eastAsiaTheme="minorEastAsia" w:cstheme="majorBidi"/>
          <w:szCs w:val="24"/>
        </w:rPr>
        <w:t xml:space="preserve">a </w:t>
      </w:r>
      <w:r w:rsidRPr="0004264F">
        <w:rPr>
          <w:rFonts w:eastAsiaTheme="minorEastAsia" w:cstheme="majorBidi"/>
          <w:szCs w:val="24"/>
        </w:rPr>
        <w:t xml:space="preserve">lower population, several counties </w:t>
      </w:r>
      <w:r w:rsidR="00B672DD" w:rsidRPr="0004264F">
        <w:rPr>
          <w:rFonts w:eastAsiaTheme="minorEastAsia" w:cstheme="majorBidi"/>
          <w:szCs w:val="24"/>
        </w:rPr>
        <w:t>are grouped to form</w:t>
      </w:r>
      <w:r w:rsidRPr="0004264F">
        <w:rPr>
          <w:rFonts w:eastAsiaTheme="minorEastAsia" w:cstheme="majorBidi"/>
          <w:szCs w:val="24"/>
        </w:rPr>
        <w:t xml:space="preserve"> one PUMA.</w:t>
      </w:r>
      <w:r w:rsidR="00B672DD" w:rsidRPr="0004264F">
        <w:rPr>
          <w:rFonts w:eastAsiaTheme="minorEastAsia" w:cstheme="majorBidi"/>
          <w:szCs w:val="24"/>
        </w:rPr>
        <w:t xml:space="preserve"> We convert our deposit data into PUMA level by aggregating the deposits for several-county PUMAs and assigning similar values to different PUMAs within a county that covers several PUMAs. </w:t>
      </w:r>
      <w:r w:rsidR="00C23E1A" w:rsidRPr="0004264F">
        <w:rPr>
          <w:rFonts w:eastAsiaTheme="minorEastAsia" w:cstheme="majorBidi"/>
          <w:szCs w:val="24"/>
        </w:rPr>
        <w:t>We then merge this with observations in the 1960 census based on PUMA and birth</w:t>
      </w:r>
      <w:r w:rsidR="001C5F17" w:rsidRPr="0004264F">
        <w:rPr>
          <w:rFonts w:eastAsiaTheme="minorEastAsia" w:cstheme="majorBidi"/>
          <w:szCs w:val="24"/>
        </w:rPr>
        <w:t xml:space="preserve"> </w:t>
      </w:r>
      <w:r w:rsidR="00C23E1A" w:rsidRPr="0004264F">
        <w:rPr>
          <w:rFonts w:eastAsiaTheme="minorEastAsia" w:cstheme="majorBidi"/>
          <w:szCs w:val="24"/>
        </w:rPr>
        <w:t>year. To alleviate the migration issue, we restrict the sample to individuals whose state</w:t>
      </w:r>
      <w:r w:rsidR="005D4DBA" w:rsidRPr="0004264F">
        <w:rPr>
          <w:rFonts w:eastAsiaTheme="minorEastAsia" w:cstheme="majorBidi"/>
          <w:szCs w:val="24"/>
        </w:rPr>
        <w:t xml:space="preserve"> </w:t>
      </w:r>
      <w:r w:rsidR="00C23E1A" w:rsidRPr="0004264F">
        <w:rPr>
          <w:rFonts w:eastAsiaTheme="minorEastAsia" w:cstheme="majorBidi"/>
          <w:szCs w:val="24"/>
        </w:rPr>
        <w:t>of</w:t>
      </w:r>
      <w:r w:rsidR="005D4DBA" w:rsidRPr="0004264F">
        <w:rPr>
          <w:rFonts w:eastAsiaTheme="minorEastAsia" w:cstheme="majorBidi"/>
          <w:szCs w:val="24"/>
        </w:rPr>
        <w:t xml:space="preserve"> </w:t>
      </w:r>
      <w:r w:rsidR="00C23E1A" w:rsidRPr="0004264F">
        <w:rPr>
          <w:rFonts w:eastAsiaTheme="minorEastAsia" w:cstheme="majorBidi"/>
          <w:szCs w:val="24"/>
        </w:rPr>
        <w:t>birth is the same as state-of-residence in 1960. We also restrict the sample to cohorts born between the years 192</w:t>
      </w:r>
      <w:r w:rsidR="00ED3E5B" w:rsidRPr="0004264F">
        <w:rPr>
          <w:rFonts w:eastAsiaTheme="minorEastAsia" w:cstheme="majorBidi"/>
          <w:szCs w:val="24"/>
        </w:rPr>
        <w:t>8</w:t>
      </w:r>
      <w:r w:rsidR="00C23E1A" w:rsidRPr="0004264F">
        <w:rPr>
          <w:rFonts w:eastAsiaTheme="minorEastAsia" w:cstheme="majorBidi"/>
          <w:szCs w:val="24"/>
        </w:rPr>
        <w:t>-1936.</w:t>
      </w:r>
      <w:r w:rsidR="007F0C3F" w:rsidRPr="0004264F">
        <w:rPr>
          <w:rStyle w:val="FootnoteReference"/>
          <w:rFonts w:eastAsiaTheme="minorEastAsia" w:cstheme="majorBidi"/>
          <w:szCs w:val="24"/>
        </w:rPr>
        <w:footnoteReference w:id="13"/>
      </w:r>
      <w:r w:rsidR="009B4C1D" w:rsidRPr="0004264F">
        <w:rPr>
          <w:rFonts w:eastAsiaTheme="minorEastAsia" w:cstheme="majorBidi"/>
          <w:szCs w:val="24"/>
        </w:rPr>
        <w:t xml:space="preserve"> </w:t>
      </w:r>
      <w:r w:rsidR="001014EF" w:rsidRPr="0004264F">
        <w:rPr>
          <w:rFonts w:eastAsiaTheme="minorEastAsia" w:cstheme="majorBidi"/>
          <w:szCs w:val="24"/>
        </w:rPr>
        <w:t xml:space="preserve">We implement regressions that include, in addition to individual covariates, PUMA and </w:t>
      </w:r>
      <w:r w:rsidR="00AE23FF" w:rsidRPr="0004264F">
        <w:rPr>
          <w:rFonts w:eastAsiaTheme="minorEastAsia" w:cstheme="majorBidi"/>
          <w:szCs w:val="24"/>
        </w:rPr>
        <w:t>state</w:t>
      </w:r>
      <w:r w:rsidR="001014EF" w:rsidRPr="0004264F">
        <w:rPr>
          <w:rFonts w:eastAsiaTheme="minorEastAsia" w:cstheme="majorBidi"/>
          <w:szCs w:val="24"/>
        </w:rPr>
        <w:t>-birth-year fixed effects.</w:t>
      </w:r>
      <w:r w:rsidR="00AE23FF" w:rsidRPr="0004264F">
        <w:rPr>
          <w:rStyle w:val="FootnoteReference"/>
          <w:rFonts w:eastAsiaTheme="minorEastAsia" w:cstheme="majorBidi"/>
          <w:szCs w:val="24"/>
        </w:rPr>
        <w:footnoteReference w:id="14"/>
      </w:r>
      <w:r w:rsidR="001014EF" w:rsidRPr="0004264F">
        <w:rPr>
          <w:rFonts w:eastAsiaTheme="minorEastAsia" w:cstheme="majorBidi"/>
          <w:szCs w:val="24"/>
        </w:rPr>
        <w:t xml:space="preserve"> </w:t>
      </w:r>
      <w:r w:rsidR="009B4057" w:rsidRPr="0004264F">
        <w:rPr>
          <w:rFonts w:eastAsiaTheme="minorEastAsia" w:cstheme="majorBidi"/>
          <w:szCs w:val="24"/>
        </w:rPr>
        <w:t xml:space="preserve">The results are reported in </w:t>
      </w:r>
      <w:r w:rsidR="00B24F38" w:rsidRPr="0004264F">
        <w:rPr>
          <w:rFonts w:eastAsiaTheme="minorEastAsia" w:cstheme="majorBidi"/>
          <w:szCs w:val="24"/>
        </w:rPr>
        <w:fldChar w:fldCharType="begin"/>
      </w:r>
      <w:r w:rsidR="00B24F38" w:rsidRPr="0004264F">
        <w:rPr>
          <w:rFonts w:eastAsiaTheme="minorEastAsia" w:cstheme="majorBidi"/>
          <w:szCs w:val="24"/>
        </w:rPr>
        <w:instrText xml:space="preserve"> REF _Ref97972499 \h </w:instrText>
      </w:r>
      <w:r w:rsidR="00510BC3" w:rsidRPr="0004264F">
        <w:rPr>
          <w:rFonts w:eastAsiaTheme="minorEastAsia" w:cstheme="majorBidi"/>
          <w:szCs w:val="24"/>
        </w:rPr>
        <w:instrText xml:space="preserve"> \* MERGEFORMAT </w:instrText>
      </w:r>
      <w:r w:rsidR="00B24F38" w:rsidRPr="0004264F">
        <w:rPr>
          <w:rFonts w:eastAsiaTheme="minorEastAsia" w:cstheme="majorBidi"/>
          <w:szCs w:val="24"/>
        </w:rPr>
      </w:r>
      <w:r w:rsidR="00B24F38" w:rsidRPr="0004264F">
        <w:rPr>
          <w:rFonts w:eastAsiaTheme="minorEastAsia" w:cstheme="majorBidi"/>
          <w:szCs w:val="24"/>
        </w:rPr>
        <w:fldChar w:fldCharType="separate"/>
      </w:r>
      <w:r w:rsidR="009B4C1D" w:rsidRPr="0004264F">
        <w:rPr>
          <w:rFonts w:cstheme="majorBidi"/>
        </w:rPr>
        <w:t xml:space="preserve">Table </w:t>
      </w:r>
      <w:r w:rsidR="009B4C1D" w:rsidRPr="0004264F">
        <w:rPr>
          <w:rFonts w:cstheme="majorBidi"/>
          <w:noProof/>
        </w:rPr>
        <w:t>11</w:t>
      </w:r>
      <w:r w:rsidR="00B24F38" w:rsidRPr="0004264F">
        <w:rPr>
          <w:rFonts w:eastAsiaTheme="minorEastAsia" w:cstheme="majorBidi"/>
          <w:szCs w:val="24"/>
        </w:rPr>
        <w:fldChar w:fldCharType="end"/>
      </w:r>
      <w:r w:rsidR="00B24F38" w:rsidRPr="0004264F">
        <w:rPr>
          <w:rFonts w:eastAsiaTheme="minorEastAsia" w:cstheme="majorBidi"/>
          <w:szCs w:val="24"/>
        </w:rPr>
        <w:t xml:space="preserve"> </w:t>
      </w:r>
      <w:r w:rsidR="00420F85" w:rsidRPr="0004264F">
        <w:rPr>
          <w:rFonts w:eastAsiaTheme="minorEastAsia" w:cstheme="majorBidi"/>
          <w:szCs w:val="24"/>
        </w:rPr>
        <w:t xml:space="preserve">The results suggest </w:t>
      </w:r>
      <w:r w:rsidR="000044EE" w:rsidRPr="0004264F">
        <w:rPr>
          <w:rFonts w:eastAsiaTheme="minorEastAsia" w:cstheme="majorBidi"/>
          <w:szCs w:val="24"/>
        </w:rPr>
        <w:t xml:space="preserve">a </w:t>
      </w:r>
      <w:r w:rsidR="00420F85" w:rsidRPr="0004264F">
        <w:rPr>
          <w:rFonts w:eastAsiaTheme="minorEastAsia" w:cstheme="majorBidi"/>
          <w:szCs w:val="24"/>
        </w:rPr>
        <w:t>strong statistical association between per capita deposits in the birth</w:t>
      </w:r>
      <w:r w:rsidR="00695E26" w:rsidRPr="0004264F">
        <w:rPr>
          <w:rFonts w:eastAsiaTheme="minorEastAsia" w:cstheme="majorBidi"/>
          <w:szCs w:val="24"/>
        </w:rPr>
        <w:t xml:space="preserve"> </w:t>
      </w:r>
      <w:r w:rsidR="00420F85" w:rsidRPr="0004264F">
        <w:rPr>
          <w:rFonts w:eastAsiaTheme="minorEastAsia" w:cstheme="majorBidi"/>
          <w:szCs w:val="24"/>
        </w:rPr>
        <w:t xml:space="preserve">year and educational outcomes and measures of </w:t>
      </w:r>
      <w:r w:rsidR="00695E26" w:rsidRPr="0004264F">
        <w:rPr>
          <w:rFonts w:eastAsiaTheme="minorEastAsia" w:cstheme="majorBidi"/>
          <w:szCs w:val="24"/>
        </w:rPr>
        <w:t xml:space="preserve">the </w:t>
      </w:r>
      <w:r w:rsidR="00420F85" w:rsidRPr="0004264F">
        <w:rPr>
          <w:rFonts w:eastAsiaTheme="minorEastAsia" w:cstheme="majorBidi"/>
          <w:szCs w:val="24"/>
        </w:rPr>
        <w:t xml:space="preserve">socioeconomic index. </w:t>
      </w:r>
      <w:r w:rsidR="00A5796E" w:rsidRPr="0004264F">
        <w:rPr>
          <w:rFonts w:eastAsiaTheme="minorEastAsia" w:cstheme="majorBidi"/>
          <w:szCs w:val="24"/>
        </w:rPr>
        <w:t>For instance, a one</w:t>
      </w:r>
      <w:r w:rsidR="00107EEB" w:rsidRPr="0004264F">
        <w:rPr>
          <w:rFonts w:eastAsiaTheme="minorEastAsia" w:cstheme="majorBidi"/>
          <w:szCs w:val="24"/>
        </w:rPr>
        <w:t>-</w:t>
      </w:r>
      <w:r w:rsidR="00A5796E" w:rsidRPr="0004264F">
        <w:rPr>
          <w:rFonts w:eastAsiaTheme="minorEastAsia" w:cstheme="majorBidi"/>
          <w:szCs w:val="24"/>
        </w:rPr>
        <w:t xml:space="preserve">standard-deviation rise in deposits is associated with 0.04 additional years of schooling (column 1), </w:t>
      </w:r>
      <w:r w:rsidR="00977077" w:rsidRPr="0004264F">
        <w:rPr>
          <w:rFonts w:eastAsiaTheme="minorEastAsia" w:cstheme="majorBidi"/>
          <w:szCs w:val="24"/>
        </w:rPr>
        <w:t>5</w:t>
      </w:r>
      <w:r w:rsidR="009B4C1D" w:rsidRPr="0004264F">
        <w:rPr>
          <w:rFonts w:eastAsiaTheme="minorEastAsia" w:cstheme="majorBidi"/>
          <w:szCs w:val="24"/>
        </w:rPr>
        <w:t>7</w:t>
      </w:r>
      <w:r w:rsidR="00977077" w:rsidRPr="0004264F">
        <w:rPr>
          <w:rFonts w:eastAsiaTheme="minorEastAsia" w:cstheme="majorBidi"/>
          <w:szCs w:val="24"/>
        </w:rPr>
        <w:t xml:space="preserve"> </w:t>
      </w:r>
      <w:r w:rsidR="00A5796E" w:rsidRPr="0004264F">
        <w:rPr>
          <w:rFonts w:eastAsiaTheme="minorEastAsia" w:cstheme="majorBidi"/>
          <w:szCs w:val="24"/>
        </w:rPr>
        <w:t>basis points increase in the probability of any college education (column 2), $</w:t>
      </w:r>
      <w:r w:rsidR="009B4C1D" w:rsidRPr="0004264F">
        <w:rPr>
          <w:rFonts w:eastAsiaTheme="minorEastAsia" w:cstheme="majorBidi"/>
          <w:szCs w:val="24"/>
        </w:rPr>
        <w:t xml:space="preserve">27 </w:t>
      </w:r>
      <w:r w:rsidR="00A5796E" w:rsidRPr="0004264F">
        <w:rPr>
          <w:rFonts w:eastAsiaTheme="minorEastAsia" w:cstheme="majorBidi"/>
          <w:szCs w:val="24"/>
        </w:rPr>
        <w:t>higher wage income (column 6), and 0.</w:t>
      </w:r>
      <w:r w:rsidR="00977077" w:rsidRPr="0004264F">
        <w:rPr>
          <w:rFonts w:eastAsiaTheme="minorEastAsia" w:cstheme="majorBidi"/>
          <w:szCs w:val="24"/>
        </w:rPr>
        <w:t xml:space="preserve">18 </w:t>
      </w:r>
      <w:r w:rsidR="00A5796E" w:rsidRPr="0004264F">
        <w:rPr>
          <w:rFonts w:eastAsiaTheme="minorEastAsia" w:cstheme="majorBidi"/>
          <w:szCs w:val="24"/>
        </w:rPr>
        <w:t xml:space="preserve">units increase in </w:t>
      </w:r>
      <w:r w:rsidR="00A571B8" w:rsidRPr="0004264F">
        <w:rPr>
          <w:rFonts w:eastAsiaTheme="minorEastAsia" w:cstheme="majorBidi"/>
          <w:szCs w:val="24"/>
        </w:rPr>
        <w:t xml:space="preserve">the </w:t>
      </w:r>
      <w:r w:rsidR="00A5796E" w:rsidRPr="0004264F">
        <w:rPr>
          <w:rFonts w:eastAsiaTheme="minorEastAsia" w:cstheme="majorBidi"/>
          <w:szCs w:val="24"/>
        </w:rPr>
        <w:t xml:space="preserve">socioeconomic score (column 8). </w:t>
      </w:r>
      <w:r w:rsidR="008110CD" w:rsidRPr="0004264F">
        <w:rPr>
          <w:rFonts w:eastAsiaTheme="minorEastAsia" w:cstheme="majorBidi"/>
          <w:szCs w:val="24"/>
        </w:rPr>
        <w:t xml:space="preserve">We can scale up these effects using changes in state-level income per capita from peak to trough of the Great Depression (years 1929-1933) and its link to deposits as discussed in section </w:t>
      </w:r>
      <w:r w:rsidR="008110CD" w:rsidRPr="0004264F">
        <w:rPr>
          <w:rFonts w:eastAsiaTheme="minorEastAsia" w:cstheme="majorBidi"/>
          <w:szCs w:val="24"/>
        </w:rPr>
        <w:fldChar w:fldCharType="begin"/>
      </w:r>
      <w:r w:rsidR="008110CD" w:rsidRPr="0004264F">
        <w:rPr>
          <w:rFonts w:eastAsiaTheme="minorEastAsia" w:cstheme="majorBidi"/>
          <w:szCs w:val="24"/>
        </w:rPr>
        <w:instrText xml:space="preserve"> REF _Ref111409338 \n \h </w:instrText>
      </w:r>
      <w:r w:rsidR="00510BC3" w:rsidRPr="0004264F">
        <w:rPr>
          <w:rFonts w:eastAsiaTheme="minorEastAsia" w:cstheme="majorBidi"/>
          <w:szCs w:val="24"/>
        </w:rPr>
        <w:instrText xml:space="preserve"> \* MERGEFORMAT </w:instrText>
      </w:r>
      <w:r w:rsidR="008110CD" w:rsidRPr="0004264F">
        <w:rPr>
          <w:rFonts w:eastAsiaTheme="minorEastAsia" w:cstheme="majorBidi"/>
          <w:szCs w:val="24"/>
        </w:rPr>
      </w:r>
      <w:r w:rsidR="008110CD" w:rsidRPr="0004264F">
        <w:rPr>
          <w:rFonts w:eastAsiaTheme="minorEastAsia" w:cstheme="majorBidi"/>
          <w:szCs w:val="24"/>
        </w:rPr>
        <w:fldChar w:fldCharType="separate"/>
      </w:r>
      <w:r w:rsidR="00CA5B9D" w:rsidRPr="0004264F">
        <w:rPr>
          <w:rFonts w:eastAsiaTheme="minorEastAsia" w:cstheme="majorBidi"/>
          <w:szCs w:val="24"/>
        </w:rPr>
        <w:t>5.5</w:t>
      </w:r>
      <w:r w:rsidR="008110CD" w:rsidRPr="0004264F">
        <w:rPr>
          <w:rFonts w:eastAsiaTheme="minorEastAsia" w:cstheme="majorBidi"/>
          <w:szCs w:val="24"/>
        </w:rPr>
        <w:fldChar w:fldCharType="end"/>
      </w:r>
      <w:r w:rsidR="008110CD" w:rsidRPr="0004264F">
        <w:rPr>
          <w:rFonts w:eastAsiaTheme="minorEastAsia" w:cstheme="majorBidi"/>
          <w:szCs w:val="24"/>
        </w:rPr>
        <w:t xml:space="preserve">. </w:t>
      </w:r>
      <w:r w:rsidR="00E634F0" w:rsidRPr="0004264F">
        <w:rPr>
          <w:rFonts w:eastAsiaTheme="minorEastAsia" w:cstheme="majorBidi"/>
          <w:szCs w:val="24"/>
        </w:rPr>
        <w:t xml:space="preserve">Such changes in deposits </w:t>
      </w:r>
      <w:r w:rsidR="009B4C1D" w:rsidRPr="0004264F">
        <w:rPr>
          <w:rFonts w:eastAsiaTheme="minorEastAsia" w:cstheme="majorBidi"/>
          <w:szCs w:val="24"/>
        </w:rPr>
        <w:t>are</w:t>
      </w:r>
      <w:r w:rsidR="00E634F0" w:rsidRPr="0004264F">
        <w:rPr>
          <w:rFonts w:eastAsiaTheme="minorEastAsia" w:cstheme="majorBidi"/>
          <w:szCs w:val="24"/>
        </w:rPr>
        <w:t xml:space="preserve"> associated with about 0.1</w:t>
      </w:r>
      <w:r w:rsidR="009B4C1D" w:rsidRPr="0004264F">
        <w:rPr>
          <w:rFonts w:eastAsiaTheme="minorEastAsia" w:cstheme="majorBidi"/>
          <w:szCs w:val="24"/>
        </w:rPr>
        <w:t>3</w:t>
      </w:r>
      <w:r w:rsidR="00E634F0" w:rsidRPr="0004264F">
        <w:rPr>
          <w:rFonts w:eastAsiaTheme="minorEastAsia" w:cstheme="majorBidi"/>
          <w:szCs w:val="24"/>
        </w:rPr>
        <w:t xml:space="preserve"> years drop in years of schooling, roughly 2 percentage-points fall in the probability of college education, and 0.6 units drop in socioeconomic score. </w:t>
      </w:r>
    </w:p>
    <w:p w14:paraId="5BE709CD" w14:textId="3D09BF17" w:rsidR="0088669C" w:rsidRPr="0004264F" w:rsidRDefault="001F633D" w:rsidP="00667E7E">
      <w:pPr>
        <w:spacing w:before="60" w:after="60" w:line="480" w:lineRule="auto"/>
        <w:ind w:firstLine="720"/>
        <w:jc w:val="both"/>
        <w:rPr>
          <w:rFonts w:eastAsiaTheme="minorEastAsia" w:cstheme="majorBidi"/>
          <w:szCs w:val="24"/>
        </w:rPr>
      </w:pPr>
      <w:r w:rsidRPr="0004264F">
        <w:rPr>
          <w:rFonts w:eastAsiaTheme="minorEastAsia" w:cstheme="majorBidi"/>
          <w:szCs w:val="24"/>
        </w:rPr>
        <w:lastRenderedPageBreak/>
        <w:t xml:space="preserve">We can use the values reported by similar studies to understand how much of the effects could operate through these channels. </w:t>
      </w:r>
      <w:r w:rsidR="002301F9" w:rsidRPr="0004264F">
        <w:rPr>
          <w:rFonts w:eastAsiaTheme="minorEastAsia" w:cstheme="majorBidi"/>
          <w:szCs w:val="24"/>
        </w:rPr>
        <w:fldChar w:fldCharType="begin" w:fldLock="1"/>
      </w:r>
      <w:r w:rsidR="00075E74" w:rsidRPr="0004264F">
        <w:rPr>
          <w:rFonts w:eastAsiaTheme="minorEastAsia" w:cstheme="majorBidi"/>
          <w:szCs w:val="24"/>
        </w:rPr>
        <w:instrText>ADDIN CSL_CITATION {"citationItems":[{"id":"ITEM-1","itemData":{"DOI":"10.3386/W29423","abstract":"This paper explores the long-run health benefits of education for longevity. Using mortality data from the Social Security Administration (1988-2005) linked to geographic locations in the 1940-census data, we exploit changes in college availability across cohorts in local areas. We estimate an intent to treat effect of exposure to an additional 4-year college around age 17 of increasing longevity by 0.13 months; treatment on the treated calculations suggest increases in longevity between 1-1.6 years. Some further analyses suggest the results are not driven by pretends , endogenous migration, and other time-varying local confounders. This paper adds to the literature on the health and social benefits of education.","author":[{"dropping-particle":"","family":"Fletcher","given":"Jason","non-dropping-particle":"","parse-names":false,"suffix":""},{"dropping-particle":"","family":"Noghanibehambari","given":"Hamid","non-dropping-particle":"","parse-names":false,"suffix":""}],"id":"ITEM-1","issued":{"date-parts":[["2021","11","1"]]},"publisher-place":"Cambridge, MA","title":"The Effects of Education on Mortality: Evidence Using College Expansions","type":"article-journal"},"uris":["http://www.mendeley.com/documents/?uuid=ec91619b-11d0-3cdc-ba86-ba12997bf6aa"]}],"mendeley":{"formattedCitation":"(J. Fletcher &amp; Noghanibehambari, 2021)","manualFormatting":"Fletcher &amp; Noghanibehambari (2021)","plainTextFormattedCitation":"(J. Fletcher &amp; Noghanibehambari, 2021)","previouslyFormattedCitation":"(J. Fletcher &amp; Noghanibehambari, 2021)"},"properties":{"noteIndex":0},"schema":"https://github.com/citation-style-language/schema/raw/master/csl-citation.json"}</w:instrText>
      </w:r>
      <w:r w:rsidR="002301F9" w:rsidRPr="0004264F">
        <w:rPr>
          <w:rFonts w:eastAsiaTheme="minorEastAsia" w:cstheme="majorBidi"/>
          <w:szCs w:val="24"/>
        </w:rPr>
        <w:fldChar w:fldCharType="separate"/>
      </w:r>
      <w:r w:rsidR="002301F9" w:rsidRPr="0004264F">
        <w:rPr>
          <w:rFonts w:eastAsiaTheme="minorEastAsia" w:cstheme="majorBidi"/>
          <w:noProof/>
          <w:szCs w:val="24"/>
        </w:rPr>
        <w:t>Fletcher &amp; Noghanibehambari (2021)</w:t>
      </w:r>
      <w:r w:rsidR="002301F9" w:rsidRPr="0004264F">
        <w:rPr>
          <w:rFonts w:eastAsiaTheme="minorEastAsia" w:cstheme="majorBidi"/>
          <w:szCs w:val="24"/>
        </w:rPr>
        <w:fldChar w:fldCharType="end"/>
      </w:r>
      <w:r w:rsidRPr="0004264F">
        <w:rPr>
          <w:rFonts w:eastAsiaTheme="minorEastAsia" w:cstheme="majorBidi"/>
          <w:szCs w:val="24"/>
        </w:rPr>
        <w:t xml:space="preserve"> explore the effects of new college opening during adolescence on later-life longevity. They find that </w:t>
      </w:r>
      <w:r w:rsidR="008E4D2E" w:rsidRPr="0004264F">
        <w:rPr>
          <w:rFonts w:eastAsiaTheme="minorEastAsia" w:cstheme="majorBidi"/>
          <w:szCs w:val="24"/>
        </w:rPr>
        <w:t xml:space="preserve">having </w:t>
      </w:r>
      <w:r w:rsidR="00633EF4" w:rsidRPr="0004264F">
        <w:rPr>
          <w:rFonts w:eastAsiaTheme="minorEastAsia" w:cstheme="majorBidi"/>
          <w:szCs w:val="24"/>
        </w:rPr>
        <w:t xml:space="preserve">a </w:t>
      </w:r>
      <w:r w:rsidR="008E4D2E" w:rsidRPr="0004264F">
        <w:rPr>
          <w:rFonts w:eastAsiaTheme="minorEastAsia" w:cstheme="majorBidi"/>
          <w:szCs w:val="24"/>
        </w:rPr>
        <w:t xml:space="preserve">college education raises </w:t>
      </w:r>
      <w:r w:rsidR="00633EF4" w:rsidRPr="0004264F">
        <w:rPr>
          <w:rFonts w:eastAsiaTheme="minorEastAsia" w:cstheme="majorBidi"/>
          <w:szCs w:val="24"/>
        </w:rPr>
        <w:t xml:space="preserve">the </w:t>
      </w:r>
      <w:r w:rsidR="008E4D2E" w:rsidRPr="0004264F">
        <w:rPr>
          <w:rFonts w:eastAsiaTheme="minorEastAsia" w:cstheme="majorBidi"/>
          <w:szCs w:val="24"/>
        </w:rPr>
        <w:t xml:space="preserve">age at death by about 1.6 years. </w:t>
      </w:r>
      <w:r w:rsidR="00323FB2" w:rsidRPr="0004264F">
        <w:rPr>
          <w:rFonts w:eastAsiaTheme="minorEastAsia" w:cstheme="majorBidi"/>
          <w:szCs w:val="24"/>
        </w:rPr>
        <w:t xml:space="preserve">Combining this figure with the marginal effect of column 2, one can deduce that a one-standard-deviation increase in deposits raises </w:t>
      </w:r>
      <w:r w:rsidR="00633EF4" w:rsidRPr="0004264F">
        <w:rPr>
          <w:rFonts w:eastAsiaTheme="minorEastAsia" w:cstheme="majorBidi"/>
          <w:szCs w:val="24"/>
        </w:rPr>
        <w:t xml:space="preserve">the </w:t>
      </w:r>
      <w:r w:rsidR="00323FB2" w:rsidRPr="0004264F">
        <w:rPr>
          <w:rFonts w:eastAsiaTheme="minorEastAsia" w:cstheme="majorBidi"/>
          <w:szCs w:val="24"/>
        </w:rPr>
        <w:t xml:space="preserve">age at death by 0.1 months if it solely operates through increases in college education. This number can explain </w:t>
      </w:r>
      <w:r w:rsidR="00977077" w:rsidRPr="0004264F">
        <w:rPr>
          <w:rFonts w:eastAsiaTheme="minorEastAsia" w:cstheme="majorBidi"/>
          <w:szCs w:val="24"/>
        </w:rPr>
        <w:t xml:space="preserve">only </w:t>
      </w:r>
      <w:r w:rsidR="00A8609A" w:rsidRPr="0004264F">
        <w:rPr>
          <w:rFonts w:eastAsiaTheme="minorEastAsia" w:cstheme="majorBidi"/>
          <w:szCs w:val="24"/>
        </w:rPr>
        <w:t>6.4</w:t>
      </w:r>
      <w:r w:rsidR="00977077" w:rsidRPr="0004264F">
        <w:rPr>
          <w:rFonts w:eastAsiaTheme="minorEastAsia" w:cstheme="majorBidi"/>
          <w:szCs w:val="24"/>
        </w:rPr>
        <w:t xml:space="preserve"> </w:t>
      </w:r>
      <w:r w:rsidR="00323FB2" w:rsidRPr="0004264F">
        <w:rPr>
          <w:rFonts w:eastAsiaTheme="minorEastAsia" w:cstheme="majorBidi"/>
          <w:szCs w:val="24"/>
        </w:rPr>
        <w:t>percent of the observed reduced-form effect.</w:t>
      </w:r>
      <w:r w:rsidR="00950A0F" w:rsidRPr="0004264F">
        <w:rPr>
          <w:rStyle w:val="FootnoteReference"/>
          <w:rFonts w:eastAsiaTheme="minorEastAsia" w:cstheme="majorBidi"/>
          <w:szCs w:val="24"/>
        </w:rPr>
        <w:footnoteReference w:id="15"/>
      </w:r>
      <w:r w:rsidR="00323FB2" w:rsidRPr="0004264F">
        <w:rPr>
          <w:rFonts w:eastAsiaTheme="minorEastAsia" w:cstheme="majorBidi"/>
          <w:szCs w:val="24"/>
        </w:rPr>
        <w:t xml:space="preserve"> </w:t>
      </w:r>
      <w:r w:rsidR="007C4C55" w:rsidRPr="0004264F">
        <w:rPr>
          <w:rFonts w:eastAsiaTheme="minorEastAsia" w:cstheme="majorBidi"/>
          <w:szCs w:val="24"/>
        </w:rPr>
        <w:t xml:space="preserve">In another study to explore the effects of education on mortality, </w:t>
      </w:r>
      <w:r w:rsidR="002301F9" w:rsidRPr="0004264F">
        <w:rPr>
          <w:rFonts w:eastAsiaTheme="minorEastAsia" w:cstheme="majorBidi"/>
          <w:szCs w:val="24"/>
        </w:rPr>
        <w:fldChar w:fldCharType="begin" w:fldLock="1"/>
      </w:r>
      <w:r w:rsidR="00591735" w:rsidRPr="0004264F">
        <w:rPr>
          <w:rFonts w:eastAsiaTheme="minorEastAsia" w:cstheme="majorBidi"/>
          <w:szCs w:val="24"/>
        </w:rPr>
        <w:instrText>ADDIN CSL_CITATION {"citationItems":[{"id":"ITEM-1","itemData":{"DOI":"10.1007/S13524-020-00892-6","ISSN":"0070-3370","abstract":"Does education change people's lives in a way that delays mortality? Or is education primarily a proxy for unobserved endowments that promote longevity? Most scholars conclude that the former is true, but recent evidence based on Danish twin data calls this conclusion into question. Unfortunately, these potentially field-changing findings—that obtaining additional schooling has no independent effect on survival net of other hard-to-observe characteristics—have not yet been subject to replication outside Scandinavia. In this article, we produce the first U.S.-based estimates of the effects of education on mortality using a representative panel of male twin pairs drawn from linked complete-count census and death records. For comparison purposes, and to shed additional light on the roles that neighborhood, family, and genetic factors play in confounding associations between education and mortality, we also produce parallel estimates of the education-mortality relationship using data on (1) unrelated males who lived in different neighborhoods during childhood, (2) unrelated males who shared the same neighborhood growing up, and (3) non-twin siblings who shared the same family environment but whose genetic endowments vary to a greater degree. We find robust associations between education and mortality across all four samples, although estimates are modestly attenuated among twins and non-twin siblings. These findings—coupled with several robustness checks and sensitivity analyses—support a causal interpretation of the association between education and mortality for cohorts of boys born in the United States in the first part of the twentieth century.","author":[{"dropping-particle":"","family":"Halpern-Manners","given":"Andrew","non-dropping-particle":"","parse-names":false,"suffix":""},{"dropping-particle":"","family":"Helgertz","given":"Jonas","non-dropping-particle":"","parse-names":false,"suffix":""},{"dropping-particle":"","family":"Warren","given":"John Robert","non-dropping-particle":"","parse-names":false,"suffix":""},{"dropping-particle":"","family":"Roberts","given":"Evan","non-dropping-particle":"","parse-names":false,"suffix":""}],"container-title":"Demography","id":"ITEM-1","issue":"4","issued":{"date-parts":[["2020","8"]]},"page":"1513-1541","publisher":"Duke University Press","title":"The Effects of Education on Mortality: Evidence From Linked U.S. Census and Administrative Mortality Data","type":"article-journal","volume":"57"},"uris":["http://www.mendeley.com/documents/?uuid=e920c3dc-29ad-483d-b320-71561b050cd5"]}],"mendeley":{"formattedCitation":"(Halpern-Manners et al., 2020)","manualFormatting":"Halpern-Manners et al. (2020)","plainTextFormattedCitation":"(Halpern-Manners et al., 2020)","previouslyFormattedCitation":"(Halpern-Manners et al., 2020)"},"properties":{"noteIndex":0},"schema":"https://github.com/citation-style-language/schema/raw/master/csl-citation.json"}</w:instrText>
      </w:r>
      <w:r w:rsidR="002301F9" w:rsidRPr="0004264F">
        <w:rPr>
          <w:rFonts w:eastAsiaTheme="minorEastAsia" w:cstheme="majorBidi"/>
          <w:szCs w:val="24"/>
        </w:rPr>
        <w:fldChar w:fldCharType="separate"/>
      </w:r>
      <w:r w:rsidR="002301F9" w:rsidRPr="0004264F">
        <w:rPr>
          <w:rFonts w:eastAsiaTheme="minorEastAsia" w:cstheme="majorBidi"/>
          <w:noProof/>
          <w:szCs w:val="24"/>
        </w:rPr>
        <w:t>Halpern-Manners et al. (2020)</w:t>
      </w:r>
      <w:r w:rsidR="002301F9" w:rsidRPr="0004264F">
        <w:rPr>
          <w:rFonts w:eastAsiaTheme="minorEastAsia" w:cstheme="majorBidi"/>
          <w:szCs w:val="24"/>
        </w:rPr>
        <w:fldChar w:fldCharType="end"/>
      </w:r>
      <w:r w:rsidR="007C4C55" w:rsidRPr="0004264F">
        <w:rPr>
          <w:rFonts w:eastAsiaTheme="minorEastAsia" w:cstheme="majorBidi"/>
          <w:szCs w:val="24"/>
        </w:rPr>
        <w:t xml:space="preserve"> </w:t>
      </w:r>
      <w:r w:rsidR="005D7FC6" w:rsidRPr="0004264F">
        <w:rPr>
          <w:rFonts w:eastAsiaTheme="minorEastAsia" w:cstheme="majorBidi"/>
          <w:szCs w:val="24"/>
        </w:rPr>
        <w:t>i</w:t>
      </w:r>
      <w:r w:rsidR="007C4C55" w:rsidRPr="0004264F">
        <w:rPr>
          <w:rFonts w:eastAsiaTheme="minorEastAsia" w:cstheme="majorBidi"/>
          <w:szCs w:val="24"/>
        </w:rPr>
        <w:t xml:space="preserve">mplement </w:t>
      </w:r>
      <w:r w:rsidR="00826EF5" w:rsidRPr="0004264F">
        <w:rPr>
          <w:rFonts w:eastAsiaTheme="minorEastAsia" w:cstheme="majorBidi"/>
          <w:szCs w:val="24"/>
        </w:rPr>
        <w:t xml:space="preserve">a </w:t>
      </w:r>
      <w:r w:rsidR="007C4C55" w:rsidRPr="0004264F">
        <w:rPr>
          <w:rFonts w:eastAsiaTheme="minorEastAsia" w:cstheme="majorBidi"/>
          <w:szCs w:val="24"/>
        </w:rPr>
        <w:t xml:space="preserve">twin-strategy and find that an additional year of schooling is associated with </w:t>
      </w:r>
      <w:r w:rsidR="000F127C" w:rsidRPr="0004264F">
        <w:rPr>
          <w:rFonts w:eastAsiaTheme="minorEastAsia" w:cstheme="majorBidi"/>
          <w:szCs w:val="24"/>
        </w:rPr>
        <w:t xml:space="preserve">0.34 years higher age at death. Using the coefficient of column 1, we can infer that, had only the effects </w:t>
      </w:r>
      <w:r w:rsidR="00783C41" w:rsidRPr="0004264F">
        <w:rPr>
          <w:rFonts w:eastAsiaTheme="minorEastAsia" w:cstheme="majorBidi"/>
          <w:szCs w:val="24"/>
        </w:rPr>
        <w:t>operated</w:t>
      </w:r>
      <w:r w:rsidR="000F127C" w:rsidRPr="0004264F">
        <w:rPr>
          <w:rFonts w:eastAsiaTheme="minorEastAsia" w:cstheme="majorBidi"/>
          <w:szCs w:val="24"/>
        </w:rPr>
        <w:t xml:space="preserve"> </w:t>
      </w:r>
      <w:r w:rsidR="00783C41" w:rsidRPr="0004264F">
        <w:rPr>
          <w:rFonts w:eastAsiaTheme="minorEastAsia" w:cstheme="majorBidi"/>
          <w:szCs w:val="24"/>
        </w:rPr>
        <w:t xml:space="preserve">only </w:t>
      </w:r>
      <w:r w:rsidR="000F127C" w:rsidRPr="0004264F">
        <w:rPr>
          <w:rFonts w:eastAsiaTheme="minorEastAsia" w:cstheme="majorBidi"/>
          <w:szCs w:val="24"/>
        </w:rPr>
        <w:t xml:space="preserve">through improvements in schooling, a one-standard-deviation rise in deposits leads to </w:t>
      </w:r>
      <w:r w:rsidR="00DE3AC3" w:rsidRPr="0004264F">
        <w:rPr>
          <w:rFonts w:eastAsiaTheme="minorEastAsia" w:cstheme="majorBidi"/>
          <w:szCs w:val="24"/>
        </w:rPr>
        <w:t>0.15 months</w:t>
      </w:r>
      <w:r w:rsidR="000F127C" w:rsidRPr="0004264F">
        <w:rPr>
          <w:rFonts w:eastAsiaTheme="minorEastAsia" w:cstheme="majorBidi"/>
          <w:szCs w:val="24"/>
        </w:rPr>
        <w:t xml:space="preserve"> increase in longevity</w:t>
      </w:r>
      <w:r w:rsidR="00783C41" w:rsidRPr="0004264F">
        <w:rPr>
          <w:rFonts w:eastAsiaTheme="minorEastAsia" w:cstheme="majorBidi"/>
          <w:szCs w:val="24"/>
        </w:rPr>
        <w:t xml:space="preserve">, equivalent to roughly </w:t>
      </w:r>
      <w:r w:rsidR="00A8609A" w:rsidRPr="0004264F">
        <w:rPr>
          <w:rFonts w:eastAsiaTheme="minorEastAsia" w:cstheme="majorBidi"/>
          <w:szCs w:val="24"/>
        </w:rPr>
        <w:t>8.8</w:t>
      </w:r>
      <w:r w:rsidR="00667E7E" w:rsidRPr="0004264F">
        <w:rPr>
          <w:rFonts w:eastAsiaTheme="minorEastAsia" w:cstheme="majorBidi"/>
          <w:szCs w:val="24"/>
        </w:rPr>
        <w:t xml:space="preserve"> </w:t>
      </w:r>
      <w:r w:rsidR="00783C41" w:rsidRPr="0004264F">
        <w:rPr>
          <w:rFonts w:eastAsiaTheme="minorEastAsia" w:cstheme="majorBidi"/>
          <w:szCs w:val="24"/>
        </w:rPr>
        <w:t>percent of the reduced-form marginal effect in</w:t>
      </w:r>
      <w:r w:rsidR="00DE3AC3" w:rsidRPr="0004264F">
        <w:rPr>
          <w:rFonts w:eastAsiaTheme="minorEastAsia" w:cstheme="majorBidi"/>
          <w:szCs w:val="24"/>
        </w:rPr>
        <w:t xml:space="preserve"> </w:t>
      </w:r>
      <w:r w:rsidR="00DE3AC3" w:rsidRPr="0004264F">
        <w:rPr>
          <w:rFonts w:eastAsiaTheme="minorEastAsia" w:cstheme="majorBidi"/>
          <w:szCs w:val="24"/>
        </w:rPr>
        <w:fldChar w:fldCharType="begin"/>
      </w:r>
      <w:r w:rsidR="00DE3AC3" w:rsidRPr="0004264F">
        <w:rPr>
          <w:rFonts w:eastAsiaTheme="minorEastAsia" w:cstheme="majorBidi"/>
          <w:szCs w:val="24"/>
        </w:rPr>
        <w:instrText xml:space="preserve"> REF _Ref111322750 \h </w:instrText>
      </w:r>
      <w:r w:rsidR="00510BC3" w:rsidRPr="0004264F">
        <w:rPr>
          <w:rFonts w:eastAsiaTheme="minorEastAsia" w:cstheme="majorBidi"/>
          <w:szCs w:val="24"/>
        </w:rPr>
        <w:instrText xml:space="preserve"> \* MERGEFORMAT </w:instrText>
      </w:r>
      <w:r w:rsidR="00DE3AC3" w:rsidRPr="0004264F">
        <w:rPr>
          <w:rFonts w:eastAsiaTheme="minorEastAsia" w:cstheme="majorBidi"/>
          <w:szCs w:val="24"/>
        </w:rPr>
      </w:r>
      <w:r w:rsidR="00DE3AC3" w:rsidRPr="0004264F">
        <w:rPr>
          <w:rFonts w:eastAsiaTheme="minorEastAsia" w:cstheme="majorBidi"/>
          <w:szCs w:val="24"/>
        </w:rPr>
        <w:fldChar w:fldCharType="separate"/>
      </w:r>
      <w:r w:rsidR="00CA5B9D" w:rsidRPr="0004264F">
        <w:rPr>
          <w:rFonts w:cstheme="majorBidi"/>
        </w:rPr>
        <w:t xml:space="preserve">Table </w:t>
      </w:r>
      <w:r w:rsidR="00CA5B9D" w:rsidRPr="0004264F">
        <w:rPr>
          <w:rFonts w:cstheme="majorBidi"/>
          <w:noProof/>
        </w:rPr>
        <w:t>4</w:t>
      </w:r>
      <w:r w:rsidR="00DE3AC3" w:rsidRPr="0004264F">
        <w:rPr>
          <w:rFonts w:eastAsiaTheme="minorEastAsia" w:cstheme="majorBidi"/>
          <w:szCs w:val="24"/>
        </w:rPr>
        <w:fldChar w:fldCharType="end"/>
      </w:r>
      <w:r w:rsidR="000F127C" w:rsidRPr="0004264F">
        <w:rPr>
          <w:rFonts w:eastAsiaTheme="minorEastAsia" w:cstheme="majorBidi"/>
          <w:szCs w:val="24"/>
        </w:rPr>
        <w:t>.</w:t>
      </w:r>
      <w:r w:rsidR="00E01896" w:rsidRPr="0004264F">
        <w:rPr>
          <w:rStyle w:val="FootnoteReference"/>
          <w:rFonts w:eastAsiaTheme="minorEastAsia" w:cstheme="majorBidi"/>
          <w:szCs w:val="24"/>
        </w:rPr>
        <w:footnoteReference w:id="16"/>
      </w:r>
      <w:r w:rsidR="000F127C" w:rsidRPr="0004264F">
        <w:rPr>
          <w:rFonts w:eastAsiaTheme="minorEastAsia" w:cstheme="majorBidi"/>
          <w:szCs w:val="24"/>
        </w:rPr>
        <w:t xml:space="preserve"> </w:t>
      </w:r>
    </w:p>
    <w:p w14:paraId="7EAE1A40" w14:textId="039707C1" w:rsidR="009A49E6" w:rsidRPr="0004264F" w:rsidRDefault="000C4F21" w:rsidP="009B353A">
      <w:pPr>
        <w:pStyle w:val="Heading1"/>
        <w:rPr>
          <w:rFonts w:asciiTheme="majorBidi" w:eastAsiaTheme="minorEastAsia" w:hAnsiTheme="majorBidi"/>
        </w:rPr>
      </w:pPr>
      <w:bookmarkStart w:id="10" w:name="_Ref98081149"/>
      <w:r w:rsidRPr="0004264F">
        <w:rPr>
          <w:rFonts w:asciiTheme="majorBidi" w:eastAsiaTheme="minorEastAsia" w:hAnsiTheme="majorBidi"/>
        </w:rPr>
        <w:t>Conclusion</w:t>
      </w:r>
      <w:bookmarkEnd w:id="10"/>
      <w:r w:rsidRPr="0004264F">
        <w:rPr>
          <w:rFonts w:asciiTheme="majorBidi" w:eastAsiaTheme="minorEastAsia" w:hAnsiTheme="majorBidi"/>
        </w:rPr>
        <w:t xml:space="preserve"> </w:t>
      </w:r>
      <w:r w:rsidR="008041C8" w:rsidRPr="0004264F">
        <w:rPr>
          <w:rFonts w:asciiTheme="majorBidi" w:eastAsiaTheme="minorEastAsia" w:hAnsiTheme="majorBidi"/>
        </w:rPr>
        <w:tab/>
      </w:r>
    </w:p>
    <w:p w14:paraId="1F165FEA" w14:textId="0C6787EB" w:rsidR="008D396F" w:rsidRPr="0004264F" w:rsidRDefault="00385EEC" w:rsidP="00385EEC">
      <w:pPr>
        <w:spacing w:before="60" w:after="60" w:line="480" w:lineRule="auto"/>
        <w:ind w:firstLine="720"/>
        <w:jc w:val="both"/>
        <w:rPr>
          <w:rFonts w:eastAsiaTheme="minorEastAsia" w:cstheme="majorBidi"/>
          <w:szCs w:val="24"/>
        </w:rPr>
      </w:pPr>
      <w:r w:rsidRPr="0004264F">
        <w:rPr>
          <w:rFonts w:cstheme="majorBidi"/>
        </w:rPr>
        <w:t>The Great Depression was an extraordinary event in the economic history of the United States. From 1929 to 1933, real output contracted by more than 25 percent and the unemployment rate increased from 3.2 percent to 25 percent, reaching the highest levels ever documented. Despite its magnitude, previous literature has found little evidence that the Great Depression affected adult mortality</w:t>
      </w:r>
      <w:r w:rsidRPr="00325D8E">
        <w:rPr>
          <w:rFonts w:cstheme="majorBidi"/>
        </w:rPr>
        <w:t>.</w:t>
      </w:r>
      <w:r w:rsidRPr="00325D8E">
        <w:rPr>
          <w:rFonts w:eastAsiaTheme="minorEastAsia" w:cstheme="majorBidi"/>
          <w:szCs w:val="24"/>
        </w:rPr>
        <w:t xml:space="preserve"> </w:t>
      </w:r>
      <w:r w:rsidR="007A5606" w:rsidRPr="0004264F">
        <w:rPr>
          <w:rFonts w:eastAsiaTheme="minorEastAsia" w:cstheme="majorBidi"/>
          <w:szCs w:val="24"/>
        </w:rPr>
        <w:t xml:space="preserve">In this paper we </w:t>
      </w:r>
      <w:r w:rsidR="00D3220C" w:rsidRPr="0004264F">
        <w:rPr>
          <w:rFonts w:eastAsiaTheme="minorEastAsia" w:cstheme="majorBidi"/>
          <w:szCs w:val="24"/>
        </w:rPr>
        <w:t xml:space="preserve">provide new evidence on </w:t>
      </w:r>
      <w:r w:rsidR="00457056" w:rsidRPr="0004264F">
        <w:rPr>
          <w:rFonts w:eastAsiaTheme="minorEastAsia" w:cstheme="majorBidi"/>
          <w:szCs w:val="24"/>
        </w:rPr>
        <w:t>th</w:t>
      </w:r>
      <w:r w:rsidRPr="0004264F">
        <w:rPr>
          <w:rFonts w:eastAsiaTheme="minorEastAsia" w:cstheme="majorBidi"/>
          <w:szCs w:val="24"/>
        </w:rPr>
        <w:t>is link by u</w:t>
      </w:r>
      <w:r w:rsidR="00D3220C" w:rsidRPr="0004264F">
        <w:rPr>
          <w:rFonts w:eastAsiaTheme="minorEastAsia" w:cstheme="majorBidi"/>
          <w:szCs w:val="24"/>
        </w:rPr>
        <w:t>sing</w:t>
      </w:r>
      <w:r w:rsidR="001424B1" w:rsidRPr="0004264F">
        <w:rPr>
          <w:rFonts w:eastAsiaTheme="minorEastAsia" w:cstheme="majorBidi"/>
          <w:szCs w:val="24"/>
        </w:rPr>
        <w:t xml:space="preserve"> local banking deposits, as a proxy for economic conditions and credit market, during in-utero and year of birth can influence </w:t>
      </w:r>
      <w:r w:rsidR="001424B1" w:rsidRPr="0004264F">
        <w:rPr>
          <w:rFonts w:eastAsiaTheme="minorEastAsia" w:cstheme="majorBidi"/>
          <w:szCs w:val="24"/>
        </w:rPr>
        <w:lastRenderedPageBreak/>
        <w:t>old-age longevity</w:t>
      </w:r>
      <w:r w:rsidRPr="0004264F">
        <w:rPr>
          <w:rFonts w:eastAsiaTheme="minorEastAsia" w:cstheme="majorBidi"/>
          <w:szCs w:val="24"/>
        </w:rPr>
        <w:t xml:space="preserve">. </w:t>
      </w:r>
      <w:r w:rsidR="00D3220C" w:rsidRPr="0004264F">
        <w:rPr>
          <w:rFonts w:eastAsiaTheme="minorEastAsia" w:cstheme="majorBidi"/>
          <w:szCs w:val="24"/>
        </w:rPr>
        <w:t xml:space="preserve"> </w:t>
      </w:r>
      <w:r w:rsidRPr="0004264F">
        <w:rPr>
          <w:rFonts w:eastAsiaTheme="minorEastAsia" w:cstheme="majorBidi"/>
          <w:szCs w:val="24"/>
        </w:rPr>
        <w:t>W</w:t>
      </w:r>
      <w:r w:rsidR="00EB2644" w:rsidRPr="0004264F">
        <w:rPr>
          <w:rFonts w:eastAsiaTheme="minorEastAsia" w:cstheme="majorBidi"/>
          <w:szCs w:val="24"/>
        </w:rPr>
        <w:t xml:space="preserve">e find that a one-standard-deviation rise in per capita bank deposits is associated with about </w:t>
      </w:r>
      <w:r w:rsidR="00A8609A" w:rsidRPr="0004264F">
        <w:rPr>
          <w:rFonts w:eastAsiaTheme="minorEastAsia" w:cstheme="majorBidi"/>
          <w:szCs w:val="24"/>
        </w:rPr>
        <w:t>1.7</w:t>
      </w:r>
      <w:r w:rsidR="00EB2644" w:rsidRPr="0004264F">
        <w:rPr>
          <w:rFonts w:eastAsiaTheme="minorEastAsia" w:cstheme="majorBidi"/>
          <w:szCs w:val="24"/>
        </w:rPr>
        <w:t xml:space="preserve"> months higher age at death during old ages.</w:t>
      </w:r>
      <w:r w:rsidR="007613C9" w:rsidRPr="0004264F">
        <w:rPr>
          <w:rFonts w:eastAsiaTheme="minorEastAsia" w:cstheme="majorBidi"/>
          <w:szCs w:val="24"/>
        </w:rPr>
        <w:t xml:space="preserve"> </w:t>
      </w:r>
      <w:r w:rsidR="00667E7E" w:rsidRPr="0004264F">
        <w:rPr>
          <w:rFonts w:eastAsiaTheme="minorEastAsia" w:cstheme="majorBidi"/>
          <w:szCs w:val="24"/>
        </w:rPr>
        <w:t>T</w:t>
      </w:r>
      <w:r w:rsidR="007613C9" w:rsidRPr="0004264F">
        <w:rPr>
          <w:rFonts w:eastAsiaTheme="minorEastAsia" w:cstheme="majorBidi"/>
          <w:szCs w:val="24"/>
        </w:rPr>
        <w:t xml:space="preserve">he effect </w:t>
      </w:r>
      <w:r w:rsidR="005E0707" w:rsidRPr="0004264F">
        <w:rPr>
          <w:rFonts w:eastAsiaTheme="minorEastAsia" w:cstheme="majorBidi"/>
          <w:szCs w:val="24"/>
        </w:rPr>
        <w:t>is</w:t>
      </w:r>
      <w:r w:rsidR="00667E7E" w:rsidRPr="0004264F">
        <w:rPr>
          <w:rFonts w:eastAsiaTheme="minorEastAsia" w:cstheme="majorBidi"/>
          <w:szCs w:val="24"/>
        </w:rPr>
        <w:t xml:space="preserve"> statistically significant, economically meaningful, and</w:t>
      </w:r>
      <w:r w:rsidR="007613C9" w:rsidRPr="0004264F">
        <w:rPr>
          <w:rFonts w:eastAsiaTheme="minorEastAsia" w:cstheme="majorBidi"/>
          <w:szCs w:val="24"/>
        </w:rPr>
        <w:t xml:space="preserve"> robust across a wide array of specification checks. </w:t>
      </w:r>
    </w:p>
    <w:p w14:paraId="5155A81A" w14:textId="1EFD15FB" w:rsidR="005E0707" w:rsidRPr="0004264F" w:rsidRDefault="00E9408C" w:rsidP="00667E7E">
      <w:pPr>
        <w:spacing w:before="60" w:after="60" w:line="480" w:lineRule="auto"/>
        <w:ind w:firstLine="720"/>
        <w:jc w:val="both"/>
        <w:rPr>
          <w:rFonts w:eastAsiaTheme="minorEastAsia" w:cstheme="majorBidi"/>
          <w:szCs w:val="24"/>
        </w:rPr>
      </w:pPr>
      <w:r w:rsidRPr="0004264F">
        <w:rPr>
          <w:rFonts w:eastAsiaTheme="minorEastAsia" w:cstheme="majorBidi"/>
          <w:szCs w:val="24"/>
        </w:rPr>
        <w:t xml:space="preserve">A battery of balancing tests rules out significant changes in demographic and family socioeconomic characteristics associated with changes in deposits. Moreover, we fail to find any associations between deposit changes in postnatal ages and later-life longevity suggesting that only conditions in-utero and first year of life is important for later-life longevity. We also argue that endogenous fertility response of parents from different demographic groups </w:t>
      </w:r>
      <w:r w:rsidR="00667E7E" w:rsidRPr="0004264F">
        <w:rPr>
          <w:rFonts w:eastAsiaTheme="minorEastAsia" w:cstheme="majorBidi"/>
          <w:szCs w:val="24"/>
        </w:rPr>
        <w:t>does not</w:t>
      </w:r>
      <w:r w:rsidRPr="0004264F">
        <w:rPr>
          <w:rFonts w:eastAsiaTheme="minorEastAsia" w:cstheme="majorBidi"/>
          <w:szCs w:val="24"/>
        </w:rPr>
        <w:t xml:space="preserve"> affect the main results. </w:t>
      </w:r>
      <w:r w:rsidR="005E0707" w:rsidRPr="0004264F">
        <w:rPr>
          <w:rFonts w:eastAsiaTheme="minorEastAsia" w:cstheme="majorBidi"/>
          <w:szCs w:val="24"/>
        </w:rPr>
        <w:t>Additional analysis suggests quite strong association</w:t>
      </w:r>
      <w:r w:rsidR="00016451" w:rsidRPr="0004264F">
        <w:rPr>
          <w:rFonts w:eastAsiaTheme="minorEastAsia" w:cstheme="majorBidi"/>
          <w:szCs w:val="24"/>
        </w:rPr>
        <w:t>s</w:t>
      </w:r>
      <w:r w:rsidR="005E0707" w:rsidRPr="0004264F">
        <w:rPr>
          <w:rFonts w:eastAsiaTheme="minorEastAsia" w:cstheme="majorBidi"/>
          <w:szCs w:val="24"/>
        </w:rPr>
        <w:t xml:space="preserve"> between bank deposits and retail sale and income per capita</w:t>
      </w:r>
      <w:r w:rsidR="00016451" w:rsidRPr="0004264F">
        <w:rPr>
          <w:rFonts w:eastAsiaTheme="minorEastAsia" w:cstheme="majorBidi"/>
          <w:szCs w:val="24"/>
        </w:rPr>
        <w:t>,</w:t>
      </w:r>
      <w:r w:rsidRPr="0004264F">
        <w:rPr>
          <w:rFonts w:eastAsiaTheme="minorEastAsia" w:cstheme="majorBidi"/>
          <w:szCs w:val="24"/>
        </w:rPr>
        <w:t xml:space="preserve"> which implies that banking deposits are indeed a </w:t>
      </w:r>
      <w:r w:rsidR="00016451" w:rsidRPr="0004264F">
        <w:rPr>
          <w:rFonts w:eastAsiaTheme="minorEastAsia" w:cstheme="majorBidi"/>
          <w:szCs w:val="24"/>
        </w:rPr>
        <w:t xml:space="preserve">reasonable </w:t>
      </w:r>
      <w:r w:rsidRPr="0004264F">
        <w:rPr>
          <w:rFonts w:eastAsiaTheme="minorEastAsia" w:cstheme="majorBidi"/>
          <w:szCs w:val="24"/>
        </w:rPr>
        <w:t>proxy to capture local economic conditions.</w:t>
      </w:r>
      <w:r w:rsidR="00FC4076" w:rsidRPr="0004264F">
        <w:rPr>
          <w:rFonts w:eastAsiaTheme="minorEastAsia" w:cstheme="majorBidi"/>
          <w:szCs w:val="24"/>
        </w:rPr>
        <w:t xml:space="preserve"> In addition, we show that improvements in education-income profile during adulthood are potential mechanism channels. </w:t>
      </w:r>
      <w:r w:rsidR="00667E7E" w:rsidRPr="0004264F">
        <w:rPr>
          <w:rFonts w:eastAsiaTheme="minorEastAsia" w:cstheme="majorBidi"/>
          <w:szCs w:val="24"/>
        </w:rPr>
        <w:t>However, w</w:t>
      </w:r>
      <w:r w:rsidR="00FC4076" w:rsidRPr="0004264F">
        <w:rPr>
          <w:rFonts w:eastAsiaTheme="minorEastAsia" w:cstheme="majorBidi"/>
          <w:szCs w:val="24"/>
        </w:rPr>
        <w:t xml:space="preserve">e argue that between </w:t>
      </w:r>
      <w:r w:rsidR="00A8609A" w:rsidRPr="0004264F">
        <w:rPr>
          <w:rFonts w:eastAsiaTheme="minorEastAsia" w:cstheme="majorBidi"/>
          <w:szCs w:val="24"/>
        </w:rPr>
        <w:t>6-9</w:t>
      </w:r>
      <w:r w:rsidR="00FC4076" w:rsidRPr="0004264F">
        <w:rPr>
          <w:rFonts w:eastAsiaTheme="minorEastAsia" w:cstheme="majorBidi"/>
          <w:szCs w:val="24"/>
        </w:rPr>
        <w:t xml:space="preserve"> percent of the link between early-life deposits and later-life longevity can be explained by modest changes in educational outcomes.</w:t>
      </w:r>
      <w:r w:rsidR="00667E7E" w:rsidRPr="0004264F">
        <w:rPr>
          <w:rFonts w:eastAsiaTheme="minorEastAsia" w:cstheme="majorBidi"/>
          <w:szCs w:val="24"/>
        </w:rPr>
        <w:t xml:space="preserve"> These small effects on potential mediatory outcomes suggest that the economic conditions operate through other non-labor-market channels to impact longevity such as changes in health capital that can be detected in old ages.</w:t>
      </w:r>
    </w:p>
    <w:p w14:paraId="6C0712C5" w14:textId="31BE908B" w:rsidR="00CF626B" w:rsidRPr="0004264F" w:rsidRDefault="00CF626B">
      <w:pPr>
        <w:rPr>
          <w:rFonts w:eastAsiaTheme="minorEastAsia" w:cstheme="majorBidi"/>
          <w:szCs w:val="24"/>
        </w:rPr>
      </w:pPr>
      <w:r w:rsidRPr="0004264F">
        <w:rPr>
          <w:rFonts w:eastAsiaTheme="minorEastAsia" w:cstheme="majorBidi"/>
          <w:szCs w:val="24"/>
        </w:rPr>
        <w:br w:type="page"/>
      </w:r>
    </w:p>
    <w:p w14:paraId="3064432F" w14:textId="6D609B38" w:rsidR="00204C5C" w:rsidRPr="0004264F" w:rsidRDefault="0083061C" w:rsidP="00510027">
      <w:pPr>
        <w:spacing w:before="60" w:after="60" w:line="480" w:lineRule="auto"/>
        <w:ind w:firstLine="720"/>
        <w:jc w:val="both"/>
        <w:rPr>
          <w:rFonts w:cstheme="majorBidi"/>
          <w:b/>
          <w:bCs/>
          <w:szCs w:val="24"/>
        </w:rPr>
      </w:pPr>
      <w:r w:rsidRPr="0004264F">
        <w:rPr>
          <w:rFonts w:eastAsiaTheme="minorEastAsia" w:cstheme="majorBidi"/>
          <w:szCs w:val="24"/>
        </w:rPr>
        <w:lastRenderedPageBreak/>
        <w:t xml:space="preserve"> </w:t>
      </w:r>
      <w:r w:rsidR="00640A1C" w:rsidRPr="0004264F">
        <w:rPr>
          <w:rFonts w:eastAsiaTheme="minorEastAsia" w:cstheme="majorBidi"/>
          <w:szCs w:val="24"/>
        </w:rPr>
        <w:t xml:space="preserve"> </w:t>
      </w:r>
      <w:r w:rsidR="00186C88" w:rsidRPr="0004264F">
        <w:rPr>
          <w:rFonts w:cstheme="majorBidi"/>
          <w:b/>
          <w:bCs/>
          <w:szCs w:val="24"/>
        </w:rPr>
        <w:t xml:space="preserve">References </w:t>
      </w:r>
    </w:p>
    <w:p w14:paraId="2FB0AB14" w14:textId="3D57F086"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eastAsiaTheme="minorEastAsia" w:cstheme="majorBidi"/>
          <w:b/>
          <w:bCs/>
          <w:szCs w:val="24"/>
        </w:rPr>
        <w:fldChar w:fldCharType="begin" w:fldLock="1"/>
      </w:r>
      <w:r w:rsidRPr="0004264F">
        <w:rPr>
          <w:rFonts w:eastAsiaTheme="minorEastAsia" w:cstheme="majorBidi"/>
          <w:b/>
          <w:bCs/>
          <w:szCs w:val="24"/>
        </w:rPr>
        <w:instrText xml:space="preserve">ADDIN Mendeley Bibliography CSL_BIBLIOGRAPHY </w:instrText>
      </w:r>
      <w:r w:rsidRPr="0004264F">
        <w:rPr>
          <w:rFonts w:eastAsiaTheme="minorEastAsia" w:cstheme="majorBidi"/>
          <w:b/>
          <w:bCs/>
          <w:szCs w:val="24"/>
        </w:rPr>
        <w:fldChar w:fldCharType="separate"/>
      </w:r>
      <w:r w:rsidRPr="0004264F">
        <w:rPr>
          <w:rFonts w:cstheme="majorBidi"/>
          <w:noProof/>
          <w:szCs w:val="24"/>
        </w:rPr>
        <w:t xml:space="preserve">Acemoglu, D., &amp; Johnson, S. (2007). Disease and development: The effect of life expectancy on economic growth. </w:t>
      </w:r>
      <w:r w:rsidRPr="0004264F">
        <w:rPr>
          <w:rFonts w:cstheme="majorBidi"/>
          <w:i/>
          <w:iCs/>
          <w:noProof/>
          <w:szCs w:val="24"/>
        </w:rPr>
        <w:t>Journal of Political Economy</w:t>
      </w:r>
      <w:r w:rsidRPr="0004264F">
        <w:rPr>
          <w:rFonts w:cstheme="majorBidi"/>
          <w:noProof/>
          <w:szCs w:val="24"/>
        </w:rPr>
        <w:t xml:space="preserve">, </w:t>
      </w:r>
      <w:r w:rsidRPr="0004264F">
        <w:rPr>
          <w:rFonts w:cstheme="majorBidi"/>
          <w:i/>
          <w:iCs/>
          <w:noProof/>
          <w:szCs w:val="24"/>
        </w:rPr>
        <w:t>115</w:t>
      </w:r>
      <w:r w:rsidRPr="0004264F">
        <w:rPr>
          <w:rFonts w:cstheme="majorBidi"/>
          <w:noProof/>
          <w:szCs w:val="24"/>
        </w:rPr>
        <w:t>(6), 925–985. https://doi.org/10.1086/529000/SUPPL_FILE/32236DATA.ZIP</w:t>
      </w:r>
    </w:p>
    <w:p w14:paraId="279FE693"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Aizer, A., Eli, S., Ferrie, J., &amp; Muney, A. L. (2016). The Long-Run Impact of Cash Transfers to Poor Families. </w:t>
      </w:r>
      <w:r w:rsidRPr="0004264F">
        <w:rPr>
          <w:rFonts w:cstheme="majorBidi"/>
          <w:i/>
          <w:iCs/>
          <w:noProof/>
          <w:szCs w:val="24"/>
        </w:rPr>
        <w:t>American Economic Review</w:t>
      </w:r>
      <w:r w:rsidRPr="0004264F">
        <w:rPr>
          <w:rFonts w:cstheme="majorBidi"/>
          <w:noProof/>
          <w:szCs w:val="24"/>
        </w:rPr>
        <w:t xml:space="preserve">, </w:t>
      </w:r>
      <w:r w:rsidRPr="0004264F">
        <w:rPr>
          <w:rFonts w:cstheme="majorBidi"/>
          <w:i/>
          <w:iCs/>
          <w:noProof/>
          <w:szCs w:val="24"/>
        </w:rPr>
        <w:t>106</w:t>
      </w:r>
      <w:r w:rsidRPr="0004264F">
        <w:rPr>
          <w:rFonts w:cstheme="majorBidi"/>
          <w:noProof/>
          <w:szCs w:val="24"/>
        </w:rPr>
        <w:t>(4), 935–971. https://doi.org/10.1257/AER.20140529</w:t>
      </w:r>
    </w:p>
    <w:p w14:paraId="3C5D53B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Aizer, A., Eli, S., Lleras-Muney, A., &amp; Lee, K. (2020). </w:t>
      </w:r>
      <w:r w:rsidRPr="0004264F">
        <w:rPr>
          <w:rFonts w:cstheme="majorBidi"/>
          <w:i/>
          <w:iCs/>
          <w:noProof/>
          <w:szCs w:val="24"/>
        </w:rPr>
        <w:t>Do Youth Employment Programs Work? Evidence from the New Deal</w:t>
      </w:r>
      <w:r w:rsidRPr="0004264F">
        <w:rPr>
          <w:rFonts w:cstheme="majorBidi"/>
          <w:noProof/>
          <w:szCs w:val="24"/>
        </w:rPr>
        <w:t>. https://doi.org/10.3386/W27103</w:t>
      </w:r>
    </w:p>
    <w:p w14:paraId="63627EA8"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Aizer, A., Stroud, L., &amp; Buka, S. (2016). Maternal stress and child outcomes: Evidence from siblings. </w:t>
      </w:r>
      <w:r w:rsidRPr="0004264F">
        <w:rPr>
          <w:rFonts w:cstheme="majorBidi"/>
          <w:i/>
          <w:iCs/>
          <w:noProof/>
          <w:szCs w:val="24"/>
        </w:rPr>
        <w:t>Journal of Human Resources</w:t>
      </w:r>
      <w:r w:rsidRPr="0004264F">
        <w:rPr>
          <w:rFonts w:cstheme="majorBidi"/>
          <w:noProof/>
          <w:szCs w:val="24"/>
        </w:rPr>
        <w:t xml:space="preserve">, </w:t>
      </w:r>
      <w:r w:rsidRPr="0004264F">
        <w:rPr>
          <w:rFonts w:cstheme="majorBidi"/>
          <w:i/>
          <w:iCs/>
          <w:noProof/>
          <w:szCs w:val="24"/>
        </w:rPr>
        <w:t>51</w:t>
      </w:r>
      <w:r w:rsidRPr="0004264F">
        <w:rPr>
          <w:rFonts w:cstheme="majorBidi"/>
          <w:noProof/>
          <w:szCs w:val="24"/>
        </w:rPr>
        <w:t>(3), 523–555. https://doi.org/10.3368/jhr.51.3.0914-6664R</w:t>
      </w:r>
    </w:p>
    <w:p w14:paraId="54A1DCA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Almond, D., &amp; Currie, J. (2011). Killing Me Softly: The Fetal Origins Hypothesis. </w:t>
      </w:r>
      <w:r w:rsidRPr="0004264F">
        <w:rPr>
          <w:rFonts w:cstheme="majorBidi"/>
          <w:i/>
          <w:iCs/>
          <w:noProof/>
          <w:szCs w:val="24"/>
        </w:rPr>
        <w:t>Journal of Economic Perspectives</w:t>
      </w:r>
      <w:r w:rsidRPr="0004264F">
        <w:rPr>
          <w:rFonts w:cstheme="majorBidi"/>
          <w:noProof/>
          <w:szCs w:val="24"/>
        </w:rPr>
        <w:t xml:space="preserve">, </w:t>
      </w:r>
      <w:r w:rsidRPr="0004264F">
        <w:rPr>
          <w:rFonts w:cstheme="majorBidi"/>
          <w:i/>
          <w:iCs/>
          <w:noProof/>
          <w:szCs w:val="24"/>
        </w:rPr>
        <w:t>25</w:t>
      </w:r>
      <w:r w:rsidRPr="0004264F">
        <w:rPr>
          <w:rFonts w:cstheme="majorBidi"/>
          <w:noProof/>
          <w:szCs w:val="24"/>
        </w:rPr>
        <w:t>(3), 153–172. https://doi.org/10.1257/JEP.25.3.153</w:t>
      </w:r>
    </w:p>
    <w:p w14:paraId="609BDD65"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Almond, D., Currie, J., &amp; Duque, V. (2018). Childhood circumstances and adult outcomes: Act II. </w:t>
      </w:r>
      <w:r w:rsidRPr="0004264F">
        <w:rPr>
          <w:rFonts w:cstheme="majorBidi"/>
          <w:i/>
          <w:iCs/>
          <w:noProof/>
          <w:szCs w:val="24"/>
        </w:rPr>
        <w:t>Journal of Economic Literature</w:t>
      </w:r>
      <w:r w:rsidRPr="0004264F">
        <w:rPr>
          <w:rFonts w:cstheme="majorBidi"/>
          <w:noProof/>
          <w:szCs w:val="24"/>
        </w:rPr>
        <w:t xml:space="preserve">, </w:t>
      </w:r>
      <w:r w:rsidRPr="0004264F">
        <w:rPr>
          <w:rFonts w:cstheme="majorBidi"/>
          <w:i/>
          <w:iCs/>
          <w:noProof/>
          <w:szCs w:val="24"/>
        </w:rPr>
        <w:t>56</w:t>
      </w:r>
      <w:r w:rsidRPr="0004264F">
        <w:rPr>
          <w:rFonts w:cstheme="majorBidi"/>
          <w:noProof/>
          <w:szCs w:val="24"/>
        </w:rPr>
        <w:t>(4), 1360–1446.</w:t>
      </w:r>
    </w:p>
    <w:p w14:paraId="568951E4"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Almond, D., Mazumder, B., &amp; van Ewijk, R. (2015). </w:t>
      </w:r>
      <w:r w:rsidRPr="0004264F">
        <w:rPr>
          <w:rFonts w:cstheme="majorBidi"/>
          <w:i/>
          <w:iCs/>
          <w:noProof/>
          <w:szCs w:val="24"/>
        </w:rPr>
        <w:t>In Utero</w:t>
      </w:r>
      <w:r w:rsidRPr="0004264F">
        <w:rPr>
          <w:rFonts w:cstheme="majorBidi"/>
          <w:noProof/>
          <w:szCs w:val="24"/>
        </w:rPr>
        <w:t xml:space="preserve"> Ramadan Exposure and Children’s Academic Performance. </w:t>
      </w:r>
      <w:r w:rsidRPr="0004264F">
        <w:rPr>
          <w:rFonts w:cstheme="majorBidi"/>
          <w:i/>
          <w:iCs/>
          <w:noProof/>
          <w:szCs w:val="24"/>
        </w:rPr>
        <w:t>The Economic Journal</w:t>
      </w:r>
      <w:r w:rsidRPr="0004264F">
        <w:rPr>
          <w:rFonts w:cstheme="majorBidi"/>
          <w:noProof/>
          <w:szCs w:val="24"/>
        </w:rPr>
        <w:t xml:space="preserve">, </w:t>
      </w:r>
      <w:r w:rsidRPr="0004264F">
        <w:rPr>
          <w:rFonts w:cstheme="majorBidi"/>
          <w:i/>
          <w:iCs/>
          <w:noProof/>
          <w:szCs w:val="24"/>
        </w:rPr>
        <w:t>125</w:t>
      </w:r>
      <w:r w:rsidRPr="0004264F">
        <w:rPr>
          <w:rFonts w:cstheme="majorBidi"/>
          <w:noProof/>
          <w:szCs w:val="24"/>
        </w:rPr>
        <w:t>(589), 1501–1533. https://doi.org/10.1111/ecoj.12168</w:t>
      </w:r>
    </w:p>
    <w:p w14:paraId="6D178EB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Anderson, D. M., Charles, K. K., &amp; Rees, D. I. (2022). Reexamining the Contribution of Public Health Efforts to the Decline in Urban Mortality. </w:t>
      </w:r>
      <w:r w:rsidRPr="0004264F">
        <w:rPr>
          <w:rFonts w:cstheme="majorBidi"/>
          <w:i/>
          <w:iCs/>
          <w:noProof/>
          <w:szCs w:val="24"/>
        </w:rPr>
        <w:t>American Economic Journal: Applied Economics</w:t>
      </w:r>
      <w:r w:rsidRPr="0004264F">
        <w:rPr>
          <w:rFonts w:cstheme="majorBidi"/>
          <w:noProof/>
          <w:szCs w:val="24"/>
        </w:rPr>
        <w:t xml:space="preserve">, </w:t>
      </w:r>
      <w:r w:rsidRPr="0004264F">
        <w:rPr>
          <w:rFonts w:cstheme="majorBidi"/>
          <w:i/>
          <w:iCs/>
          <w:noProof/>
          <w:szCs w:val="24"/>
        </w:rPr>
        <w:t>14</w:t>
      </w:r>
      <w:r w:rsidRPr="0004264F">
        <w:rPr>
          <w:rFonts w:cstheme="majorBidi"/>
          <w:noProof/>
          <w:szCs w:val="24"/>
        </w:rPr>
        <w:t>(2), 126–157. https://doi.org/10.1257/APP.20190034</w:t>
      </w:r>
    </w:p>
    <w:p w14:paraId="3BCBCC9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Arthi, V. (2018). “The dust was long in settling”: Human capital and the lasting impact of the </w:t>
      </w:r>
      <w:r w:rsidRPr="0004264F">
        <w:rPr>
          <w:rFonts w:cstheme="majorBidi"/>
          <w:noProof/>
          <w:szCs w:val="24"/>
        </w:rPr>
        <w:lastRenderedPageBreak/>
        <w:t xml:space="preserve">American Dust Bowl. </w:t>
      </w:r>
      <w:r w:rsidRPr="0004264F">
        <w:rPr>
          <w:rFonts w:cstheme="majorBidi"/>
          <w:i/>
          <w:iCs/>
          <w:noProof/>
          <w:szCs w:val="24"/>
        </w:rPr>
        <w:t>Journal of Economic History</w:t>
      </w:r>
      <w:r w:rsidRPr="0004264F">
        <w:rPr>
          <w:rFonts w:cstheme="majorBidi"/>
          <w:noProof/>
          <w:szCs w:val="24"/>
        </w:rPr>
        <w:t xml:space="preserve">, </w:t>
      </w:r>
      <w:r w:rsidRPr="0004264F">
        <w:rPr>
          <w:rFonts w:cstheme="majorBidi"/>
          <w:i/>
          <w:iCs/>
          <w:noProof/>
          <w:szCs w:val="24"/>
        </w:rPr>
        <w:t>78</w:t>
      </w:r>
      <w:r w:rsidRPr="0004264F">
        <w:rPr>
          <w:rFonts w:cstheme="majorBidi"/>
          <w:noProof/>
          <w:szCs w:val="24"/>
        </w:rPr>
        <w:t>(1), 196–230. https://doi.org/10.1017/S0022050718000074</w:t>
      </w:r>
    </w:p>
    <w:p w14:paraId="147588D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Atherwood, S. (2022). Does a prolonged hardship reduce life span? Examining the longevity of young men who lived through the 1930s Great Plains drought. </w:t>
      </w:r>
      <w:r w:rsidRPr="0004264F">
        <w:rPr>
          <w:rFonts w:cstheme="majorBidi"/>
          <w:i/>
          <w:iCs/>
          <w:noProof/>
          <w:szCs w:val="24"/>
        </w:rPr>
        <w:t>Population and Environment 2022</w:t>
      </w:r>
      <w:r w:rsidRPr="0004264F">
        <w:rPr>
          <w:rFonts w:cstheme="majorBidi"/>
          <w:noProof/>
          <w:szCs w:val="24"/>
        </w:rPr>
        <w:t>, 1–23. https://doi.org/10.1007/S11111-022-00398-W</w:t>
      </w:r>
    </w:p>
    <w:p w14:paraId="7C105A5A"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Bailey, M., Clay, K., Fishback, P., Haines, M., Kantor, S., Severnini, E., &amp; Wentz, A. (2016). U.S. County-Level Natality and Mortality Data, 1915-2007. </w:t>
      </w:r>
      <w:r w:rsidRPr="0004264F">
        <w:rPr>
          <w:rFonts w:cstheme="majorBidi"/>
          <w:i/>
          <w:iCs/>
          <w:noProof/>
          <w:szCs w:val="24"/>
        </w:rPr>
        <w:t>Inter-University Consortium for Political and Social Research</w:t>
      </w:r>
      <w:r w:rsidRPr="0004264F">
        <w:rPr>
          <w:rFonts w:cstheme="majorBidi"/>
          <w:noProof/>
          <w:szCs w:val="24"/>
        </w:rPr>
        <w:t>. https://doi.org/https://doi.org/10.3886/E100229V4</w:t>
      </w:r>
    </w:p>
    <w:p w14:paraId="1A672742"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Baird, S., Friedman, J., &amp; Schady, N. (2011). Aggregate income shocks and infant mortality in the developing world. </w:t>
      </w:r>
      <w:r w:rsidRPr="0004264F">
        <w:rPr>
          <w:rFonts w:cstheme="majorBidi"/>
          <w:i/>
          <w:iCs/>
          <w:noProof/>
          <w:szCs w:val="24"/>
        </w:rPr>
        <w:t>Review of Economics and Statistics</w:t>
      </w:r>
      <w:r w:rsidRPr="0004264F">
        <w:rPr>
          <w:rFonts w:cstheme="majorBidi"/>
          <w:noProof/>
          <w:szCs w:val="24"/>
        </w:rPr>
        <w:t xml:space="preserve">, </w:t>
      </w:r>
      <w:r w:rsidRPr="0004264F">
        <w:rPr>
          <w:rFonts w:cstheme="majorBidi"/>
          <w:i/>
          <w:iCs/>
          <w:noProof/>
          <w:szCs w:val="24"/>
        </w:rPr>
        <w:t>93</w:t>
      </w:r>
      <w:r w:rsidRPr="0004264F">
        <w:rPr>
          <w:rFonts w:cstheme="majorBidi"/>
          <w:noProof/>
          <w:szCs w:val="24"/>
        </w:rPr>
        <w:t>(3), 847–856. https://doi.org/10.1162/REST_a_00084</w:t>
      </w:r>
    </w:p>
    <w:p w14:paraId="0259CC7F"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Barker, D. J. P. (1990). The fetal and infant origins of adult disease. </w:t>
      </w:r>
      <w:r w:rsidRPr="0004264F">
        <w:rPr>
          <w:rFonts w:cstheme="majorBidi"/>
          <w:i/>
          <w:iCs/>
          <w:noProof/>
          <w:szCs w:val="24"/>
        </w:rPr>
        <w:t>BMJ: British Medical Journal</w:t>
      </w:r>
      <w:r w:rsidRPr="0004264F">
        <w:rPr>
          <w:rFonts w:cstheme="majorBidi"/>
          <w:noProof/>
          <w:szCs w:val="24"/>
        </w:rPr>
        <w:t xml:space="preserve">, </w:t>
      </w:r>
      <w:r w:rsidRPr="0004264F">
        <w:rPr>
          <w:rFonts w:cstheme="majorBidi"/>
          <w:i/>
          <w:iCs/>
          <w:noProof/>
          <w:szCs w:val="24"/>
        </w:rPr>
        <w:t>301</w:t>
      </w:r>
      <w:r w:rsidRPr="0004264F">
        <w:rPr>
          <w:rFonts w:cstheme="majorBidi"/>
          <w:noProof/>
          <w:szCs w:val="24"/>
        </w:rPr>
        <w:t>(6761), 1111.</w:t>
      </w:r>
    </w:p>
    <w:p w14:paraId="4A06DC7C"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Bengtsson, T., &amp; Broström, G. (2009). Do conditions in early life affect old-age mortality directly and indirectly? Evidence from 19th-century rural Sweden. </w:t>
      </w:r>
      <w:r w:rsidRPr="0004264F">
        <w:rPr>
          <w:rFonts w:cstheme="majorBidi"/>
          <w:i/>
          <w:iCs/>
          <w:noProof/>
          <w:szCs w:val="24"/>
        </w:rPr>
        <w:t>Social Science &amp; Medicine</w:t>
      </w:r>
      <w:r w:rsidRPr="0004264F">
        <w:rPr>
          <w:rFonts w:cstheme="majorBidi"/>
          <w:noProof/>
          <w:szCs w:val="24"/>
        </w:rPr>
        <w:t xml:space="preserve">, </w:t>
      </w:r>
      <w:r w:rsidRPr="0004264F">
        <w:rPr>
          <w:rFonts w:cstheme="majorBidi"/>
          <w:i/>
          <w:iCs/>
          <w:noProof/>
          <w:szCs w:val="24"/>
        </w:rPr>
        <w:t>68</w:t>
      </w:r>
      <w:r w:rsidRPr="0004264F">
        <w:rPr>
          <w:rFonts w:cstheme="majorBidi"/>
          <w:noProof/>
          <w:szCs w:val="24"/>
        </w:rPr>
        <w:t>(9), 1583–1590. https://doi.org/10.1016/J.SOCSCIMED.2009.02.020</w:t>
      </w:r>
    </w:p>
    <w:p w14:paraId="04454B4F"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Bernanke, B. S. (1983). </w:t>
      </w:r>
      <w:r w:rsidRPr="0004264F">
        <w:rPr>
          <w:rFonts w:cstheme="majorBidi"/>
          <w:i/>
          <w:iCs/>
          <w:noProof/>
          <w:szCs w:val="24"/>
        </w:rPr>
        <w:t>Non-monetary effects of the financial crisis in the propagation of the Great Depression</w:t>
      </w:r>
      <w:r w:rsidRPr="0004264F">
        <w:rPr>
          <w:rFonts w:cstheme="majorBidi"/>
          <w:noProof/>
          <w:szCs w:val="24"/>
        </w:rPr>
        <w:t>.</w:t>
      </w:r>
    </w:p>
    <w:p w14:paraId="7166BA0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Black, D. A., Kolesnikova, N., Sanders, S. G., &amp; Taylor, L. J. (2013). Are Children “Normal”? </w:t>
      </w:r>
      <w:r w:rsidRPr="0004264F">
        <w:rPr>
          <w:rFonts w:cstheme="majorBidi"/>
          <w:i/>
          <w:iCs/>
          <w:noProof/>
          <w:szCs w:val="24"/>
        </w:rPr>
        <w:t>The Review of Economics and Statistics</w:t>
      </w:r>
      <w:r w:rsidRPr="0004264F">
        <w:rPr>
          <w:rFonts w:cstheme="majorBidi"/>
          <w:noProof/>
          <w:szCs w:val="24"/>
        </w:rPr>
        <w:t xml:space="preserve">, </w:t>
      </w:r>
      <w:r w:rsidRPr="0004264F">
        <w:rPr>
          <w:rFonts w:cstheme="majorBidi"/>
          <w:i/>
          <w:iCs/>
          <w:noProof/>
          <w:szCs w:val="24"/>
        </w:rPr>
        <w:t>95</w:t>
      </w:r>
      <w:r w:rsidRPr="0004264F">
        <w:rPr>
          <w:rFonts w:cstheme="majorBidi"/>
          <w:noProof/>
          <w:szCs w:val="24"/>
        </w:rPr>
        <w:t>(1), 21–33. https://doi.org/10.1162/REST_A_00257</w:t>
      </w:r>
    </w:p>
    <w:p w14:paraId="0CFBEF2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Black, S. E., Devereux, P. J., &amp; Salvanes, K. G. (2007). From the Cradle to the Labor Market? The Effect of Birth Weight on Adult Outcomes. </w:t>
      </w:r>
      <w:r w:rsidRPr="0004264F">
        <w:rPr>
          <w:rFonts w:cstheme="majorBidi"/>
          <w:i/>
          <w:iCs/>
          <w:noProof/>
          <w:szCs w:val="24"/>
        </w:rPr>
        <w:t>The Quarterly Journal of Economics</w:t>
      </w:r>
      <w:r w:rsidRPr="0004264F">
        <w:rPr>
          <w:rFonts w:cstheme="majorBidi"/>
          <w:noProof/>
          <w:szCs w:val="24"/>
        </w:rPr>
        <w:t xml:space="preserve">, </w:t>
      </w:r>
      <w:r w:rsidRPr="0004264F">
        <w:rPr>
          <w:rFonts w:cstheme="majorBidi"/>
          <w:i/>
          <w:iCs/>
          <w:noProof/>
          <w:szCs w:val="24"/>
        </w:rPr>
        <w:lastRenderedPageBreak/>
        <w:t>122</w:t>
      </w:r>
      <w:r w:rsidRPr="0004264F">
        <w:rPr>
          <w:rFonts w:cstheme="majorBidi"/>
          <w:noProof/>
          <w:szCs w:val="24"/>
        </w:rPr>
        <w:t>(1), 409–439. https://doi.org/10.1162/qjec.122.1.409</w:t>
      </w:r>
    </w:p>
    <w:p w14:paraId="38122C4B"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Bleakley, H. (2007). Disease and Development: Evidence from Hookworm Eradication in the American South. </w:t>
      </w:r>
      <w:r w:rsidRPr="0004264F">
        <w:rPr>
          <w:rFonts w:cstheme="majorBidi"/>
          <w:i/>
          <w:iCs/>
          <w:noProof/>
          <w:szCs w:val="24"/>
        </w:rPr>
        <w:t>The Quarterly Journal of Economics</w:t>
      </w:r>
      <w:r w:rsidRPr="0004264F">
        <w:rPr>
          <w:rFonts w:cstheme="majorBidi"/>
          <w:noProof/>
          <w:szCs w:val="24"/>
        </w:rPr>
        <w:t xml:space="preserve">, </w:t>
      </w:r>
      <w:r w:rsidRPr="0004264F">
        <w:rPr>
          <w:rFonts w:cstheme="majorBidi"/>
          <w:i/>
          <w:iCs/>
          <w:noProof/>
          <w:szCs w:val="24"/>
        </w:rPr>
        <w:t>122</w:t>
      </w:r>
      <w:r w:rsidRPr="0004264F">
        <w:rPr>
          <w:rFonts w:cstheme="majorBidi"/>
          <w:noProof/>
          <w:szCs w:val="24"/>
        </w:rPr>
        <w:t>(1), 73–117. https://doi.org/10.1162/QJEC.121.1.73</w:t>
      </w:r>
    </w:p>
    <w:p w14:paraId="2C3A088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Bogue, D. J. (1951). </w:t>
      </w:r>
      <w:r w:rsidRPr="0004264F">
        <w:rPr>
          <w:rFonts w:cstheme="majorBidi"/>
          <w:i/>
          <w:iCs/>
          <w:noProof/>
          <w:szCs w:val="24"/>
        </w:rPr>
        <w:t>State economic areas: A description of the procedure used in making a functional grouping of the counties of the United States</w:t>
      </w:r>
      <w:r w:rsidRPr="0004264F">
        <w:rPr>
          <w:rFonts w:cstheme="majorBidi"/>
          <w:noProof/>
          <w:szCs w:val="24"/>
        </w:rPr>
        <w:t>. US Government Printing Office.</w:t>
      </w:r>
    </w:p>
    <w:p w14:paraId="4965B6E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Bruckner, T., &amp; Catalano, R. (2007). The sex ratio and age-specific male mortality: evidence for culling in utero. </w:t>
      </w:r>
      <w:r w:rsidRPr="0004264F">
        <w:rPr>
          <w:rFonts w:cstheme="majorBidi"/>
          <w:i/>
          <w:iCs/>
          <w:noProof/>
          <w:szCs w:val="24"/>
        </w:rPr>
        <w:t>American Journal of Human Biology: The Official Journal of the Human Biology Association</w:t>
      </w:r>
      <w:r w:rsidRPr="0004264F">
        <w:rPr>
          <w:rFonts w:cstheme="majorBidi"/>
          <w:noProof/>
          <w:szCs w:val="24"/>
        </w:rPr>
        <w:t xml:space="preserve">, </w:t>
      </w:r>
      <w:r w:rsidRPr="0004264F">
        <w:rPr>
          <w:rFonts w:cstheme="majorBidi"/>
          <w:i/>
          <w:iCs/>
          <w:noProof/>
          <w:szCs w:val="24"/>
        </w:rPr>
        <w:t>19</w:t>
      </w:r>
      <w:r w:rsidRPr="0004264F">
        <w:rPr>
          <w:rFonts w:cstheme="majorBidi"/>
          <w:noProof/>
          <w:szCs w:val="24"/>
        </w:rPr>
        <w:t>(6), 763–773.</w:t>
      </w:r>
    </w:p>
    <w:p w14:paraId="5E26749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Caruso, G., &amp; Miller, S. (2015). Long run effects and intergenerational transmission of natural disasters: A case study on the 1970 Ancash Earthquake. </w:t>
      </w:r>
      <w:r w:rsidRPr="0004264F">
        <w:rPr>
          <w:rFonts w:cstheme="majorBidi"/>
          <w:i/>
          <w:iCs/>
          <w:noProof/>
          <w:szCs w:val="24"/>
        </w:rPr>
        <w:t>Journal of Development Economics</w:t>
      </w:r>
      <w:r w:rsidRPr="0004264F">
        <w:rPr>
          <w:rFonts w:cstheme="majorBidi"/>
          <w:noProof/>
          <w:szCs w:val="24"/>
        </w:rPr>
        <w:t xml:space="preserve">, </w:t>
      </w:r>
      <w:r w:rsidRPr="0004264F">
        <w:rPr>
          <w:rFonts w:cstheme="majorBidi"/>
          <w:i/>
          <w:iCs/>
          <w:noProof/>
          <w:szCs w:val="24"/>
        </w:rPr>
        <w:t>117</w:t>
      </w:r>
      <w:r w:rsidRPr="0004264F">
        <w:rPr>
          <w:rFonts w:cstheme="majorBidi"/>
          <w:noProof/>
          <w:szCs w:val="24"/>
        </w:rPr>
        <w:t>, 134–150. https://doi.org/10.1016/j.jdeveco.2015.07.012</w:t>
      </w:r>
    </w:p>
    <w:p w14:paraId="04529E72"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Catalano, R., Bruckner, T., Anderson, E., &amp; Gould, J. B. (2005). Fetal death sex ratios: a test of the economic stress hypothesis. </w:t>
      </w:r>
      <w:r w:rsidRPr="0004264F">
        <w:rPr>
          <w:rFonts w:cstheme="majorBidi"/>
          <w:i/>
          <w:iCs/>
          <w:noProof/>
          <w:szCs w:val="24"/>
        </w:rPr>
        <w:t>International Journal of Epidemiology</w:t>
      </w:r>
      <w:r w:rsidRPr="0004264F">
        <w:rPr>
          <w:rFonts w:cstheme="majorBidi"/>
          <w:noProof/>
          <w:szCs w:val="24"/>
        </w:rPr>
        <w:t xml:space="preserve">, </w:t>
      </w:r>
      <w:r w:rsidRPr="0004264F">
        <w:rPr>
          <w:rFonts w:cstheme="majorBidi"/>
          <w:i/>
          <w:iCs/>
          <w:noProof/>
          <w:szCs w:val="24"/>
        </w:rPr>
        <w:t>34</w:t>
      </w:r>
      <w:r w:rsidRPr="0004264F">
        <w:rPr>
          <w:rFonts w:cstheme="majorBidi"/>
          <w:noProof/>
          <w:szCs w:val="24"/>
        </w:rPr>
        <w:t>(4), 944–948. https://doi.org/10.1093/IJE/DYI081</w:t>
      </w:r>
    </w:p>
    <w:p w14:paraId="70951EA1"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Chang, G., Favara, M., &amp; Novella, R. (2022). The origins of cognitive skills and non-cognitive skills: The long-term effect of in-utero rainfall shocks in India. </w:t>
      </w:r>
      <w:r w:rsidRPr="0004264F">
        <w:rPr>
          <w:rFonts w:cstheme="majorBidi"/>
          <w:i/>
          <w:iCs/>
          <w:noProof/>
          <w:szCs w:val="24"/>
        </w:rPr>
        <w:t>Economics &amp; Human Biology</w:t>
      </w:r>
      <w:r w:rsidRPr="0004264F">
        <w:rPr>
          <w:rFonts w:cstheme="majorBidi"/>
          <w:noProof/>
          <w:szCs w:val="24"/>
        </w:rPr>
        <w:t xml:space="preserve">, </w:t>
      </w:r>
      <w:r w:rsidRPr="0004264F">
        <w:rPr>
          <w:rFonts w:cstheme="majorBidi"/>
          <w:i/>
          <w:iCs/>
          <w:noProof/>
          <w:szCs w:val="24"/>
        </w:rPr>
        <w:t>44</w:t>
      </w:r>
      <w:r w:rsidRPr="0004264F">
        <w:rPr>
          <w:rFonts w:cstheme="majorBidi"/>
          <w:noProof/>
          <w:szCs w:val="24"/>
        </w:rPr>
        <w:t>, 101089. https://doi.org/10.1016/J.EHB.2021.101089</w:t>
      </w:r>
    </w:p>
    <w:p w14:paraId="23C4EE91"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Chetty, R., Stepner, M., Abraham, S., Lin, S., Scuderi, B., Turner, N., Bergeron, A., &amp; Cutler, D. (2016). The Association Between Income and Life Expectancy in the United States, 2001-2014. </w:t>
      </w:r>
      <w:r w:rsidRPr="0004264F">
        <w:rPr>
          <w:rFonts w:cstheme="majorBidi"/>
          <w:i/>
          <w:iCs/>
          <w:noProof/>
          <w:szCs w:val="24"/>
        </w:rPr>
        <w:t>JAMA</w:t>
      </w:r>
      <w:r w:rsidRPr="0004264F">
        <w:rPr>
          <w:rFonts w:cstheme="majorBidi"/>
          <w:noProof/>
          <w:szCs w:val="24"/>
        </w:rPr>
        <w:t xml:space="preserve">, </w:t>
      </w:r>
      <w:r w:rsidRPr="0004264F">
        <w:rPr>
          <w:rFonts w:cstheme="majorBidi"/>
          <w:i/>
          <w:iCs/>
          <w:noProof/>
          <w:szCs w:val="24"/>
        </w:rPr>
        <w:t>315</w:t>
      </w:r>
      <w:r w:rsidRPr="0004264F">
        <w:rPr>
          <w:rFonts w:cstheme="majorBidi"/>
          <w:noProof/>
          <w:szCs w:val="24"/>
        </w:rPr>
        <w:t>(16), 1750–1766. https://doi.org/10.1001/JAMA.2016.4226</w:t>
      </w:r>
    </w:p>
    <w:p w14:paraId="5500EFB1"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Chyn, E. (2018). Moved to Opportunity: The Long-Run Effects of Public Housing Demolition on Children. </w:t>
      </w:r>
      <w:r w:rsidRPr="0004264F">
        <w:rPr>
          <w:rFonts w:cstheme="majorBidi"/>
          <w:i/>
          <w:iCs/>
          <w:noProof/>
          <w:szCs w:val="24"/>
        </w:rPr>
        <w:t>American Economic Review</w:t>
      </w:r>
      <w:r w:rsidRPr="0004264F">
        <w:rPr>
          <w:rFonts w:cstheme="majorBidi"/>
          <w:noProof/>
          <w:szCs w:val="24"/>
        </w:rPr>
        <w:t xml:space="preserve">, </w:t>
      </w:r>
      <w:r w:rsidRPr="0004264F">
        <w:rPr>
          <w:rFonts w:cstheme="majorBidi"/>
          <w:i/>
          <w:iCs/>
          <w:noProof/>
          <w:szCs w:val="24"/>
        </w:rPr>
        <w:t>108</w:t>
      </w:r>
      <w:r w:rsidRPr="0004264F">
        <w:rPr>
          <w:rFonts w:cstheme="majorBidi"/>
          <w:noProof/>
          <w:szCs w:val="24"/>
        </w:rPr>
        <w:t xml:space="preserve">(10), 3028–3056. </w:t>
      </w:r>
      <w:r w:rsidRPr="0004264F">
        <w:rPr>
          <w:rFonts w:cstheme="majorBidi"/>
          <w:noProof/>
          <w:szCs w:val="24"/>
        </w:rPr>
        <w:lastRenderedPageBreak/>
        <w:t>https://doi.org/10.1257/AER.20161352</w:t>
      </w:r>
    </w:p>
    <w:p w14:paraId="1FF829E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Clark, A. E., D’Ambrosio, C., &amp; Rohde, N. (2021). Prenatal economic shocks and birth outcomes in UK cohort data. </w:t>
      </w:r>
      <w:r w:rsidRPr="0004264F">
        <w:rPr>
          <w:rFonts w:cstheme="majorBidi"/>
          <w:i/>
          <w:iCs/>
          <w:noProof/>
          <w:szCs w:val="24"/>
        </w:rPr>
        <w:t>Economics &amp; Human Biology</w:t>
      </w:r>
      <w:r w:rsidRPr="0004264F">
        <w:rPr>
          <w:rFonts w:cstheme="majorBidi"/>
          <w:noProof/>
          <w:szCs w:val="24"/>
        </w:rPr>
        <w:t xml:space="preserve">, </w:t>
      </w:r>
      <w:r w:rsidRPr="0004264F">
        <w:rPr>
          <w:rFonts w:cstheme="majorBidi"/>
          <w:i/>
          <w:iCs/>
          <w:noProof/>
          <w:szCs w:val="24"/>
        </w:rPr>
        <w:t>41</w:t>
      </w:r>
      <w:r w:rsidRPr="0004264F">
        <w:rPr>
          <w:rFonts w:cstheme="majorBidi"/>
          <w:noProof/>
          <w:szCs w:val="24"/>
        </w:rPr>
        <w:t>, 100964. https://doi.org/10.1016/J.EHB.2020.100964</w:t>
      </w:r>
    </w:p>
    <w:p w14:paraId="0E6D2DA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Clay, K., Portnykh, M., &amp; Severnini, E. (2019). The legacy lead deposition in soils and its impact on cognitive function in preschool-aged children in the United States. </w:t>
      </w:r>
      <w:r w:rsidRPr="0004264F">
        <w:rPr>
          <w:rFonts w:cstheme="majorBidi"/>
          <w:i/>
          <w:iCs/>
          <w:noProof/>
          <w:szCs w:val="24"/>
        </w:rPr>
        <w:t>Economics &amp; Human Biology</w:t>
      </w:r>
      <w:r w:rsidRPr="0004264F">
        <w:rPr>
          <w:rFonts w:cstheme="majorBidi"/>
          <w:noProof/>
          <w:szCs w:val="24"/>
        </w:rPr>
        <w:t xml:space="preserve">, </w:t>
      </w:r>
      <w:r w:rsidRPr="0004264F">
        <w:rPr>
          <w:rFonts w:cstheme="majorBidi"/>
          <w:i/>
          <w:iCs/>
          <w:noProof/>
          <w:szCs w:val="24"/>
        </w:rPr>
        <w:t>33</w:t>
      </w:r>
      <w:r w:rsidRPr="0004264F">
        <w:rPr>
          <w:rFonts w:cstheme="majorBidi"/>
          <w:noProof/>
          <w:szCs w:val="24"/>
        </w:rPr>
        <w:t>, 181–192. https://doi.org/10.1016/J.EHB.2019.03.001</w:t>
      </w:r>
    </w:p>
    <w:p w14:paraId="0D7D6797"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Cohen, A., Dehejia, R., &amp; Romanov, D. (2013). Financial Incentives and Fertility. </w:t>
      </w:r>
      <w:r w:rsidRPr="0004264F">
        <w:rPr>
          <w:rFonts w:cstheme="majorBidi"/>
          <w:i/>
          <w:iCs/>
          <w:noProof/>
          <w:szCs w:val="24"/>
        </w:rPr>
        <w:t>The Review of Economics and Statistics</w:t>
      </w:r>
      <w:r w:rsidRPr="0004264F">
        <w:rPr>
          <w:rFonts w:cstheme="majorBidi"/>
          <w:noProof/>
          <w:szCs w:val="24"/>
        </w:rPr>
        <w:t xml:space="preserve">, </w:t>
      </w:r>
      <w:r w:rsidRPr="0004264F">
        <w:rPr>
          <w:rFonts w:cstheme="majorBidi"/>
          <w:i/>
          <w:iCs/>
          <w:noProof/>
          <w:szCs w:val="24"/>
        </w:rPr>
        <w:t>95</w:t>
      </w:r>
      <w:r w:rsidRPr="0004264F">
        <w:rPr>
          <w:rFonts w:cstheme="majorBidi"/>
          <w:noProof/>
          <w:szCs w:val="24"/>
        </w:rPr>
        <w:t>(1), 1–20. https://doi.org/10.1162/REST_A_00342</w:t>
      </w:r>
    </w:p>
    <w:p w14:paraId="1EFBD25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Costa, D. L. (2015). Health and the economy in the united states from 1750 to the present. In </w:t>
      </w:r>
      <w:r w:rsidRPr="0004264F">
        <w:rPr>
          <w:rFonts w:cstheme="majorBidi"/>
          <w:i/>
          <w:iCs/>
          <w:noProof/>
          <w:szCs w:val="24"/>
        </w:rPr>
        <w:t>Journal of Economic Literature</w:t>
      </w:r>
      <w:r w:rsidRPr="0004264F">
        <w:rPr>
          <w:rFonts w:cstheme="majorBidi"/>
          <w:noProof/>
          <w:szCs w:val="24"/>
        </w:rPr>
        <w:t xml:space="preserve"> (Vol. 53, Issue 3, pp. 503–570). American Economic Association. https://doi.org/10.1257/jel.53.3.503</w:t>
      </w:r>
    </w:p>
    <w:p w14:paraId="3DC210B4"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Currie, J. (2009). Healthy, wealthy, and wise: Socioeconomic status, poor health in childhood, and human capital development. </w:t>
      </w:r>
      <w:r w:rsidRPr="0004264F">
        <w:rPr>
          <w:rFonts w:cstheme="majorBidi"/>
          <w:i/>
          <w:iCs/>
          <w:noProof/>
          <w:szCs w:val="24"/>
        </w:rPr>
        <w:t>Journal of Economic Literature</w:t>
      </w:r>
      <w:r w:rsidRPr="0004264F">
        <w:rPr>
          <w:rFonts w:cstheme="majorBidi"/>
          <w:noProof/>
          <w:szCs w:val="24"/>
        </w:rPr>
        <w:t xml:space="preserve">, </w:t>
      </w:r>
      <w:r w:rsidRPr="0004264F">
        <w:rPr>
          <w:rFonts w:cstheme="majorBidi"/>
          <w:i/>
          <w:iCs/>
          <w:noProof/>
          <w:szCs w:val="24"/>
        </w:rPr>
        <w:t>47</w:t>
      </w:r>
      <w:r w:rsidRPr="0004264F">
        <w:rPr>
          <w:rFonts w:cstheme="majorBidi"/>
          <w:noProof/>
          <w:szCs w:val="24"/>
        </w:rPr>
        <w:t>(1), 87–122. https://doi.org/10.1257/jel.47.1.87</w:t>
      </w:r>
    </w:p>
    <w:p w14:paraId="590797D7"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Currie, J., &amp; Rossin-Slater, M. (2015). Early-life origins of life-cycle well-being: research and policy implications. </w:t>
      </w:r>
      <w:r w:rsidRPr="0004264F">
        <w:rPr>
          <w:rFonts w:cstheme="majorBidi"/>
          <w:i/>
          <w:iCs/>
          <w:noProof/>
          <w:szCs w:val="24"/>
        </w:rPr>
        <w:t>Journal of Policy Analysis and Management : [The Journal of the Association for Public Policy Analysis and Management]</w:t>
      </w:r>
      <w:r w:rsidRPr="0004264F">
        <w:rPr>
          <w:rFonts w:cstheme="majorBidi"/>
          <w:noProof/>
          <w:szCs w:val="24"/>
        </w:rPr>
        <w:t xml:space="preserve">, </w:t>
      </w:r>
      <w:r w:rsidRPr="0004264F">
        <w:rPr>
          <w:rFonts w:cstheme="majorBidi"/>
          <w:i/>
          <w:iCs/>
          <w:noProof/>
          <w:szCs w:val="24"/>
        </w:rPr>
        <w:t>34</w:t>
      </w:r>
      <w:r w:rsidRPr="0004264F">
        <w:rPr>
          <w:rFonts w:cstheme="majorBidi"/>
          <w:noProof/>
          <w:szCs w:val="24"/>
        </w:rPr>
        <w:t>(1), 208–242. https://doi.org/10.1002/PAM.21805</w:t>
      </w:r>
    </w:p>
    <w:p w14:paraId="1358F3C4"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Currie, J., &amp; Schwandt, H. (2014). Short- And long-term effects of unemployment on fertility. </w:t>
      </w:r>
      <w:r w:rsidRPr="0004264F">
        <w:rPr>
          <w:rFonts w:cstheme="majorBidi"/>
          <w:i/>
          <w:iCs/>
          <w:noProof/>
          <w:szCs w:val="24"/>
        </w:rPr>
        <w:t>Proceedings of the National Academy of Sciences of the United States of America</w:t>
      </w:r>
      <w:r w:rsidRPr="0004264F">
        <w:rPr>
          <w:rFonts w:cstheme="majorBidi"/>
          <w:noProof/>
          <w:szCs w:val="24"/>
        </w:rPr>
        <w:t xml:space="preserve">, </w:t>
      </w:r>
      <w:r w:rsidRPr="0004264F">
        <w:rPr>
          <w:rFonts w:cstheme="majorBidi"/>
          <w:i/>
          <w:iCs/>
          <w:noProof/>
          <w:szCs w:val="24"/>
        </w:rPr>
        <w:t>111</w:t>
      </w:r>
      <w:r w:rsidRPr="0004264F">
        <w:rPr>
          <w:rFonts w:cstheme="majorBidi"/>
          <w:noProof/>
          <w:szCs w:val="24"/>
        </w:rPr>
        <w:t>(41), 14734–14739. https://doi.org/10.1073/PNAS.1408975111/SUPPL_FILE/PNAS.1408975111.SAPP.PDF</w:t>
      </w:r>
    </w:p>
    <w:p w14:paraId="568C65D1"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lastRenderedPageBreak/>
        <w:t xml:space="preserve">Cutler, D., Deaton, A., &amp; Lleras-Muney, A. (2006). The Determinants of Mortality. </w:t>
      </w:r>
      <w:r w:rsidRPr="0004264F">
        <w:rPr>
          <w:rFonts w:cstheme="majorBidi"/>
          <w:i/>
          <w:iCs/>
          <w:noProof/>
          <w:szCs w:val="24"/>
        </w:rPr>
        <w:t>Journal of Economic Perspectives</w:t>
      </w:r>
      <w:r w:rsidRPr="0004264F">
        <w:rPr>
          <w:rFonts w:cstheme="majorBidi"/>
          <w:noProof/>
          <w:szCs w:val="24"/>
        </w:rPr>
        <w:t xml:space="preserve">, </w:t>
      </w:r>
      <w:r w:rsidRPr="0004264F">
        <w:rPr>
          <w:rFonts w:cstheme="majorBidi"/>
          <w:i/>
          <w:iCs/>
          <w:noProof/>
          <w:szCs w:val="24"/>
        </w:rPr>
        <w:t>20</w:t>
      </w:r>
      <w:r w:rsidRPr="0004264F">
        <w:rPr>
          <w:rFonts w:cstheme="majorBidi"/>
          <w:noProof/>
          <w:szCs w:val="24"/>
        </w:rPr>
        <w:t>(3), 97–120. https://doi.org/10.1257/JEP.20.3.97</w:t>
      </w:r>
    </w:p>
    <w:p w14:paraId="632AE4E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Cutler, D. M., Miller, G., &amp; Norton, D. M. (2007). Evidence on early-life income and late-life health from America’s Dust Bowl era. </w:t>
      </w:r>
      <w:r w:rsidRPr="0004264F">
        <w:rPr>
          <w:rFonts w:cstheme="majorBidi"/>
          <w:i/>
          <w:iCs/>
          <w:noProof/>
          <w:szCs w:val="24"/>
        </w:rPr>
        <w:t>Proceedings of the National Academy of Sciences</w:t>
      </w:r>
      <w:r w:rsidRPr="0004264F">
        <w:rPr>
          <w:rFonts w:cstheme="majorBidi"/>
          <w:noProof/>
          <w:szCs w:val="24"/>
        </w:rPr>
        <w:t xml:space="preserve">, </w:t>
      </w:r>
      <w:r w:rsidRPr="0004264F">
        <w:rPr>
          <w:rFonts w:cstheme="majorBidi"/>
          <w:i/>
          <w:iCs/>
          <w:noProof/>
          <w:szCs w:val="24"/>
        </w:rPr>
        <w:t>104</w:t>
      </w:r>
      <w:r w:rsidRPr="0004264F">
        <w:rPr>
          <w:rFonts w:cstheme="majorBidi"/>
          <w:noProof/>
          <w:szCs w:val="24"/>
        </w:rPr>
        <w:t>(33), 13244–13249.</w:t>
      </w:r>
    </w:p>
    <w:p w14:paraId="7F9D6EC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Cutler, D., &amp; Miller, G. (2005). The role of public health improvements in health advances: The twentieth-century United States. </w:t>
      </w:r>
      <w:r w:rsidRPr="0004264F">
        <w:rPr>
          <w:rFonts w:cstheme="majorBidi"/>
          <w:i/>
          <w:iCs/>
          <w:noProof/>
          <w:szCs w:val="24"/>
        </w:rPr>
        <w:t>Demography 2005 42:1</w:t>
      </w:r>
      <w:r w:rsidRPr="0004264F">
        <w:rPr>
          <w:rFonts w:cstheme="majorBidi"/>
          <w:noProof/>
          <w:szCs w:val="24"/>
        </w:rPr>
        <w:t xml:space="preserve">, </w:t>
      </w:r>
      <w:r w:rsidRPr="0004264F">
        <w:rPr>
          <w:rFonts w:cstheme="majorBidi"/>
          <w:i/>
          <w:iCs/>
          <w:noProof/>
          <w:szCs w:val="24"/>
        </w:rPr>
        <w:t>42</w:t>
      </w:r>
      <w:r w:rsidRPr="0004264F">
        <w:rPr>
          <w:rFonts w:cstheme="majorBidi"/>
          <w:noProof/>
          <w:szCs w:val="24"/>
        </w:rPr>
        <w:t>(1), 1–22. https://doi.org/10.1353/DEM.2005.0002</w:t>
      </w:r>
    </w:p>
    <w:p w14:paraId="55AFACD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Deaton, A. (2003). </w:t>
      </w:r>
      <w:r w:rsidRPr="0004264F">
        <w:rPr>
          <w:rFonts w:cstheme="majorBidi"/>
          <w:i/>
          <w:iCs/>
          <w:noProof/>
          <w:szCs w:val="24"/>
        </w:rPr>
        <w:t>The great escape.Health, wealth, and the oringins os inequality</w:t>
      </w:r>
      <w:r w:rsidRPr="0004264F">
        <w:rPr>
          <w:rFonts w:cstheme="majorBidi"/>
          <w:noProof/>
          <w:szCs w:val="24"/>
        </w:rPr>
        <w:t>. Prinncenton University Press.</w:t>
      </w:r>
    </w:p>
    <w:p w14:paraId="4F86D1A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Docquier, F. (2004). Income Distribution, Non-convexities and the Fertility–Income Relationship. </w:t>
      </w:r>
      <w:r w:rsidRPr="0004264F">
        <w:rPr>
          <w:rFonts w:cstheme="majorBidi"/>
          <w:i/>
          <w:iCs/>
          <w:noProof/>
          <w:szCs w:val="24"/>
        </w:rPr>
        <w:t>Economica</w:t>
      </w:r>
      <w:r w:rsidRPr="0004264F">
        <w:rPr>
          <w:rFonts w:cstheme="majorBidi"/>
          <w:noProof/>
          <w:szCs w:val="24"/>
        </w:rPr>
        <w:t xml:space="preserve">, </w:t>
      </w:r>
      <w:r w:rsidRPr="0004264F">
        <w:rPr>
          <w:rFonts w:cstheme="majorBidi"/>
          <w:i/>
          <w:iCs/>
          <w:noProof/>
          <w:szCs w:val="24"/>
        </w:rPr>
        <w:t>71</w:t>
      </w:r>
      <w:r w:rsidRPr="0004264F">
        <w:rPr>
          <w:rFonts w:cstheme="majorBidi"/>
          <w:noProof/>
          <w:szCs w:val="24"/>
        </w:rPr>
        <w:t>(282), 261–273. https://doi.org/10.1111/J.0013-0427.2004.00369.X</w:t>
      </w:r>
    </w:p>
    <w:p w14:paraId="0226D9A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Duque, V., &amp; Schmitz, L. (2021). The Influence of Early-Life Economic Shocks on Aging Outcomes: Evidence from the U.S. Great Depression. </w:t>
      </w:r>
      <w:r w:rsidRPr="0004264F">
        <w:rPr>
          <w:rFonts w:cstheme="majorBidi"/>
          <w:i/>
          <w:iCs/>
          <w:noProof/>
          <w:szCs w:val="24"/>
        </w:rPr>
        <w:t>SSRN Electronic Journal</w:t>
      </w:r>
      <w:r w:rsidRPr="0004264F">
        <w:rPr>
          <w:rFonts w:cstheme="majorBidi"/>
          <w:noProof/>
          <w:szCs w:val="24"/>
        </w:rPr>
        <w:t>. https://doi.org/10.2139/SSRN.3985570</w:t>
      </w:r>
    </w:p>
    <w:p w14:paraId="2779970B"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Fishback, P. V., Haines, M. R., &amp; Kantor, S. (2007). Births, Deaths, and New Deal Relief during the Great Depression. </w:t>
      </w:r>
      <w:r w:rsidRPr="0004264F">
        <w:rPr>
          <w:rFonts w:cstheme="majorBidi"/>
          <w:i/>
          <w:iCs/>
          <w:noProof/>
          <w:szCs w:val="24"/>
        </w:rPr>
        <w:t>The Review of Economics and Statistics</w:t>
      </w:r>
      <w:r w:rsidRPr="0004264F">
        <w:rPr>
          <w:rFonts w:cstheme="majorBidi"/>
          <w:noProof/>
          <w:szCs w:val="24"/>
        </w:rPr>
        <w:t xml:space="preserve">, </w:t>
      </w:r>
      <w:r w:rsidRPr="0004264F">
        <w:rPr>
          <w:rFonts w:cstheme="majorBidi"/>
          <w:i/>
          <w:iCs/>
          <w:noProof/>
          <w:szCs w:val="24"/>
        </w:rPr>
        <w:t>89</w:t>
      </w:r>
      <w:r w:rsidRPr="0004264F">
        <w:rPr>
          <w:rFonts w:cstheme="majorBidi"/>
          <w:noProof/>
          <w:szCs w:val="24"/>
        </w:rPr>
        <w:t>(1), 1–14. https://doi.org/10.1162/REST.89.1.1</w:t>
      </w:r>
    </w:p>
    <w:p w14:paraId="7EA448A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Fisher, I. (1933). The Debt-Deflation Theory of Great Depressions. </w:t>
      </w:r>
      <w:r w:rsidRPr="0004264F">
        <w:rPr>
          <w:rFonts w:cstheme="majorBidi"/>
          <w:i/>
          <w:iCs/>
          <w:noProof/>
          <w:szCs w:val="24"/>
        </w:rPr>
        <w:t>Econometrica</w:t>
      </w:r>
      <w:r w:rsidRPr="0004264F">
        <w:rPr>
          <w:rFonts w:cstheme="majorBidi"/>
          <w:noProof/>
          <w:szCs w:val="24"/>
        </w:rPr>
        <w:t xml:space="preserve">, </w:t>
      </w:r>
      <w:r w:rsidRPr="0004264F">
        <w:rPr>
          <w:rFonts w:cstheme="majorBidi"/>
          <w:i/>
          <w:iCs/>
          <w:noProof/>
          <w:szCs w:val="24"/>
        </w:rPr>
        <w:t>1</w:t>
      </w:r>
      <w:r w:rsidRPr="0004264F">
        <w:rPr>
          <w:rFonts w:cstheme="majorBidi"/>
          <w:noProof/>
          <w:szCs w:val="24"/>
        </w:rPr>
        <w:t>(4), 337. https://doi.org/10.2307/1907327</w:t>
      </w:r>
    </w:p>
    <w:p w14:paraId="7F832BD7"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Fletcher, J. M. (2018). New evidence on the impacts of early exposure to the 1918 influenza pandemic on old-age mortality. </w:t>
      </w:r>
      <w:r w:rsidRPr="0004264F">
        <w:rPr>
          <w:rFonts w:cstheme="majorBidi"/>
          <w:i/>
          <w:iCs/>
          <w:noProof/>
          <w:szCs w:val="24"/>
        </w:rPr>
        <w:t>Biodemography and Social Biology</w:t>
      </w:r>
      <w:r w:rsidRPr="0004264F">
        <w:rPr>
          <w:rFonts w:cstheme="majorBidi"/>
          <w:noProof/>
          <w:szCs w:val="24"/>
        </w:rPr>
        <w:t xml:space="preserve">, </w:t>
      </w:r>
      <w:r w:rsidRPr="0004264F">
        <w:rPr>
          <w:rFonts w:cstheme="majorBidi"/>
          <w:i/>
          <w:iCs/>
          <w:noProof/>
          <w:szCs w:val="24"/>
        </w:rPr>
        <w:t>64</w:t>
      </w:r>
      <w:r w:rsidRPr="0004264F">
        <w:rPr>
          <w:rFonts w:cstheme="majorBidi"/>
          <w:noProof/>
          <w:szCs w:val="24"/>
        </w:rPr>
        <w:t xml:space="preserve">(2), 123–126. </w:t>
      </w:r>
      <w:r w:rsidRPr="0004264F">
        <w:rPr>
          <w:rFonts w:cstheme="majorBidi"/>
          <w:noProof/>
          <w:szCs w:val="24"/>
        </w:rPr>
        <w:lastRenderedPageBreak/>
        <w:t>https://doi.org/10.1080/19485565.2018.1501267</w:t>
      </w:r>
    </w:p>
    <w:p w14:paraId="6635D1E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Fletcher, J. M., Green, J. C., &amp; Neidell, M. J. (2010). Long term effects of childhood asthma on adult health.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29</w:t>
      </w:r>
      <w:r w:rsidRPr="0004264F">
        <w:rPr>
          <w:rFonts w:cstheme="majorBidi"/>
          <w:noProof/>
          <w:szCs w:val="24"/>
        </w:rPr>
        <w:t>(3), 377–387. https://doi.org/10.1016/J.JHEALECO.2010.03.007</w:t>
      </w:r>
    </w:p>
    <w:p w14:paraId="39C2CCC2"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Fletcher, J. M., &amp; Noghanibehambari, H. (2022). The Siren Song of Cicadas: Early-Life Pesticide Exposure and Later-Life Mortality. </w:t>
      </w:r>
      <w:r w:rsidRPr="0004264F">
        <w:rPr>
          <w:rFonts w:cstheme="majorBidi"/>
          <w:i/>
          <w:iCs/>
          <w:noProof/>
          <w:szCs w:val="24"/>
        </w:rPr>
        <w:t>Working Paper</w:t>
      </w:r>
      <w:r w:rsidRPr="0004264F">
        <w:rPr>
          <w:rFonts w:cstheme="majorBidi"/>
          <w:noProof/>
          <w:szCs w:val="24"/>
        </w:rPr>
        <w:t>.</w:t>
      </w:r>
    </w:p>
    <w:p w14:paraId="013604A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Fletcher, J., &amp; Noghanibehambari, H. (2021). </w:t>
      </w:r>
      <w:r w:rsidRPr="0004264F">
        <w:rPr>
          <w:rFonts w:cstheme="majorBidi"/>
          <w:i/>
          <w:iCs/>
          <w:noProof/>
          <w:szCs w:val="24"/>
        </w:rPr>
        <w:t>The Effects of Education on Mortality: Evidence Using College Expansions</w:t>
      </w:r>
      <w:r w:rsidRPr="0004264F">
        <w:rPr>
          <w:rFonts w:cstheme="majorBidi"/>
          <w:noProof/>
          <w:szCs w:val="24"/>
        </w:rPr>
        <w:t>. https://doi.org/10.3386/W29423</w:t>
      </w:r>
    </w:p>
    <w:p w14:paraId="105D037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Fogel, R. W. (1994). </w:t>
      </w:r>
      <w:r w:rsidRPr="0004264F">
        <w:rPr>
          <w:rFonts w:cstheme="majorBidi"/>
          <w:i/>
          <w:iCs/>
          <w:noProof/>
          <w:szCs w:val="24"/>
        </w:rPr>
        <w:t>The Relevance of Malthus for the Study of Mortality Today: Long-Run Influences on Health, Mortality, Labor Force Participation, and Population Growth</w:t>
      </w:r>
      <w:r w:rsidRPr="0004264F">
        <w:rPr>
          <w:rFonts w:cstheme="majorBidi"/>
          <w:noProof/>
          <w:szCs w:val="24"/>
        </w:rPr>
        <w:t>. https://doi.org/10.3386/H0054</w:t>
      </w:r>
    </w:p>
    <w:p w14:paraId="5B599CD4"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Friedman, M., &amp; Schwartz, A. J. (1963). </w:t>
      </w:r>
      <w:r w:rsidRPr="0004264F">
        <w:rPr>
          <w:rFonts w:cstheme="majorBidi"/>
          <w:i/>
          <w:iCs/>
          <w:noProof/>
          <w:szCs w:val="24"/>
        </w:rPr>
        <w:t>A monetary history of the United States, 1867-1960</w:t>
      </w:r>
      <w:r w:rsidRPr="0004264F">
        <w:rPr>
          <w:rFonts w:cstheme="majorBidi"/>
          <w:noProof/>
          <w:szCs w:val="24"/>
        </w:rPr>
        <w:t xml:space="preserve"> (Vol. 16). Princeton University Press.</w:t>
      </w:r>
    </w:p>
    <w:p w14:paraId="17E25EC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Gagnon, A., &amp; Bohnert, N. (2012). Early life socioeconomic conditions in rural areas and old-age mortality in twentieth-century Quebec. </w:t>
      </w:r>
      <w:r w:rsidRPr="0004264F">
        <w:rPr>
          <w:rFonts w:cstheme="majorBidi"/>
          <w:i/>
          <w:iCs/>
          <w:noProof/>
          <w:szCs w:val="24"/>
        </w:rPr>
        <w:t>Social Science &amp; Medicine</w:t>
      </w:r>
      <w:r w:rsidRPr="0004264F">
        <w:rPr>
          <w:rFonts w:cstheme="majorBidi"/>
          <w:noProof/>
          <w:szCs w:val="24"/>
        </w:rPr>
        <w:t xml:space="preserve">, </w:t>
      </w:r>
      <w:r w:rsidRPr="0004264F">
        <w:rPr>
          <w:rFonts w:cstheme="majorBidi"/>
          <w:i/>
          <w:iCs/>
          <w:noProof/>
          <w:szCs w:val="24"/>
        </w:rPr>
        <w:t>75</w:t>
      </w:r>
      <w:r w:rsidRPr="0004264F">
        <w:rPr>
          <w:rFonts w:cstheme="majorBidi"/>
          <w:noProof/>
          <w:szCs w:val="24"/>
        </w:rPr>
        <w:t>(8), 1497–1504. https://doi.org/10.1016/J.SOCSCIMED.2012.06.007</w:t>
      </w:r>
    </w:p>
    <w:p w14:paraId="6259B2E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Goldstein, J. R., Alexander, M., Breen, C., Miranda González, A., Menares, F., Osborne, M., Snyder, M., &amp; Yildirim, U. (2021). Censoc Project. In </w:t>
      </w:r>
      <w:r w:rsidRPr="0004264F">
        <w:rPr>
          <w:rFonts w:cstheme="majorBidi"/>
          <w:i/>
          <w:iCs/>
          <w:noProof/>
          <w:szCs w:val="24"/>
        </w:rPr>
        <w:t>CenSoc Mortality File: Version 2.0. Berkeley: University of California</w:t>
      </w:r>
      <w:r w:rsidRPr="0004264F">
        <w:rPr>
          <w:rFonts w:cstheme="majorBidi"/>
          <w:noProof/>
          <w:szCs w:val="24"/>
        </w:rPr>
        <w:t>. https://censoc.berkeley.edu/data/</w:t>
      </w:r>
    </w:p>
    <w:p w14:paraId="263243BB"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Goodman-Bacon, A. (2021). The Long-Run Effects of Childhood Insurance Coverage: Medicaid Implementation, Adult Health, and Labor Market Outcomes. </w:t>
      </w:r>
      <w:r w:rsidRPr="0004264F">
        <w:rPr>
          <w:rFonts w:cstheme="majorBidi"/>
          <w:i/>
          <w:iCs/>
          <w:noProof/>
          <w:szCs w:val="24"/>
        </w:rPr>
        <w:t>American Economic Review</w:t>
      </w:r>
      <w:r w:rsidRPr="0004264F">
        <w:rPr>
          <w:rFonts w:cstheme="majorBidi"/>
          <w:noProof/>
          <w:szCs w:val="24"/>
        </w:rPr>
        <w:t xml:space="preserve">, </w:t>
      </w:r>
      <w:r w:rsidRPr="0004264F">
        <w:rPr>
          <w:rFonts w:cstheme="majorBidi"/>
          <w:i/>
          <w:iCs/>
          <w:noProof/>
          <w:szCs w:val="24"/>
        </w:rPr>
        <w:t>111</w:t>
      </w:r>
      <w:r w:rsidRPr="0004264F">
        <w:rPr>
          <w:rFonts w:cstheme="majorBidi"/>
          <w:noProof/>
          <w:szCs w:val="24"/>
        </w:rPr>
        <w:t>(8), 2550–2593. https://doi.org/10.1257/AER.20171671</w:t>
      </w:r>
    </w:p>
    <w:p w14:paraId="715D2CA8"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Granados, J. A. T., Roux, A. V. D., Tapia Granados, J. A., &amp; Diez Roux, A. V. (2009). Life and </w:t>
      </w:r>
      <w:r w:rsidRPr="0004264F">
        <w:rPr>
          <w:rFonts w:cstheme="majorBidi"/>
          <w:noProof/>
          <w:szCs w:val="24"/>
        </w:rPr>
        <w:lastRenderedPageBreak/>
        <w:t xml:space="preserve">death during the Great Depression. </w:t>
      </w:r>
      <w:r w:rsidRPr="0004264F">
        <w:rPr>
          <w:rFonts w:cstheme="majorBidi"/>
          <w:i/>
          <w:iCs/>
          <w:noProof/>
          <w:szCs w:val="24"/>
        </w:rPr>
        <w:t>Proceedings of the National Academy of Sciences of the United States of America</w:t>
      </w:r>
      <w:r w:rsidRPr="0004264F">
        <w:rPr>
          <w:rFonts w:cstheme="majorBidi"/>
          <w:noProof/>
          <w:szCs w:val="24"/>
        </w:rPr>
        <w:t xml:space="preserve">, </w:t>
      </w:r>
      <w:r w:rsidRPr="0004264F">
        <w:rPr>
          <w:rFonts w:cstheme="majorBidi"/>
          <w:i/>
          <w:iCs/>
          <w:noProof/>
          <w:szCs w:val="24"/>
        </w:rPr>
        <w:t>106</w:t>
      </w:r>
      <w:r w:rsidRPr="0004264F">
        <w:rPr>
          <w:rFonts w:cstheme="majorBidi"/>
          <w:noProof/>
          <w:szCs w:val="24"/>
        </w:rPr>
        <w:t>(41), 17290–17295. https://doi.org/10.1073/pnas.0904491106</w:t>
      </w:r>
    </w:p>
    <w:p w14:paraId="1E870D1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Grimard, F., Laszlo, S., &amp; Lim, W. (2010). Health, aging and childhood socio-economic conditions in Mexico.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29</w:t>
      </w:r>
      <w:r w:rsidRPr="0004264F">
        <w:rPr>
          <w:rFonts w:cstheme="majorBidi"/>
          <w:noProof/>
          <w:szCs w:val="24"/>
        </w:rPr>
        <w:t>(5), 630–640. https://doi.org/10.1016/J.JHEALECO.2010.07.001</w:t>
      </w:r>
    </w:p>
    <w:p w14:paraId="3E0CE52C"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Halpern-Manners, A., Helgertz, J., Warren, J. R., &amp; Roberts, E. (2020). The Effects of Education on Mortality: Evidence From Linked U.S. Census and Administrative Mortality Data. </w:t>
      </w:r>
      <w:r w:rsidRPr="0004264F">
        <w:rPr>
          <w:rFonts w:cstheme="majorBidi"/>
          <w:i/>
          <w:iCs/>
          <w:noProof/>
          <w:szCs w:val="24"/>
        </w:rPr>
        <w:t>Demography</w:t>
      </w:r>
      <w:r w:rsidRPr="0004264F">
        <w:rPr>
          <w:rFonts w:cstheme="majorBidi"/>
          <w:noProof/>
          <w:szCs w:val="24"/>
        </w:rPr>
        <w:t xml:space="preserve">, </w:t>
      </w:r>
      <w:r w:rsidRPr="0004264F">
        <w:rPr>
          <w:rFonts w:cstheme="majorBidi"/>
          <w:i/>
          <w:iCs/>
          <w:noProof/>
          <w:szCs w:val="24"/>
        </w:rPr>
        <w:t>57</w:t>
      </w:r>
      <w:r w:rsidRPr="0004264F">
        <w:rPr>
          <w:rFonts w:cstheme="majorBidi"/>
          <w:noProof/>
          <w:szCs w:val="24"/>
        </w:rPr>
        <w:t>(4), 1513–1541. https://doi.org/10.1007/S13524-020-00892-6</w:t>
      </w:r>
    </w:p>
    <w:p w14:paraId="0FC091F8"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Hayward, M. D., &amp; Gorman, B. K. (2004). The long arm of childhood: The influence of early-life social conditions on men’s mortality. </w:t>
      </w:r>
      <w:r w:rsidRPr="0004264F">
        <w:rPr>
          <w:rFonts w:cstheme="majorBidi"/>
          <w:i/>
          <w:iCs/>
          <w:noProof/>
          <w:szCs w:val="24"/>
        </w:rPr>
        <w:t>Demography 2004 41:1</w:t>
      </w:r>
      <w:r w:rsidRPr="0004264F">
        <w:rPr>
          <w:rFonts w:cstheme="majorBidi"/>
          <w:noProof/>
          <w:szCs w:val="24"/>
        </w:rPr>
        <w:t xml:space="preserve">, </w:t>
      </w:r>
      <w:r w:rsidRPr="0004264F">
        <w:rPr>
          <w:rFonts w:cstheme="majorBidi"/>
          <w:i/>
          <w:iCs/>
          <w:noProof/>
          <w:szCs w:val="24"/>
        </w:rPr>
        <w:t>41</w:t>
      </w:r>
      <w:r w:rsidRPr="0004264F">
        <w:rPr>
          <w:rFonts w:cstheme="majorBidi"/>
          <w:noProof/>
          <w:szCs w:val="24"/>
        </w:rPr>
        <w:t>(1), 87–107. https://doi.org/10.1353/DEM.2004.0005</w:t>
      </w:r>
    </w:p>
    <w:p w14:paraId="69AC876C"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Hornbeck, R. (2011). </w:t>
      </w:r>
      <w:r w:rsidRPr="0004264F">
        <w:rPr>
          <w:rFonts w:cstheme="majorBidi"/>
          <w:i/>
          <w:iCs/>
          <w:noProof/>
          <w:szCs w:val="24"/>
        </w:rPr>
        <w:t>Replication data for: The Enduring Impact of the American Dust Bowl: Short and Long-run Adjustments to Environmental Catastrophe</w:t>
      </w:r>
      <w:r w:rsidRPr="0004264F">
        <w:rPr>
          <w:rFonts w:cstheme="majorBidi"/>
          <w:noProof/>
          <w:szCs w:val="24"/>
        </w:rPr>
        <w:t>. Harvard Dataverse. https://doi.org/10.7910/DVN/CLRPAV</w:t>
      </w:r>
    </w:p>
    <w:p w14:paraId="1AD41A25"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Hoynes, H., Schanzenbach, D. W., &amp; Almond, D. (2016). Long-run impacts of childhood access to the safety net. </w:t>
      </w:r>
      <w:r w:rsidRPr="0004264F">
        <w:rPr>
          <w:rFonts w:cstheme="majorBidi"/>
          <w:i/>
          <w:iCs/>
          <w:noProof/>
          <w:szCs w:val="24"/>
        </w:rPr>
        <w:t>American Economic Review</w:t>
      </w:r>
      <w:r w:rsidRPr="0004264F">
        <w:rPr>
          <w:rFonts w:cstheme="majorBidi"/>
          <w:noProof/>
          <w:szCs w:val="24"/>
        </w:rPr>
        <w:t xml:space="preserve">, </w:t>
      </w:r>
      <w:r w:rsidRPr="0004264F">
        <w:rPr>
          <w:rFonts w:cstheme="majorBidi"/>
          <w:i/>
          <w:iCs/>
          <w:noProof/>
          <w:szCs w:val="24"/>
        </w:rPr>
        <w:t>106</w:t>
      </w:r>
      <w:r w:rsidRPr="0004264F">
        <w:rPr>
          <w:rFonts w:cstheme="majorBidi"/>
          <w:noProof/>
          <w:szCs w:val="24"/>
        </w:rPr>
        <w:t>(4), 903–934. https://doi.org/10.1257/aer.20130375</w:t>
      </w:r>
    </w:p>
    <w:p w14:paraId="55FBC41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James, W. H., &amp; Grech, V. (2017). A review of the established and suspected causes of variations in human sex ratio at birth. </w:t>
      </w:r>
      <w:r w:rsidRPr="0004264F">
        <w:rPr>
          <w:rFonts w:cstheme="majorBidi"/>
          <w:i/>
          <w:iCs/>
          <w:noProof/>
          <w:szCs w:val="24"/>
        </w:rPr>
        <w:t>Early Human Development</w:t>
      </w:r>
      <w:r w:rsidRPr="0004264F">
        <w:rPr>
          <w:rFonts w:cstheme="majorBidi"/>
          <w:noProof/>
          <w:szCs w:val="24"/>
        </w:rPr>
        <w:t xml:space="preserve">, </w:t>
      </w:r>
      <w:r w:rsidRPr="0004264F">
        <w:rPr>
          <w:rFonts w:cstheme="majorBidi"/>
          <w:i/>
          <w:iCs/>
          <w:noProof/>
          <w:szCs w:val="24"/>
        </w:rPr>
        <w:t>109</w:t>
      </w:r>
      <w:r w:rsidRPr="0004264F">
        <w:rPr>
          <w:rFonts w:cstheme="majorBidi"/>
          <w:noProof/>
          <w:szCs w:val="24"/>
        </w:rPr>
        <w:t>, 50–56. https://doi.org/10.1016/J.EARLHUMDEV.2017.03.002</w:t>
      </w:r>
    </w:p>
    <w:p w14:paraId="369ED7F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Lindeboom, M., Portrait, F., &amp; Van Den Berg, G. J. (2010). Long-run effects on longevity of a nutritional shock early in life: The Dutch Potato famine of 1846–1847.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29</w:t>
      </w:r>
      <w:r w:rsidRPr="0004264F">
        <w:rPr>
          <w:rFonts w:cstheme="majorBidi"/>
          <w:noProof/>
          <w:szCs w:val="24"/>
        </w:rPr>
        <w:t>(5), 617–629. https://doi.org/10.1016/J.JHEALECO.2010.06.001</w:t>
      </w:r>
    </w:p>
    <w:p w14:paraId="06CED86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lastRenderedPageBreak/>
        <w:t xml:space="preserve">Ludwig, J., &amp; Miller, D. L. (2007). Does Head Start Improve Children’s Life Chances? Evidence from a Regression Discontinuity Design. </w:t>
      </w:r>
      <w:r w:rsidRPr="0004264F">
        <w:rPr>
          <w:rFonts w:cstheme="majorBidi"/>
          <w:i/>
          <w:iCs/>
          <w:noProof/>
          <w:szCs w:val="24"/>
        </w:rPr>
        <w:t>The Quarterly Journal of Economics</w:t>
      </w:r>
      <w:r w:rsidRPr="0004264F">
        <w:rPr>
          <w:rFonts w:cstheme="majorBidi"/>
          <w:noProof/>
          <w:szCs w:val="24"/>
        </w:rPr>
        <w:t xml:space="preserve">, </w:t>
      </w:r>
      <w:r w:rsidRPr="0004264F">
        <w:rPr>
          <w:rFonts w:cstheme="majorBidi"/>
          <w:i/>
          <w:iCs/>
          <w:noProof/>
          <w:szCs w:val="24"/>
        </w:rPr>
        <w:t>122</w:t>
      </w:r>
      <w:r w:rsidRPr="0004264F">
        <w:rPr>
          <w:rFonts w:cstheme="majorBidi"/>
          <w:noProof/>
          <w:szCs w:val="24"/>
        </w:rPr>
        <w:t>(1), 159–208. https://doi.org/10.1162/QJEC.122.1.159</w:t>
      </w:r>
    </w:p>
    <w:p w14:paraId="48507C1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Majid, M. F. (2015). The persistent effects of in utero nutrition shocks over the life cycle: Evidence from Ramadan fasting. </w:t>
      </w:r>
      <w:r w:rsidRPr="0004264F">
        <w:rPr>
          <w:rFonts w:cstheme="majorBidi"/>
          <w:i/>
          <w:iCs/>
          <w:noProof/>
          <w:szCs w:val="24"/>
        </w:rPr>
        <w:t>Journal of Development Economics</w:t>
      </w:r>
      <w:r w:rsidRPr="0004264F">
        <w:rPr>
          <w:rFonts w:cstheme="majorBidi"/>
          <w:noProof/>
          <w:szCs w:val="24"/>
        </w:rPr>
        <w:t xml:space="preserve">, </w:t>
      </w:r>
      <w:r w:rsidRPr="0004264F">
        <w:rPr>
          <w:rFonts w:cstheme="majorBidi"/>
          <w:i/>
          <w:iCs/>
          <w:noProof/>
          <w:szCs w:val="24"/>
        </w:rPr>
        <w:t>117</w:t>
      </w:r>
      <w:r w:rsidRPr="0004264F">
        <w:rPr>
          <w:rFonts w:cstheme="majorBidi"/>
          <w:noProof/>
          <w:szCs w:val="24"/>
        </w:rPr>
        <w:t>, 48–57. https://doi.org/10.1016/j.jdeveco.2015.06.006</w:t>
      </w:r>
    </w:p>
    <w:p w14:paraId="52B5AA04"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Manson, S., Schroeder, J., Riper, D. Van, Ruggles, S., Others, Van Riper, D., Ruggles, S., &amp; Others. (2017). IPUMS National Historical Geographic Information System: Version 12.0 [Database]. </w:t>
      </w:r>
      <w:r w:rsidRPr="0004264F">
        <w:rPr>
          <w:rFonts w:cstheme="majorBidi"/>
          <w:i/>
          <w:iCs/>
          <w:noProof/>
          <w:szCs w:val="24"/>
        </w:rPr>
        <w:t>Minneapolis: University of Minnesota</w:t>
      </w:r>
      <w:r w:rsidRPr="0004264F">
        <w:rPr>
          <w:rFonts w:cstheme="majorBidi"/>
          <w:noProof/>
          <w:szCs w:val="24"/>
        </w:rPr>
        <w:t>, 39.</w:t>
      </w:r>
    </w:p>
    <w:p w14:paraId="1E483A9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Miller, S., &amp; Wherry, L. R. (2019). The Long-Term Effects of Early Life Medicaid Coverage. </w:t>
      </w:r>
      <w:r w:rsidRPr="0004264F">
        <w:rPr>
          <w:rFonts w:cstheme="majorBidi"/>
          <w:i/>
          <w:iCs/>
          <w:noProof/>
          <w:szCs w:val="24"/>
        </w:rPr>
        <w:t>Journal of Human Resources</w:t>
      </w:r>
      <w:r w:rsidRPr="0004264F">
        <w:rPr>
          <w:rFonts w:cstheme="majorBidi"/>
          <w:noProof/>
          <w:szCs w:val="24"/>
        </w:rPr>
        <w:t xml:space="preserve">, </w:t>
      </w:r>
      <w:r w:rsidRPr="0004264F">
        <w:rPr>
          <w:rFonts w:cstheme="majorBidi"/>
          <w:i/>
          <w:iCs/>
          <w:noProof/>
          <w:szCs w:val="24"/>
        </w:rPr>
        <w:t>54</w:t>
      </w:r>
      <w:r w:rsidRPr="0004264F">
        <w:rPr>
          <w:rFonts w:cstheme="majorBidi"/>
          <w:noProof/>
          <w:szCs w:val="24"/>
        </w:rPr>
        <w:t>(3), 785–824. https://doi.org/10.3368/jhr.54.3.0816.8173r1</w:t>
      </w:r>
    </w:p>
    <w:p w14:paraId="53FD66BC"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Montez, J. K., &amp; Hayward, M. D. (2011). Early Life Conditions and Later Life Mortality. </w:t>
      </w:r>
      <w:r w:rsidRPr="0004264F">
        <w:rPr>
          <w:rFonts w:cstheme="majorBidi"/>
          <w:i/>
          <w:iCs/>
          <w:noProof/>
          <w:szCs w:val="24"/>
        </w:rPr>
        <w:t>International Handbook of Adult Mortality</w:t>
      </w:r>
      <w:r w:rsidRPr="0004264F">
        <w:rPr>
          <w:rFonts w:cstheme="majorBidi"/>
          <w:noProof/>
          <w:szCs w:val="24"/>
        </w:rPr>
        <w:t>, 187–206. https://doi.org/10.1007/978-90-481-9996-9_9</w:t>
      </w:r>
    </w:p>
    <w:p w14:paraId="3B5B2200"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Morse, A., &amp; Luke, N. (2021). Foetal loss and feminine sex ratios at birth in sub-Saharan Africa. </w:t>
      </w:r>
      <w:r w:rsidRPr="0004264F">
        <w:rPr>
          <w:rFonts w:cstheme="majorBidi"/>
          <w:i/>
          <w:iCs/>
          <w:noProof/>
          <w:szCs w:val="24"/>
        </w:rPr>
        <w:t>Population Studies</w:t>
      </w:r>
      <w:r w:rsidRPr="0004264F">
        <w:rPr>
          <w:rFonts w:cstheme="majorBidi"/>
          <w:noProof/>
          <w:szCs w:val="24"/>
        </w:rPr>
        <w:t xml:space="preserve">, </w:t>
      </w:r>
      <w:r w:rsidRPr="0004264F">
        <w:rPr>
          <w:rFonts w:cstheme="majorBidi"/>
          <w:i/>
          <w:iCs/>
          <w:noProof/>
          <w:szCs w:val="24"/>
        </w:rPr>
        <w:t>75</w:t>
      </w:r>
      <w:r w:rsidRPr="0004264F">
        <w:rPr>
          <w:rFonts w:cstheme="majorBidi"/>
          <w:noProof/>
          <w:szCs w:val="24"/>
        </w:rPr>
        <w:t>(2), 239–254. https://doi.org/10.1080/00324728.2021.1877793</w:t>
      </w:r>
    </w:p>
    <w:p w14:paraId="32341C7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Myrskylä, M. (2010a). The effects of shocks in early life mortality on later life expectancy and mortality compression: A cohort analysis. </w:t>
      </w:r>
      <w:r w:rsidRPr="0004264F">
        <w:rPr>
          <w:rFonts w:cstheme="majorBidi"/>
          <w:i/>
          <w:iCs/>
          <w:noProof/>
          <w:szCs w:val="24"/>
        </w:rPr>
        <w:t>Demographic Research</w:t>
      </w:r>
      <w:r w:rsidRPr="0004264F">
        <w:rPr>
          <w:rFonts w:cstheme="majorBidi"/>
          <w:noProof/>
          <w:szCs w:val="24"/>
        </w:rPr>
        <w:t xml:space="preserve">, </w:t>
      </w:r>
      <w:r w:rsidRPr="0004264F">
        <w:rPr>
          <w:rFonts w:cstheme="majorBidi"/>
          <w:i/>
          <w:iCs/>
          <w:noProof/>
          <w:szCs w:val="24"/>
        </w:rPr>
        <w:t>22</w:t>
      </w:r>
      <w:r w:rsidRPr="0004264F">
        <w:rPr>
          <w:rFonts w:cstheme="majorBidi"/>
          <w:noProof/>
          <w:szCs w:val="24"/>
        </w:rPr>
        <w:t>, 289–320. https://doi.org/10.4054/DemRes.2010.22.12</w:t>
      </w:r>
    </w:p>
    <w:p w14:paraId="1434B921"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Myrskylä, M. (2010b). The Relative Effects of Shocks in Early- and Later-Life Conditions on Mortality. </w:t>
      </w:r>
      <w:r w:rsidRPr="0004264F">
        <w:rPr>
          <w:rFonts w:cstheme="majorBidi"/>
          <w:i/>
          <w:iCs/>
          <w:noProof/>
          <w:szCs w:val="24"/>
        </w:rPr>
        <w:t>Population and Development Review</w:t>
      </w:r>
      <w:r w:rsidRPr="0004264F">
        <w:rPr>
          <w:rFonts w:cstheme="majorBidi"/>
          <w:noProof/>
          <w:szCs w:val="24"/>
        </w:rPr>
        <w:t xml:space="preserve">, </w:t>
      </w:r>
      <w:r w:rsidRPr="0004264F">
        <w:rPr>
          <w:rFonts w:cstheme="majorBidi"/>
          <w:i/>
          <w:iCs/>
          <w:noProof/>
          <w:szCs w:val="24"/>
        </w:rPr>
        <w:t>36</w:t>
      </w:r>
      <w:r w:rsidRPr="0004264F">
        <w:rPr>
          <w:rFonts w:cstheme="majorBidi"/>
          <w:noProof/>
          <w:szCs w:val="24"/>
        </w:rPr>
        <w:t>(4), 803–829. https://doi.org/10.1111/j.1728-4457.2010.00358.x</w:t>
      </w:r>
    </w:p>
    <w:p w14:paraId="45AEEDCC"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Noghanibehambari, H., &amp; Engelman, M. (2022). Social insurance programs and later-life </w:t>
      </w:r>
      <w:r w:rsidRPr="0004264F">
        <w:rPr>
          <w:rFonts w:cstheme="majorBidi"/>
          <w:noProof/>
          <w:szCs w:val="24"/>
        </w:rPr>
        <w:lastRenderedPageBreak/>
        <w:t xml:space="preserve">mortality: Evidence from new deal relief spending.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86</w:t>
      </w:r>
      <w:r w:rsidRPr="0004264F">
        <w:rPr>
          <w:rFonts w:cstheme="majorBidi"/>
          <w:noProof/>
          <w:szCs w:val="24"/>
        </w:rPr>
        <w:t>, 102690. https://doi.org/10.1016/J.JHEALECO.2022.102690</w:t>
      </w:r>
    </w:p>
    <w:p w14:paraId="62E5778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Noghanibehambari, H., &amp; Fletcher, J. (2022). </w:t>
      </w:r>
      <w:r w:rsidRPr="0004264F">
        <w:rPr>
          <w:rFonts w:cstheme="majorBidi"/>
          <w:i/>
          <w:iCs/>
          <w:noProof/>
          <w:szCs w:val="24"/>
        </w:rPr>
        <w:t>Dust to Feed, Dust to Grey: The Effect of In-Utero Exposure to Dust Bowl on Old-Age Longevity</w:t>
      </w:r>
      <w:r w:rsidRPr="0004264F">
        <w:rPr>
          <w:rFonts w:cstheme="majorBidi"/>
          <w:noProof/>
          <w:szCs w:val="24"/>
        </w:rPr>
        <w:t>.</w:t>
      </w:r>
    </w:p>
    <w:p w14:paraId="1827A71A"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Persson, P., &amp; Rossin-Slater, M. (2018). Family ruptures, stress, and the mental health of the next generation. </w:t>
      </w:r>
      <w:r w:rsidRPr="0004264F">
        <w:rPr>
          <w:rFonts w:cstheme="majorBidi"/>
          <w:i/>
          <w:iCs/>
          <w:noProof/>
          <w:szCs w:val="24"/>
        </w:rPr>
        <w:t>American Economic Review</w:t>
      </w:r>
      <w:r w:rsidRPr="0004264F">
        <w:rPr>
          <w:rFonts w:cstheme="majorBidi"/>
          <w:noProof/>
          <w:szCs w:val="24"/>
        </w:rPr>
        <w:t xml:space="preserve">, </w:t>
      </w:r>
      <w:r w:rsidRPr="0004264F">
        <w:rPr>
          <w:rFonts w:cstheme="majorBidi"/>
          <w:i/>
          <w:iCs/>
          <w:noProof/>
          <w:szCs w:val="24"/>
        </w:rPr>
        <w:t>108</w:t>
      </w:r>
      <w:r w:rsidRPr="0004264F">
        <w:rPr>
          <w:rFonts w:cstheme="majorBidi"/>
          <w:noProof/>
          <w:szCs w:val="24"/>
        </w:rPr>
        <w:t>(4–5), 1214–1252. https://doi.org/10.1257/aer.20141406</w:t>
      </w:r>
    </w:p>
    <w:p w14:paraId="44424C3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Preston, S. H. (1975). The Changing Relation between Mortality and level of Economic Development. </w:t>
      </w:r>
      <w:r w:rsidRPr="0004264F">
        <w:rPr>
          <w:rFonts w:cstheme="majorBidi"/>
          <w:i/>
          <w:iCs/>
          <w:noProof/>
          <w:szCs w:val="24"/>
        </w:rPr>
        <w:t>Population Studies</w:t>
      </w:r>
      <w:r w:rsidRPr="0004264F">
        <w:rPr>
          <w:rFonts w:cstheme="majorBidi"/>
          <w:noProof/>
          <w:szCs w:val="24"/>
        </w:rPr>
        <w:t xml:space="preserve">, </w:t>
      </w:r>
      <w:r w:rsidRPr="0004264F">
        <w:rPr>
          <w:rFonts w:cstheme="majorBidi"/>
          <w:i/>
          <w:iCs/>
          <w:noProof/>
          <w:szCs w:val="24"/>
        </w:rPr>
        <w:t>29</w:t>
      </w:r>
      <w:r w:rsidRPr="0004264F">
        <w:rPr>
          <w:rFonts w:cstheme="majorBidi"/>
          <w:noProof/>
          <w:szCs w:val="24"/>
        </w:rPr>
        <w:t>(2), 231–248. https://doi.org/10.1080/00324728.1975.10410201</w:t>
      </w:r>
    </w:p>
    <w:p w14:paraId="3E73980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Quintana-Domeque, C., &amp; Ródenas-Serrano, P. (2017). The hidden costs of terrorism: The effects on health at birth.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56</w:t>
      </w:r>
      <w:r w:rsidRPr="0004264F">
        <w:rPr>
          <w:rFonts w:cstheme="majorBidi"/>
          <w:noProof/>
          <w:szCs w:val="24"/>
        </w:rPr>
        <w:t>, 47–60. https://doi.org/10.1016/j.jhealeco.2017.08.006</w:t>
      </w:r>
    </w:p>
    <w:p w14:paraId="739D0708"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Rosa, M. J., Nentin, F., Bosquet Enlow, M., Hacker, M. R., Pollas, N., Coull, B., &amp; Wright, R. J. (2019). Sex-specific associations between prenatal negative life events and birth outcomes. </w:t>
      </w:r>
      <w:r w:rsidRPr="0004264F">
        <w:rPr>
          <w:rFonts w:cstheme="majorBidi"/>
          <w:i/>
          <w:iCs/>
          <w:noProof/>
          <w:szCs w:val="24"/>
        </w:rPr>
        <w:t>Stress</w:t>
      </w:r>
      <w:r w:rsidRPr="0004264F">
        <w:rPr>
          <w:rFonts w:cstheme="majorBidi"/>
          <w:noProof/>
          <w:szCs w:val="24"/>
        </w:rPr>
        <w:t xml:space="preserve">, </w:t>
      </w:r>
      <w:r w:rsidRPr="0004264F">
        <w:rPr>
          <w:rFonts w:cstheme="majorBidi"/>
          <w:i/>
          <w:iCs/>
          <w:noProof/>
          <w:szCs w:val="24"/>
        </w:rPr>
        <w:t>22</w:t>
      </w:r>
      <w:r w:rsidRPr="0004264F">
        <w:rPr>
          <w:rFonts w:cstheme="majorBidi"/>
          <w:noProof/>
          <w:szCs w:val="24"/>
        </w:rPr>
        <w:t>(6), 647–653. https://doi.org/10.1080/10253890.2019.1608944/SUPPL_FILE/ISTS_A_1608944_SM4672.DOCX</w:t>
      </w:r>
    </w:p>
    <w:p w14:paraId="6A23B5B7"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Ruggles, S., Flood, S., Goeken, R., Grover, J., &amp; Meyer, E. (2020). IPUMS USA: Version 10.0 [dataset]. </w:t>
      </w:r>
      <w:r w:rsidRPr="0004264F">
        <w:rPr>
          <w:rFonts w:cstheme="majorBidi"/>
          <w:i/>
          <w:iCs/>
          <w:noProof/>
          <w:szCs w:val="24"/>
        </w:rPr>
        <w:t>Minneapolis, MN: IPUMS</w:t>
      </w:r>
      <w:r w:rsidRPr="0004264F">
        <w:rPr>
          <w:rFonts w:cstheme="majorBidi"/>
          <w:noProof/>
          <w:szCs w:val="24"/>
        </w:rPr>
        <w:t>. https://doi.org/10.18128/D010.V10.0</w:t>
      </w:r>
    </w:p>
    <w:p w14:paraId="76FF186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Sanders, N. J., &amp; Stoecker, C. (2015). Where have all the young men gone? Using sex ratios to measure fetal death rates.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41</w:t>
      </w:r>
      <w:r w:rsidRPr="0004264F">
        <w:rPr>
          <w:rFonts w:cstheme="majorBidi"/>
          <w:noProof/>
          <w:szCs w:val="24"/>
        </w:rPr>
        <w:t>, 30–45. https://doi.org/10.1016/J.JHEALECO.2014.12.005</w:t>
      </w:r>
    </w:p>
    <w:p w14:paraId="335808FA"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lastRenderedPageBreak/>
        <w:t xml:space="preserve">Schaller, J. (2016). Booms, busts, and fertility: Testing the becker model using gender-specific labor demand. </w:t>
      </w:r>
      <w:r w:rsidRPr="0004264F">
        <w:rPr>
          <w:rFonts w:cstheme="majorBidi"/>
          <w:i/>
          <w:iCs/>
          <w:noProof/>
          <w:szCs w:val="24"/>
        </w:rPr>
        <w:t>Journal of Human Resources</w:t>
      </w:r>
      <w:r w:rsidRPr="0004264F">
        <w:rPr>
          <w:rFonts w:cstheme="majorBidi"/>
          <w:noProof/>
          <w:szCs w:val="24"/>
        </w:rPr>
        <w:t xml:space="preserve">, </w:t>
      </w:r>
      <w:r w:rsidRPr="0004264F">
        <w:rPr>
          <w:rFonts w:cstheme="majorBidi"/>
          <w:i/>
          <w:iCs/>
          <w:noProof/>
          <w:szCs w:val="24"/>
        </w:rPr>
        <w:t>51</w:t>
      </w:r>
      <w:r w:rsidRPr="0004264F">
        <w:rPr>
          <w:rFonts w:cstheme="majorBidi"/>
          <w:noProof/>
          <w:szCs w:val="24"/>
        </w:rPr>
        <w:t>(1), 1–29. https://doi.org/10.3368/jhr.51.1.1</w:t>
      </w:r>
    </w:p>
    <w:p w14:paraId="535D257A"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Schaller, J., Fishback, P., &amp; Marquardt, K. (2020). Local Economic Conditions and Fertility from the Great Depression through the Great Recession. </w:t>
      </w:r>
      <w:r w:rsidRPr="0004264F">
        <w:rPr>
          <w:rFonts w:cstheme="majorBidi"/>
          <w:i/>
          <w:iCs/>
          <w:noProof/>
          <w:szCs w:val="24"/>
        </w:rPr>
        <w:t>AEA Papers and Proceedings</w:t>
      </w:r>
      <w:r w:rsidRPr="0004264F">
        <w:rPr>
          <w:rFonts w:cstheme="majorBidi"/>
          <w:noProof/>
          <w:szCs w:val="24"/>
        </w:rPr>
        <w:t xml:space="preserve">, </w:t>
      </w:r>
      <w:r w:rsidRPr="0004264F">
        <w:rPr>
          <w:rFonts w:cstheme="majorBidi"/>
          <w:i/>
          <w:iCs/>
          <w:noProof/>
          <w:szCs w:val="24"/>
        </w:rPr>
        <w:t>110</w:t>
      </w:r>
      <w:r w:rsidRPr="0004264F">
        <w:rPr>
          <w:rFonts w:cstheme="majorBidi"/>
          <w:noProof/>
          <w:szCs w:val="24"/>
        </w:rPr>
        <w:t>, 236–240. https://doi.org/10.1257/PANDP.20201109</w:t>
      </w:r>
    </w:p>
    <w:p w14:paraId="37739E2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Schmitz, L., &amp; Duque, V. (2022). </w:t>
      </w:r>
      <w:r w:rsidRPr="0004264F">
        <w:rPr>
          <w:rFonts w:cstheme="majorBidi"/>
          <w:i/>
          <w:iCs/>
          <w:noProof/>
          <w:szCs w:val="24"/>
        </w:rPr>
        <w:t>In Utero Exposure to the Great Depression is Reflected in Late-Life Epigenetic Aging Signatures</w:t>
      </w:r>
      <w:r w:rsidRPr="0004264F">
        <w:rPr>
          <w:rFonts w:cstheme="majorBidi"/>
          <w:noProof/>
          <w:szCs w:val="24"/>
        </w:rPr>
        <w:t>. https://doi.org/10.1101/2022.05.18.22275258</w:t>
      </w:r>
    </w:p>
    <w:p w14:paraId="6987EA8E"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Schoeps, A., van Ewijk, R., Kynast-Wolf, G., Nebié, E., Zabré, P., Sié, A., &amp; Gabrysch, S. (2018). Ramadan Exposure In Utero and Child Mortality in Burkina Faso: Analysis of a Population-Based Cohort Including 41,025 Children. </w:t>
      </w:r>
      <w:r w:rsidRPr="0004264F">
        <w:rPr>
          <w:rFonts w:cstheme="majorBidi"/>
          <w:i/>
          <w:iCs/>
          <w:noProof/>
          <w:szCs w:val="24"/>
        </w:rPr>
        <w:t>American Journal of Epidemiology</w:t>
      </w:r>
      <w:r w:rsidRPr="0004264F">
        <w:rPr>
          <w:rFonts w:cstheme="majorBidi"/>
          <w:noProof/>
          <w:szCs w:val="24"/>
        </w:rPr>
        <w:t xml:space="preserve">, </w:t>
      </w:r>
      <w:r w:rsidRPr="0004264F">
        <w:rPr>
          <w:rFonts w:cstheme="majorBidi"/>
          <w:i/>
          <w:iCs/>
          <w:noProof/>
          <w:szCs w:val="24"/>
        </w:rPr>
        <w:t>187</w:t>
      </w:r>
      <w:r w:rsidRPr="0004264F">
        <w:rPr>
          <w:rFonts w:cstheme="majorBidi"/>
          <w:noProof/>
          <w:szCs w:val="24"/>
        </w:rPr>
        <w:t>(10), 2085–2092. https://doi.org/10.1093/AJE/KWY091</w:t>
      </w:r>
    </w:p>
    <w:p w14:paraId="1E3E2AFF"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Scholte, R. S., Van Den Berg, G. J., &amp; Lindeboom, M. (2015). Long-run effects of gestation during the Dutch Hunger Winter famine on labor market and hospitalization outcomes.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39</w:t>
      </w:r>
      <w:r w:rsidRPr="0004264F">
        <w:rPr>
          <w:rFonts w:cstheme="majorBidi"/>
          <w:noProof/>
          <w:szCs w:val="24"/>
        </w:rPr>
        <w:t>, 17–30. https://doi.org/10.1016/J.JHEALECO.2014.10.002</w:t>
      </w:r>
    </w:p>
    <w:p w14:paraId="52043135"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Shah, M., &amp; Steinberg, B. M. (2017). Drought of opportunities: Contemporaneous and long-term impacts of rainfall shocks on human capital. </w:t>
      </w:r>
      <w:r w:rsidRPr="0004264F">
        <w:rPr>
          <w:rFonts w:cstheme="majorBidi"/>
          <w:i/>
          <w:iCs/>
          <w:noProof/>
          <w:szCs w:val="24"/>
        </w:rPr>
        <w:t>Journal of Political Economy</w:t>
      </w:r>
      <w:r w:rsidRPr="0004264F">
        <w:rPr>
          <w:rFonts w:cstheme="majorBidi"/>
          <w:noProof/>
          <w:szCs w:val="24"/>
        </w:rPr>
        <w:t xml:space="preserve">, </w:t>
      </w:r>
      <w:r w:rsidRPr="0004264F">
        <w:rPr>
          <w:rFonts w:cstheme="majorBidi"/>
          <w:i/>
          <w:iCs/>
          <w:noProof/>
          <w:szCs w:val="24"/>
        </w:rPr>
        <w:t>125</w:t>
      </w:r>
      <w:r w:rsidRPr="0004264F">
        <w:rPr>
          <w:rFonts w:cstheme="majorBidi"/>
          <w:noProof/>
          <w:szCs w:val="24"/>
        </w:rPr>
        <w:t>(2), 527–561. https://doi.org/10.1086/690828/SUPPL_FILE/2013254DATA.ZIP</w:t>
      </w:r>
    </w:p>
    <w:p w14:paraId="05E09D6B"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Smith, A. H., Marshall, G., Yuan, Y., Liaw, J., Ferreccio, C., &amp; Steinmaus, C. (2011). Evidence From Chile That Arsenic in Drinking Water May Increase Mortality From Pulmonary Tuberculosis. </w:t>
      </w:r>
      <w:r w:rsidRPr="0004264F">
        <w:rPr>
          <w:rFonts w:cstheme="majorBidi"/>
          <w:i/>
          <w:iCs/>
          <w:noProof/>
          <w:szCs w:val="24"/>
        </w:rPr>
        <w:t>American Journal of Epidemiology</w:t>
      </w:r>
      <w:r w:rsidRPr="0004264F">
        <w:rPr>
          <w:rFonts w:cstheme="majorBidi"/>
          <w:noProof/>
          <w:szCs w:val="24"/>
        </w:rPr>
        <w:t xml:space="preserve">, </w:t>
      </w:r>
      <w:r w:rsidRPr="0004264F">
        <w:rPr>
          <w:rFonts w:cstheme="majorBidi"/>
          <w:i/>
          <w:iCs/>
          <w:noProof/>
          <w:szCs w:val="24"/>
        </w:rPr>
        <w:t>173</w:t>
      </w:r>
      <w:r w:rsidRPr="0004264F">
        <w:rPr>
          <w:rFonts w:cstheme="majorBidi"/>
          <w:noProof/>
          <w:szCs w:val="24"/>
        </w:rPr>
        <w:t>(4), 414–420. https://doi.org/10.1093/AJE/KWQ383</w:t>
      </w:r>
    </w:p>
    <w:p w14:paraId="1503B936"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Steptoe, A., &amp; Zaninotto, P. (2020). Lower socioeconomic status and the acceleration of aging: </w:t>
      </w:r>
      <w:r w:rsidRPr="0004264F">
        <w:rPr>
          <w:rFonts w:cstheme="majorBidi"/>
          <w:noProof/>
          <w:szCs w:val="24"/>
        </w:rPr>
        <w:lastRenderedPageBreak/>
        <w:t xml:space="preserve">An outcome-wide analysis. </w:t>
      </w:r>
      <w:r w:rsidRPr="0004264F">
        <w:rPr>
          <w:rFonts w:cstheme="majorBidi"/>
          <w:i/>
          <w:iCs/>
          <w:noProof/>
          <w:szCs w:val="24"/>
        </w:rPr>
        <w:t>Proceedings of the National Academy of Sciences of the United States of America</w:t>
      </w:r>
      <w:r w:rsidRPr="0004264F">
        <w:rPr>
          <w:rFonts w:cstheme="majorBidi"/>
          <w:noProof/>
          <w:szCs w:val="24"/>
        </w:rPr>
        <w:t xml:space="preserve">, </w:t>
      </w:r>
      <w:r w:rsidRPr="0004264F">
        <w:rPr>
          <w:rFonts w:cstheme="majorBidi"/>
          <w:i/>
          <w:iCs/>
          <w:noProof/>
          <w:szCs w:val="24"/>
        </w:rPr>
        <w:t>117</w:t>
      </w:r>
      <w:r w:rsidRPr="0004264F">
        <w:rPr>
          <w:rFonts w:cstheme="majorBidi"/>
          <w:noProof/>
          <w:szCs w:val="24"/>
        </w:rPr>
        <w:t>(26), 14911–14917. https://doi.org/10.1073/PNAS.1915741117</w:t>
      </w:r>
    </w:p>
    <w:p w14:paraId="4AE50DF4"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Stuckler, D., Meissner, C., Fishback, P., Basu, S., &amp; McKee, M. (2012). Banking crises and mortality during the Great Depression: evidence from US urban populations, 1929–1937. </w:t>
      </w:r>
      <w:r w:rsidRPr="0004264F">
        <w:rPr>
          <w:rFonts w:cstheme="majorBidi"/>
          <w:i/>
          <w:iCs/>
          <w:noProof/>
          <w:szCs w:val="24"/>
        </w:rPr>
        <w:t>J Epidemiol Community Health</w:t>
      </w:r>
      <w:r w:rsidRPr="0004264F">
        <w:rPr>
          <w:rFonts w:cstheme="majorBidi"/>
          <w:noProof/>
          <w:szCs w:val="24"/>
        </w:rPr>
        <w:t xml:space="preserve">, </w:t>
      </w:r>
      <w:r w:rsidRPr="0004264F">
        <w:rPr>
          <w:rFonts w:cstheme="majorBidi"/>
          <w:i/>
          <w:iCs/>
          <w:noProof/>
          <w:szCs w:val="24"/>
        </w:rPr>
        <w:t>66</w:t>
      </w:r>
      <w:r w:rsidRPr="0004264F">
        <w:rPr>
          <w:rFonts w:cstheme="majorBidi"/>
          <w:noProof/>
          <w:szCs w:val="24"/>
        </w:rPr>
        <w:t>(5), 410–419. https://doi.org/10.1136/JECH.2010.121376</w:t>
      </w:r>
    </w:p>
    <w:p w14:paraId="50553277"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Van Den Berg, G. J., Doblhammer, G., &amp; Christensen, K. (2009). Exogenous determinants of early-life conditions, and mortality later in life. </w:t>
      </w:r>
      <w:r w:rsidRPr="0004264F">
        <w:rPr>
          <w:rFonts w:cstheme="majorBidi"/>
          <w:i/>
          <w:iCs/>
          <w:noProof/>
          <w:szCs w:val="24"/>
        </w:rPr>
        <w:t>Social Science &amp; Medicine</w:t>
      </w:r>
      <w:r w:rsidRPr="0004264F">
        <w:rPr>
          <w:rFonts w:cstheme="majorBidi"/>
          <w:noProof/>
          <w:szCs w:val="24"/>
        </w:rPr>
        <w:t xml:space="preserve">, </w:t>
      </w:r>
      <w:r w:rsidRPr="0004264F">
        <w:rPr>
          <w:rFonts w:cstheme="majorBidi"/>
          <w:i/>
          <w:iCs/>
          <w:noProof/>
          <w:szCs w:val="24"/>
        </w:rPr>
        <w:t>68</w:t>
      </w:r>
      <w:r w:rsidRPr="0004264F">
        <w:rPr>
          <w:rFonts w:cstheme="majorBidi"/>
          <w:noProof/>
          <w:szCs w:val="24"/>
        </w:rPr>
        <w:t>(9), 1591–1598. https://doi.org/10.1016/J.SOCSCIMED.2009.02.007</w:t>
      </w:r>
    </w:p>
    <w:p w14:paraId="6F7DDD7D"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Van Den Berg, G. J., Gupta, S., van den Berg, G. J., &amp; Gupta, S. (2015). The role of marriage in the causal pathway from economic conditions early in life to mortality. </w:t>
      </w:r>
      <w:r w:rsidRPr="0004264F">
        <w:rPr>
          <w:rFonts w:cstheme="majorBidi"/>
          <w:i/>
          <w:iCs/>
          <w:noProof/>
          <w:szCs w:val="24"/>
        </w:rPr>
        <w:t>Journal of Health Economics</w:t>
      </w:r>
      <w:r w:rsidRPr="0004264F">
        <w:rPr>
          <w:rFonts w:cstheme="majorBidi"/>
          <w:noProof/>
          <w:szCs w:val="24"/>
        </w:rPr>
        <w:t xml:space="preserve">, </w:t>
      </w:r>
      <w:r w:rsidRPr="0004264F">
        <w:rPr>
          <w:rFonts w:cstheme="majorBidi"/>
          <w:i/>
          <w:iCs/>
          <w:noProof/>
          <w:szCs w:val="24"/>
        </w:rPr>
        <w:t>40</w:t>
      </w:r>
      <w:r w:rsidRPr="0004264F">
        <w:rPr>
          <w:rFonts w:cstheme="majorBidi"/>
          <w:noProof/>
          <w:szCs w:val="24"/>
        </w:rPr>
        <w:t>, 141–158. https://doi.org/10.1016/j.jhealeco.2014.02.004</w:t>
      </w:r>
    </w:p>
    <w:p w14:paraId="4AA6F195"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Van Den Berg, G. J., Lindeboom, M., Portrait, F., Berg, G. J. Van Den, Lindeboom, M., Portrait, F., den Berg, G. J., Lindeboom, M., &amp; Portrait, F. (2006). Economic Conditions Early in Life and Individual Mortality. </w:t>
      </w:r>
      <w:r w:rsidRPr="0004264F">
        <w:rPr>
          <w:rFonts w:cstheme="majorBidi"/>
          <w:i/>
          <w:iCs/>
          <w:noProof/>
          <w:szCs w:val="24"/>
        </w:rPr>
        <w:t>American Economic Review</w:t>
      </w:r>
      <w:r w:rsidRPr="0004264F">
        <w:rPr>
          <w:rFonts w:cstheme="majorBidi"/>
          <w:noProof/>
          <w:szCs w:val="24"/>
        </w:rPr>
        <w:t xml:space="preserve">, </w:t>
      </w:r>
      <w:r w:rsidRPr="0004264F">
        <w:rPr>
          <w:rFonts w:cstheme="majorBidi"/>
          <w:i/>
          <w:iCs/>
          <w:noProof/>
          <w:szCs w:val="24"/>
        </w:rPr>
        <w:t>96</w:t>
      </w:r>
      <w:r w:rsidRPr="0004264F">
        <w:rPr>
          <w:rFonts w:cstheme="majorBidi"/>
          <w:noProof/>
          <w:szCs w:val="24"/>
        </w:rPr>
        <w:t>(1), 290–302. https://doi.org/10.1257/000282806776157740</w:t>
      </w:r>
    </w:p>
    <w:p w14:paraId="018EADA3"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Wang, J., Gao, Z. Y., Yan, J., Ying, X. L., Tong, S. L., &amp; Yan, C. H. (2017). Sex differences in the effects of prenatal lead exposure on birth outcomes. </w:t>
      </w:r>
      <w:r w:rsidRPr="0004264F">
        <w:rPr>
          <w:rFonts w:cstheme="majorBidi"/>
          <w:i/>
          <w:iCs/>
          <w:noProof/>
          <w:szCs w:val="24"/>
        </w:rPr>
        <w:t>Environmental Pollution</w:t>
      </w:r>
      <w:r w:rsidRPr="0004264F">
        <w:rPr>
          <w:rFonts w:cstheme="majorBidi"/>
          <w:noProof/>
          <w:szCs w:val="24"/>
        </w:rPr>
        <w:t xml:space="preserve">, </w:t>
      </w:r>
      <w:r w:rsidRPr="0004264F">
        <w:rPr>
          <w:rFonts w:cstheme="majorBidi"/>
          <w:i/>
          <w:iCs/>
          <w:noProof/>
          <w:szCs w:val="24"/>
        </w:rPr>
        <w:t>225</w:t>
      </w:r>
      <w:r w:rsidRPr="0004264F">
        <w:rPr>
          <w:rFonts w:cstheme="majorBidi"/>
          <w:noProof/>
          <w:szCs w:val="24"/>
        </w:rPr>
        <w:t>, 193–200. https://doi.org/10.1016/J.ENVPOL.2017.03.031</w:t>
      </w:r>
    </w:p>
    <w:p w14:paraId="59A7E4C9"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szCs w:val="24"/>
        </w:rPr>
      </w:pPr>
      <w:r w:rsidRPr="0004264F">
        <w:rPr>
          <w:rFonts w:cstheme="majorBidi"/>
          <w:noProof/>
          <w:szCs w:val="24"/>
        </w:rPr>
        <w:t xml:space="preserve">Weinberg, J., Sliwowska, J. H., Lan, N., &amp; Hellemans, K. G. C. (2008). Prenatal Alcohol Exposure: Foetal Programming, the Hypothalamic-Pituitary-Adrenal Axis and Sex Differences in Outcome. </w:t>
      </w:r>
      <w:r w:rsidRPr="0004264F">
        <w:rPr>
          <w:rFonts w:cstheme="majorBidi"/>
          <w:i/>
          <w:iCs/>
          <w:noProof/>
          <w:szCs w:val="24"/>
        </w:rPr>
        <w:t>Journal of Neuroendocrinology</w:t>
      </w:r>
      <w:r w:rsidRPr="0004264F">
        <w:rPr>
          <w:rFonts w:cstheme="majorBidi"/>
          <w:noProof/>
          <w:szCs w:val="24"/>
        </w:rPr>
        <w:t xml:space="preserve">, </w:t>
      </w:r>
      <w:r w:rsidRPr="0004264F">
        <w:rPr>
          <w:rFonts w:cstheme="majorBidi"/>
          <w:i/>
          <w:iCs/>
          <w:noProof/>
          <w:szCs w:val="24"/>
        </w:rPr>
        <w:t>20</w:t>
      </w:r>
      <w:r w:rsidRPr="0004264F">
        <w:rPr>
          <w:rFonts w:cstheme="majorBidi"/>
          <w:noProof/>
          <w:szCs w:val="24"/>
        </w:rPr>
        <w:t>(4), 470–488. https://doi.org/10.1111/J.1365-2826.2008.01669.X</w:t>
      </w:r>
    </w:p>
    <w:p w14:paraId="1900D10F" w14:textId="77777777" w:rsidR="00821F25" w:rsidRPr="0004264F" w:rsidRDefault="00821F25" w:rsidP="00821F25">
      <w:pPr>
        <w:widowControl w:val="0"/>
        <w:autoSpaceDE w:val="0"/>
        <w:autoSpaceDN w:val="0"/>
        <w:adjustRightInd w:val="0"/>
        <w:spacing w:before="60" w:after="60" w:line="480" w:lineRule="auto"/>
        <w:ind w:left="480" w:hanging="480"/>
        <w:rPr>
          <w:rFonts w:cstheme="majorBidi"/>
          <w:noProof/>
        </w:rPr>
      </w:pPr>
      <w:r w:rsidRPr="0004264F">
        <w:rPr>
          <w:rFonts w:cstheme="majorBidi"/>
          <w:noProof/>
          <w:szCs w:val="24"/>
        </w:rPr>
        <w:t xml:space="preserve">Yamashita, N., &amp; Trinh, T. A. (2022). Effects of prenatal exposure to abnormal rainfall on </w:t>
      </w:r>
      <w:r w:rsidRPr="0004264F">
        <w:rPr>
          <w:rFonts w:cstheme="majorBidi"/>
          <w:noProof/>
          <w:szCs w:val="24"/>
        </w:rPr>
        <w:lastRenderedPageBreak/>
        <w:t xml:space="preserve">cognitive development in Vietnam. </w:t>
      </w:r>
      <w:r w:rsidRPr="0004264F">
        <w:rPr>
          <w:rFonts w:cstheme="majorBidi"/>
          <w:i/>
          <w:iCs/>
          <w:noProof/>
          <w:szCs w:val="24"/>
        </w:rPr>
        <w:t>Population and Environment</w:t>
      </w:r>
      <w:r w:rsidRPr="0004264F">
        <w:rPr>
          <w:rFonts w:cstheme="majorBidi"/>
          <w:noProof/>
          <w:szCs w:val="24"/>
        </w:rPr>
        <w:t xml:space="preserve">, </w:t>
      </w:r>
      <w:r w:rsidRPr="0004264F">
        <w:rPr>
          <w:rFonts w:cstheme="majorBidi"/>
          <w:i/>
          <w:iCs/>
          <w:noProof/>
          <w:szCs w:val="24"/>
        </w:rPr>
        <w:t>43</w:t>
      </w:r>
      <w:r w:rsidRPr="0004264F">
        <w:rPr>
          <w:rFonts w:cstheme="majorBidi"/>
          <w:noProof/>
          <w:szCs w:val="24"/>
        </w:rPr>
        <w:t>(3), 346–366. https://doi.org/10.1007/S11111-021-00394-6/TABLES/6</w:t>
      </w:r>
    </w:p>
    <w:p w14:paraId="2E2FACE1" w14:textId="4C44A5DD" w:rsidR="00821F25" w:rsidRPr="0004264F" w:rsidRDefault="00821F25" w:rsidP="00510027">
      <w:pPr>
        <w:spacing w:before="60" w:after="60" w:line="480" w:lineRule="auto"/>
        <w:ind w:firstLine="720"/>
        <w:jc w:val="both"/>
        <w:rPr>
          <w:rFonts w:eastAsiaTheme="minorEastAsia" w:cstheme="majorBidi"/>
          <w:b/>
          <w:bCs/>
          <w:szCs w:val="24"/>
        </w:rPr>
      </w:pPr>
      <w:r w:rsidRPr="0004264F">
        <w:rPr>
          <w:rFonts w:eastAsiaTheme="minorEastAsia" w:cstheme="majorBidi"/>
          <w:b/>
          <w:bCs/>
          <w:szCs w:val="24"/>
        </w:rPr>
        <w:fldChar w:fldCharType="end"/>
      </w:r>
    </w:p>
    <w:p w14:paraId="15320286" w14:textId="082103E7" w:rsidR="00567D71" w:rsidRPr="0004264F" w:rsidRDefault="00567D71" w:rsidP="006F4704">
      <w:pPr>
        <w:jc w:val="both"/>
        <w:rPr>
          <w:rFonts w:cstheme="majorBidi"/>
          <w:szCs w:val="24"/>
        </w:rPr>
        <w:sectPr w:rsidR="00567D71" w:rsidRPr="0004264F" w:rsidSect="00847BB4">
          <w:footerReference w:type="default" r:id="rId13"/>
          <w:pgSz w:w="12240" w:h="15840" w:code="1"/>
          <w:pgMar w:top="1440" w:right="1440" w:bottom="1440" w:left="1440" w:header="720" w:footer="720" w:gutter="0"/>
          <w:cols w:space="720"/>
          <w:docGrid w:linePitch="360"/>
        </w:sectPr>
      </w:pPr>
    </w:p>
    <w:p w14:paraId="0DC0B1CD" w14:textId="077E4D2B" w:rsidR="00204C5C" w:rsidRPr="0004264F" w:rsidRDefault="009A7D4F" w:rsidP="00F32C69">
      <w:pPr>
        <w:rPr>
          <w:rFonts w:cstheme="majorBidi"/>
          <w:b/>
          <w:bCs/>
          <w:sz w:val="20"/>
          <w:szCs w:val="20"/>
        </w:rPr>
      </w:pPr>
      <w:r w:rsidRPr="0004264F">
        <w:rPr>
          <w:rFonts w:cstheme="majorBidi"/>
          <w:b/>
          <w:bCs/>
          <w:sz w:val="20"/>
          <w:szCs w:val="20"/>
        </w:rPr>
        <w:lastRenderedPageBreak/>
        <w:t>Ta</w:t>
      </w:r>
      <w:r w:rsidR="00155798" w:rsidRPr="0004264F">
        <w:rPr>
          <w:rFonts w:cstheme="majorBidi"/>
          <w:b/>
          <w:bCs/>
          <w:sz w:val="20"/>
          <w:szCs w:val="20"/>
        </w:rPr>
        <w:t>bles</w:t>
      </w:r>
    </w:p>
    <w:p w14:paraId="6C16A291" w14:textId="4E57A2FD" w:rsidR="00204C5C" w:rsidRPr="0004264F" w:rsidRDefault="00204C5C" w:rsidP="00F32C69">
      <w:pPr>
        <w:rPr>
          <w:rFonts w:cstheme="majorBidi"/>
          <w:b/>
          <w:bCs/>
          <w:sz w:val="20"/>
          <w:szCs w:val="20"/>
        </w:rPr>
      </w:pPr>
    </w:p>
    <w:p w14:paraId="4C209E27" w14:textId="08836CF4" w:rsidR="00A71FF2" w:rsidRPr="0004264F" w:rsidRDefault="00A71FF2" w:rsidP="00A71FF2">
      <w:pPr>
        <w:pStyle w:val="Caption"/>
        <w:keepNext/>
        <w:bidi w:val="0"/>
        <w:rPr>
          <w:rFonts w:cstheme="majorBidi"/>
        </w:rPr>
      </w:pPr>
      <w:bookmarkStart w:id="11" w:name="_Ref97676908"/>
      <w:r w:rsidRPr="0004264F">
        <w:rPr>
          <w:rFonts w:cstheme="majorBidi"/>
        </w:rPr>
        <w:t xml:space="preserve">Table </w:t>
      </w:r>
      <w:r w:rsidR="00AD3D04" w:rsidRPr="0004264F">
        <w:rPr>
          <w:rFonts w:cstheme="majorBidi"/>
        </w:rPr>
        <w:fldChar w:fldCharType="begin"/>
      </w:r>
      <w:r w:rsidR="00AD3D04" w:rsidRPr="0004264F">
        <w:rPr>
          <w:rFonts w:cstheme="majorBidi"/>
        </w:rPr>
        <w:instrText xml:space="preserve"> SEQ Table \* ARABIC </w:instrText>
      </w:r>
      <w:r w:rsidR="00AD3D04" w:rsidRPr="0004264F">
        <w:rPr>
          <w:rFonts w:cstheme="majorBidi"/>
        </w:rPr>
        <w:fldChar w:fldCharType="separate"/>
      </w:r>
      <w:r w:rsidR="00CA5B9D" w:rsidRPr="0004264F">
        <w:rPr>
          <w:rFonts w:cstheme="majorBidi"/>
          <w:noProof/>
        </w:rPr>
        <w:t>1</w:t>
      </w:r>
      <w:r w:rsidR="00AD3D04" w:rsidRPr="0004264F">
        <w:rPr>
          <w:rFonts w:cstheme="majorBidi"/>
          <w:noProof/>
        </w:rPr>
        <w:fldChar w:fldCharType="end"/>
      </w:r>
      <w:bookmarkEnd w:id="11"/>
      <w:r w:rsidRPr="0004264F">
        <w:rPr>
          <w:rFonts w:cstheme="majorBidi"/>
        </w:rPr>
        <w:t xml:space="preserve"> - Summary Statistics</w:t>
      </w:r>
    </w:p>
    <w:tbl>
      <w:tblPr>
        <w:tblW w:w="10108" w:type="dxa"/>
        <w:jc w:val="center"/>
        <w:tblLayout w:type="fixed"/>
        <w:tblLook w:val="0000" w:firstRow="0" w:lastRow="0" w:firstColumn="0" w:lastColumn="0" w:noHBand="0" w:noVBand="0"/>
      </w:tblPr>
      <w:tblGrid>
        <w:gridCol w:w="3108"/>
        <w:gridCol w:w="1400"/>
        <w:gridCol w:w="1400"/>
        <w:gridCol w:w="1400"/>
        <w:gridCol w:w="1400"/>
        <w:gridCol w:w="1400"/>
      </w:tblGrid>
      <w:tr w:rsidR="0014257A" w:rsidRPr="0004264F" w14:paraId="65698B38" w14:textId="77777777" w:rsidTr="0014257A">
        <w:trPr>
          <w:trHeight w:val="20"/>
          <w:jc w:val="center"/>
        </w:trPr>
        <w:tc>
          <w:tcPr>
            <w:tcW w:w="3108" w:type="dxa"/>
            <w:tcBorders>
              <w:top w:val="single" w:sz="4" w:space="0" w:color="auto"/>
              <w:left w:val="nil"/>
              <w:bottom w:val="single" w:sz="10" w:space="0" w:color="auto"/>
              <w:right w:val="nil"/>
            </w:tcBorders>
            <w:vAlign w:val="center"/>
          </w:tcPr>
          <w:p w14:paraId="7A04AB74" w14:textId="77777777" w:rsidR="0014257A" w:rsidRPr="0004264F" w:rsidRDefault="0014257A" w:rsidP="00A71FF2">
            <w:pPr>
              <w:widowControl w:val="0"/>
              <w:autoSpaceDE w:val="0"/>
              <w:autoSpaceDN w:val="0"/>
              <w:adjustRightInd w:val="0"/>
              <w:spacing w:after="0"/>
              <w:rPr>
                <w:rFonts w:cstheme="majorBidi"/>
                <w:sz w:val="20"/>
                <w:szCs w:val="20"/>
              </w:rPr>
            </w:pPr>
            <w:r w:rsidRPr="0004264F">
              <w:rPr>
                <w:rFonts w:cstheme="majorBidi"/>
                <w:sz w:val="20"/>
                <w:szCs w:val="20"/>
              </w:rPr>
              <w:t>Variable</w:t>
            </w:r>
          </w:p>
        </w:tc>
        <w:tc>
          <w:tcPr>
            <w:tcW w:w="1400" w:type="dxa"/>
            <w:tcBorders>
              <w:top w:val="single" w:sz="4" w:space="0" w:color="auto"/>
              <w:left w:val="nil"/>
              <w:bottom w:val="single" w:sz="10" w:space="0" w:color="auto"/>
              <w:right w:val="nil"/>
            </w:tcBorders>
          </w:tcPr>
          <w:p w14:paraId="33BA99AF" w14:textId="4DB5654A" w:rsidR="0014257A" w:rsidRPr="0004264F" w:rsidRDefault="0014257A" w:rsidP="00A71FF2">
            <w:pPr>
              <w:widowControl w:val="0"/>
              <w:autoSpaceDE w:val="0"/>
              <w:autoSpaceDN w:val="0"/>
              <w:adjustRightInd w:val="0"/>
              <w:spacing w:after="0"/>
              <w:jc w:val="center"/>
              <w:rPr>
                <w:rFonts w:cstheme="majorBidi"/>
                <w:sz w:val="20"/>
                <w:szCs w:val="20"/>
              </w:rPr>
            </w:pPr>
            <w:r w:rsidRPr="0004264F">
              <w:rPr>
                <w:rFonts w:cstheme="majorBidi"/>
                <w:sz w:val="20"/>
                <w:szCs w:val="20"/>
              </w:rPr>
              <w:t>Observations</w:t>
            </w:r>
          </w:p>
        </w:tc>
        <w:tc>
          <w:tcPr>
            <w:tcW w:w="1400" w:type="dxa"/>
            <w:tcBorders>
              <w:top w:val="single" w:sz="4" w:space="0" w:color="auto"/>
              <w:left w:val="nil"/>
              <w:bottom w:val="single" w:sz="10" w:space="0" w:color="auto"/>
              <w:right w:val="nil"/>
            </w:tcBorders>
            <w:vAlign w:val="center"/>
          </w:tcPr>
          <w:p w14:paraId="4A9655CA" w14:textId="6ED9C72A" w:rsidR="0014257A" w:rsidRPr="0004264F" w:rsidRDefault="0014257A" w:rsidP="00A71FF2">
            <w:pPr>
              <w:widowControl w:val="0"/>
              <w:autoSpaceDE w:val="0"/>
              <w:autoSpaceDN w:val="0"/>
              <w:adjustRightInd w:val="0"/>
              <w:spacing w:after="0"/>
              <w:jc w:val="center"/>
              <w:rPr>
                <w:rFonts w:cstheme="majorBidi"/>
                <w:sz w:val="20"/>
                <w:szCs w:val="20"/>
              </w:rPr>
            </w:pPr>
            <w:r w:rsidRPr="0004264F">
              <w:rPr>
                <w:rFonts w:cstheme="majorBidi"/>
                <w:sz w:val="20"/>
                <w:szCs w:val="20"/>
              </w:rPr>
              <w:t>Mean</w:t>
            </w:r>
          </w:p>
        </w:tc>
        <w:tc>
          <w:tcPr>
            <w:tcW w:w="1400" w:type="dxa"/>
            <w:tcBorders>
              <w:top w:val="single" w:sz="4" w:space="0" w:color="auto"/>
              <w:left w:val="nil"/>
              <w:bottom w:val="single" w:sz="10" w:space="0" w:color="auto"/>
              <w:right w:val="nil"/>
            </w:tcBorders>
            <w:vAlign w:val="center"/>
          </w:tcPr>
          <w:p w14:paraId="0466088B" w14:textId="1010D286" w:rsidR="0014257A" w:rsidRPr="0004264F" w:rsidRDefault="0014257A" w:rsidP="00A71FF2">
            <w:pPr>
              <w:widowControl w:val="0"/>
              <w:autoSpaceDE w:val="0"/>
              <w:autoSpaceDN w:val="0"/>
              <w:adjustRightInd w:val="0"/>
              <w:spacing w:after="0"/>
              <w:jc w:val="center"/>
              <w:rPr>
                <w:rFonts w:cstheme="majorBidi"/>
                <w:sz w:val="20"/>
                <w:szCs w:val="20"/>
              </w:rPr>
            </w:pPr>
            <w:r w:rsidRPr="0004264F">
              <w:rPr>
                <w:rFonts w:cstheme="majorBidi"/>
                <w:sz w:val="20"/>
                <w:szCs w:val="20"/>
              </w:rPr>
              <w:t>Std. Dev.</w:t>
            </w:r>
          </w:p>
        </w:tc>
        <w:tc>
          <w:tcPr>
            <w:tcW w:w="1400" w:type="dxa"/>
            <w:tcBorders>
              <w:top w:val="single" w:sz="4" w:space="0" w:color="auto"/>
              <w:left w:val="nil"/>
              <w:bottom w:val="single" w:sz="10" w:space="0" w:color="auto"/>
              <w:right w:val="nil"/>
            </w:tcBorders>
            <w:vAlign w:val="center"/>
          </w:tcPr>
          <w:p w14:paraId="59626E06" w14:textId="706922A3" w:rsidR="0014257A" w:rsidRPr="0004264F" w:rsidRDefault="0014257A" w:rsidP="00A71FF2">
            <w:pPr>
              <w:widowControl w:val="0"/>
              <w:autoSpaceDE w:val="0"/>
              <w:autoSpaceDN w:val="0"/>
              <w:adjustRightInd w:val="0"/>
              <w:spacing w:after="0"/>
              <w:jc w:val="center"/>
              <w:rPr>
                <w:rFonts w:cstheme="majorBidi"/>
                <w:sz w:val="20"/>
                <w:szCs w:val="20"/>
              </w:rPr>
            </w:pPr>
            <w:r w:rsidRPr="0004264F">
              <w:rPr>
                <w:rFonts w:cstheme="majorBidi"/>
                <w:sz w:val="20"/>
                <w:szCs w:val="20"/>
              </w:rPr>
              <w:t>Min</w:t>
            </w:r>
          </w:p>
        </w:tc>
        <w:tc>
          <w:tcPr>
            <w:tcW w:w="1400" w:type="dxa"/>
            <w:tcBorders>
              <w:top w:val="single" w:sz="4" w:space="0" w:color="auto"/>
              <w:left w:val="nil"/>
              <w:bottom w:val="single" w:sz="10" w:space="0" w:color="auto"/>
              <w:right w:val="nil"/>
            </w:tcBorders>
            <w:vAlign w:val="center"/>
          </w:tcPr>
          <w:p w14:paraId="3023B87E" w14:textId="0C62BDC1" w:rsidR="0014257A" w:rsidRPr="0004264F" w:rsidRDefault="0014257A" w:rsidP="00A71FF2">
            <w:pPr>
              <w:widowControl w:val="0"/>
              <w:autoSpaceDE w:val="0"/>
              <w:autoSpaceDN w:val="0"/>
              <w:adjustRightInd w:val="0"/>
              <w:spacing w:after="0"/>
              <w:jc w:val="center"/>
              <w:rPr>
                <w:rFonts w:cstheme="majorBidi"/>
                <w:sz w:val="20"/>
                <w:szCs w:val="20"/>
              </w:rPr>
            </w:pPr>
            <w:r w:rsidRPr="0004264F">
              <w:rPr>
                <w:rFonts w:cstheme="majorBidi"/>
                <w:sz w:val="20"/>
                <w:szCs w:val="20"/>
              </w:rPr>
              <w:t>Max</w:t>
            </w:r>
          </w:p>
        </w:tc>
      </w:tr>
      <w:tr w:rsidR="00BF3125" w:rsidRPr="0004264F" w14:paraId="5CD0D4A3" w14:textId="77777777" w:rsidTr="00D86A9C">
        <w:trPr>
          <w:trHeight w:val="20"/>
          <w:jc w:val="center"/>
        </w:trPr>
        <w:tc>
          <w:tcPr>
            <w:tcW w:w="3108" w:type="dxa"/>
            <w:tcBorders>
              <w:top w:val="nil"/>
              <w:left w:val="nil"/>
              <w:bottom w:val="nil"/>
              <w:right w:val="nil"/>
            </w:tcBorders>
            <w:vAlign w:val="center"/>
          </w:tcPr>
          <w:p w14:paraId="1D0ECE32" w14:textId="2B9347B4"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Death Age (Months)</w:t>
            </w:r>
          </w:p>
        </w:tc>
        <w:tc>
          <w:tcPr>
            <w:tcW w:w="1400" w:type="dxa"/>
            <w:tcBorders>
              <w:top w:val="nil"/>
              <w:left w:val="nil"/>
              <w:bottom w:val="nil"/>
              <w:right w:val="nil"/>
            </w:tcBorders>
          </w:tcPr>
          <w:p w14:paraId="4A4D5690" w14:textId="6726DD7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6193AEF4" w14:textId="590B043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772.66643</w:t>
            </w:r>
          </w:p>
        </w:tc>
        <w:tc>
          <w:tcPr>
            <w:tcW w:w="1400" w:type="dxa"/>
            <w:tcBorders>
              <w:top w:val="nil"/>
              <w:left w:val="nil"/>
              <w:bottom w:val="nil"/>
              <w:right w:val="nil"/>
            </w:tcBorders>
          </w:tcPr>
          <w:p w14:paraId="79ABC38B" w14:textId="16AD474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104.36921</w:t>
            </w:r>
          </w:p>
        </w:tc>
        <w:tc>
          <w:tcPr>
            <w:tcW w:w="1400" w:type="dxa"/>
            <w:tcBorders>
              <w:top w:val="nil"/>
              <w:left w:val="nil"/>
              <w:bottom w:val="nil"/>
              <w:right w:val="nil"/>
            </w:tcBorders>
          </w:tcPr>
          <w:p w14:paraId="4D79A3D5" w14:textId="10939F4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457</w:t>
            </w:r>
          </w:p>
        </w:tc>
        <w:tc>
          <w:tcPr>
            <w:tcW w:w="1400" w:type="dxa"/>
            <w:tcBorders>
              <w:top w:val="nil"/>
              <w:left w:val="nil"/>
              <w:bottom w:val="nil"/>
              <w:right w:val="nil"/>
            </w:tcBorders>
          </w:tcPr>
          <w:p w14:paraId="4E8EF16D" w14:textId="0A52E4C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959</w:t>
            </w:r>
          </w:p>
        </w:tc>
      </w:tr>
      <w:tr w:rsidR="00BF3125" w:rsidRPr="0004264F" w14:paraId="749EBE34" w14:textId="77777777" w:rsidTr="0014257A">
        <w:trPr>
          <w:trHeight w:val="20"/>
          <w:jc w:val="center"/>
        </w:trPr>
        <w:tc>
          <w:tcPr>
            <w:tcW w:w="3108" w:type="dxa"/>
            <w:tcBorders>
              <w:top w:val="nil"/>
              <w:left w:val="nil"/>
              <w:bottom w:val="nil"/>
              <w:right w:val="nil"/>
            </w:tcBorders>
            <w:vAlign w:val="center"/>
          </w:tcPr>
          <w:p w14:paraId="1BE2E643" w14:textId="1157DA33"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Death Age (Years)</w:t>
            </w:r>
          </w:p>
        </w:tc>
        <w:tc>
          <w:tcPr>
            <w:tcW w:w="1400" w:type="dxa"/>
            <w:tcBorders>
              <w:top w:val="nil"/>
              <w:left w:val="nil"/>
              <w:bottom w:val="nil"/>
              <w:right w:val="nil"/>
            </w:tcBorders>
          </w:tcPr>
          <w:p w14:paraId="6AA85674" w14:textId="29205D2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5709903B" w14:textId="59A32C8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63.88002</w:t>
            </w:r>
          </w:p>
        </w:tc>
        <w:tc>
          <w:tcPr>
            <w:tcW w:w="1400" w:type="dxa"/>
            <w:tcBorders>
              <w:top w:val="nil"/>
              <w:left w:val="nil"/>
              <w:bottom w:val="nil"/>
              <w:right w:val="nil"/>
            </w:tcBorders>
          </w:tcPr>
          <w:p w14:paraId="24EF1D73" w14:textId="63EF7B0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8.71601</w:t>
            </w:r>
          </w:p>
        </w:tc>
        <w:tc>
          <w:tcPr>
            <w:tcW w:w="1400" w:type="dxa"/>
            <w:tcBorders>
              <w:top w:val="nil"/>
              <w:left w:val="nil"/>
              <w:bottom w:val="nil"/>
              <w:right w:val="nil"/>
            </w:tcBorders>
          </w:tcPr>
          <w:p w14:paraId="04497B7B" w14:textId="754F826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38</w:t>
            </w:r>
          </w:p>
        </w:tc>
        <w:tc>
          <w:tcPr>
            <w:tcW w:w="1400" w:type="dxa"/>
            <w:tcBorders>
              <w:top w:val="nil"/>
              <w:left w:val="nil"/>
              <w:bottom w:val="nil"/>
              <w:right w:val="nil"/>
            </w:tcBorders>
          </w:tcPr>
          <w:p w14:paraId="1212C1BA" w14:textId="064B62F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79</w:t>
            </w:r>
          </w:p>
        </w:tc>
      </w:tr>
      <w:tr w:rsidR="00BF3125" w:rsidRPr="0004264F" w14:paraId="61DB0C35" w14:textId="77777777" w:rsidTr="0014257A">
        <w:trPr>
          <w:trHeight w:val="20"/>
          <w:jc w:val="center"/>
        </w:trPr>
        <w:tc>
          <w:tcPr>
            <w:tcW w:w="3108" w:type="dxa"/>
            <w:tcBorders>
              <w:top w:val="nil"/>
              <w:left w:val="nil"/>
              <w:bottom w:val="nil"/>
              <w:right w:val="nil"/>
            </w:tcBorders>
            <w:vAlign w:val="center"/>
          </w:tcPr>
          <w:p w14:paraId="0CCAA8A4" w14:textId="4AD0CA7A"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Birth Year</w:t>
            </w:r>
          </w:p>
        </w:tc>
        <w:tc>
          <w:tcPr>
            <w:tcW w:w="1400" w:type="dxa"/>
            <w:tcBorders>
              <w:top w:val="nil"/>
              <w:left w:val="nil"/>
              <w:bottom w:val="nil"/>
              <w:right w:val="nil"/>
            </w:tcBorders>
          </w:tcPr>
          <w:p w14:paraId="2B8F6C4F" w14:textId="15218A8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55B45ABE" w14:textId="42CD531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1930.1929</w:t>
            </w:r>
          </w:p>
        </w:tc>
        <w:tc>
          <w:tcPr>
            <w:tcW w:w="1400" w:type="dxa"/>
            <w:tcBorders>
              <w:top w:val="nil"/>
              <w:left w:val="nil"/>
              <w:bottom w:val="nil"/>
              <w:right w:val="nil"/>
            </w:tcBorders>
          </w:tcPr>
          <w:p w14:paraId="030A2095" w14:textId="59F9433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3.10607</w:t>
            </w:r>
          </w:p>
        </w:tc>
        <w:tc>
          <w:tcPr>
            <w:tcW w:w="1400" w:type="dxa"/>
            <w:tcBorders>
              <w:top w:val="nil"/>
              <w:left w:val="nil"/>
              <w:bottom w:val="nil"/>
              <w:right w:val="nil"/>
            </w:tcBorders>
          </w:tcPr>
          <w:p w14:paraId="36909818" w14:textId="4A95699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1926</w:t>
            </w:r>
          </w:p>
        </w:tc>
        <w:tc>
          <w:tcPr>
            <w:tcW w:w="1400" w:type="dxa"/>
            <w:tcBorders>
              <w:top w:val="nil"/>
              <w:left w:val="nil"/>
              <w:bottom w:val="nil"/>
              <w:right w:val="nil"/>
            </w:tcBorders>
          </w:tcPr>
          <w:p w14:paraId="6427B1C0" w14:textId="61012F1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1936</w:t>
            </w:r>
          </w:p>
        </w:tc>
      </w:tr>
      <w:tr w:rsidR="00BF3125" w:rsidRPr="0004264F" w14:paraId="2BF79CD3" w14:textId="77777777" w:rsidTr="0014257A">
        <w:trPr>
          <w:trHeight w:val="20"/>
          <w:jc w:val="center"/>
        </w:trPr>
        <w:tc>
          <w:tcPr>
            <w:tcW w:w="3108" w:type="dxa"/>
            <w:tcBorders>
              <w:top w:val="nil"/>
              <w:left w:val="nil"/>
              <w:bottom w:val="nil"/>
              <w:right w:val="nil"/>
            </w:tcBorders>
            <w:vAlign w:val="center"/>
          </w:tcPr>
          <w:p w14:paraId="77DE2BB6" w14:textId="5A8877E6"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Death Year</w:t>
            </w:r>
          </w:p>
        </w:tc>
        <w:tc>
          <w:tcPr>
            <w:tcW w:w="1400" w:type="dxa"/>
            <w:tcBorders>
              <w:top w:val="nil"/>
              <w:left w:val="nil"/>
              <w:bottom w:val="nil"/>
              <w:right w:val="nil"/>
            </w:tcBorders>
          </w:tcPr>
          <w:p w14:paraId="43E26639" w14:textId="057909C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213FE180" w14:textId="0F7A0C5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1994.5757</w:t>
            </w:r>
          </w:p>
        </w:tc>
        <w:tc>
          <w:tcPr>
            <w:tcW w:w="1400" w:type="dxa"/>
            <w:tcBorders>
              <w:top w:val="nil"/>
              <w:left w:val="nil"/>
              <w:bottom w:val="nil"/>
              <w:right w:val="nil"/>
            </w:tcBorders>
          </w:tcPr>
          <w:p w14:paraId="2ABAB30F" w14:textId="58390E2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8.31481</w:t>
            </w:r>
          </w:p>
        </w:tc>
        <w:tc>
          <w:tcPr>
            <w:tcW w:w="1400" w:type="dxa"/>
            <w:tcBorders>
              <w:top w:val="nil"/>
              <w:left w:val="nil"/>
              <w:bottom w:val="nil"/>
              <w:right w:val="nil"/>
            </w:tcBorders>
          </w:tcPr>
          <w:p w14:paraId="57740BD5" w14:textId="1FE1854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1975</w:t>
            </w:r>
          </w:p>
        </w:tc>
        <w:tc>
          <w:tcPr>
            <w:tcW w:w="1400" w:type="dxa"/>
            <w:tcBorders>
              <w:top w:val="nil"/>
              <w:left w:val="nil"/>
              <w:bottom w:val="nil"/>
              <w:right w:val="nil"/>
            </w:tcBorders>
          </w:tcPr>
          <w:p w14:paraId="19F6CBDD" w14:textId="29C2BFB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2005</w:t>
            </w:r>
          </w:p>
        </w:tc>
      </w:tr>
      <w:tr w:rsidR="00BF3125" w:rsidRPr="0004264F" w14:paraId="1A8A34B1" w14:textId="77777777" w:rsidTr="0014257A">
        <w:trPr>
          <w:trHeight w:val="20"/>
          <w:jc w:val="center"/>
        </w:trPr>
        <w:tc>
          <w:tcPr>
            <w:tcW w:w="3108" w:type="dxa"/>
            <w:tcBorders>
              <w:top w:val="nil"/>
              <w:left w:val="nil"/>
              <w:bottom w:val="nil"/>
              <w:right w:val="nil"/>
            </w:tcBorders>
            <w:vAlign w:val="center"/>
          </w:tcPr>
          <w:p w14:paraId="527A5C96" w14:textId="768E75A8"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Deposits per Capita (STD)</w:t>
            </w:r>
            <w:r w:rsidRPr="0004264F">
              <w:rPr>
                <w:rFonts w:cstheme="majorBidi"/>
                <w:sz w:val="20"/>
                <w:szCs w:val="20"/>
                <w:vertAlign w:val="superscript"/>
              </w:rPr>
              <w:t>*</w:t>
            </w:r>
          </w:p>
        </w:tc>
        <w:tc>
          <w:tcPr>
            <w:tcW w:w="1400" w:type="dxa"/>
            <w:tcBorders>
              <w:top w:val="nil"/>
              <w:left w:val="nil"/>
              <w:bottom w:val="nil"/>
              <w:right w:val="nil"/>
            </w:tcBorders>
          </w:tcPr>
          <w:p w14:paraId="2C16E7CA" w14:textId="2F41E84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73119B47" w14:textId="0E7813D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057EF253" w14:textId="2F9D7C6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c>
          <w:tcPr>
            <w:tcW w:w="1400" w:type="dxa"/>
            <w:tcBorders>
              <w:top w:val="nil"/>
              <w:left w:val="nil"/>
              <w:bottom w:val="nil"/>
              <w:right w:val="nil"/>
            </w:tcBorders>
          </w:tcPr>
          <w:p w14:paraId="7223139F" w14:textId="47BAC48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-.58422</w:t>
            </w:r>
          </w:p>
        </w:tc>
        <w:tc>
          <w:tcPr>
            <w:tcW w:w="1400" w:type="dxa"/>
            <w:tcBorders>
              <w:top w:val="nil"/>
              <w:left w:val="nil"/>
              <w:bottom w:val="nil"/>
              <w:right w:val="nil"/>
            </w:tcBorders>
          </w:tcPr>
          <w:p w14:paraId="46B4A0D0" w14:textId="6312369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50.79202</w:t>
            </w:r>
          </w:p>
        </w:tc>
      </w:tr>
      <w:tr w:rsidR="00BF3125" w:rsidRPr="0004264F" w14:paraId="30EE8436" w14:textId="77777777" w:rsidTr="0014257A">
        <w:trPr>
          <w:trHeight w:val="20"/>
          <w:jc w:val="center"/>
        </w:trPr>
        <w:tc>
          <w:tcPr>
            <w:tcW w:w="3108" w:type="dxa"/>
            <w:tcBorders>
              <w:top w:val="nil"/>
              <w:left w:val="nil"/>
              <w:bottom w:val="nil"/>
              <w:right w:val="nil"/>
            </w:tcBorders>
            <w:vAlign w:val="center"/>
          </w:tcPr>
          <w:p w14:paraId="3941E914" w14:textId="5B96BE3B"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 xml:space="preserve">Deposits per Capita </w:t>
            </w:r>
          </w:p>
        </w:tc>
        <w:tc>
          <w:tcPr>
            <w:tcW w:w="1400" w:type="dxa"/>
            <w:tcBorders>
              <w:top w:val="nil"/>
              <w:left w:val="nil"/>
              <w:bottom w:val="nil"/>
              <w:right w:val="nil"/>
            </w:tcBorders>
          </w:tcPr>
          <w:p w14:paraId="3E648F73" w14:textId="4CC5775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309768AD" w14:textId="4E7FB2F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330.91799</w:t>
            </w:r>
          </w:p>
        </w:tc>
        <w:tc>
          <w:tcPr>
            <w:tcW w:w="1400" w:type="dxa"/>
            <w:tcBorders>
              <w:top w:val="nil"/>
              <w:left w:val="nil"/>
              <w:bottom w:val="nil"/>
              <w:right w:val="nil"/>
            </w:tcBorders>
          </w:tcPr>
          <w:p w14:paraId="3B978878" w14:textId="1402C68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566.43036</w:t>
            </w:r>
          </w:p>
        </w:tc>
        <w:tc>
          <w:tcPr>
            <w:tcW w:w="1400" w:type="dxa"/>
            <w:tcBorders>
              <w:top w:val="nil"/>
              <w:left w:val="nil"/>
              <w:bottom w:val="nil"/>
              <w:right w:val="nil"/>
            </w:tcBorders>
          </w:tcPr>
          <w:p w14:paraId="3F5B3258" w14:textId="4987772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28A73023" w14:textId="6CF3A10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29101.057</w:t>
            </w:r>
          </w:p>
        </w:tc>
      </w:tr>
      <w:tr w:rsidR="00BF3125" w:rsidRPr="0004264F" w14:paraId="7440BB83" w14:textId="77777777" w:rsidTr="00D86A9C">
        <w:trPr>
          <w:trHeight w:val="20"/>
          <w:jc w:val="center"/>
        </w:trPr>
        <w:tc>
          <w:tcPr>
            <w:tcW w:w="3108" w:type="dxa"/>
            <w:tcBorders>
              <w:top w:val="nil"/>
              <w:left w:val="nil"/>
              <w:bottom w:val="nil"/>
              <w:right w:val="nil"/>
            </w:tcBorders>
            <w:vAlign w:val="center"/>
          </w:tcPr>
          <w:p w14:paraId="125150F6" w14:textId="1519E11E" w:rsidR="00BF3125" w:rsidRPr="0004264F" w:rsidRDefault="00BF3125" w:rsidP="00BF3125">
            <w:pPr>
              <w:widowControl w:val="0"/>
              <w:autoSpaceDE w:val="0"/>
              <w:autoSpaceDN w:val="0"/>
              <w:adjustRightInd w:val="0"/>
              <w:spacing w:after="0"/>
              <w:rPr>
                <w:rFonts w:cstheme="majorBidi"/>
                <w:sz w:val="20"/>
                <w:szCs w:val="20"/>
                <w:vertAlign w:val="superscript"/>
              </w:rPr>
            </w:pPr>
            <w:r w:rsidRPr="0004264F">
              <w:rPr>
                <w:rFonts w:cstheme="majorBidi"/>
                <w:sz w:val="20"/>
                <w:szCs w:val="20"/>
              </w:rPr>
              <w:t>Total Deposits ($1</w:t>
            </w:r>
            <w:proofErr w:type="gramStart"/>
            <w:r w:rsidRPr="0004264F">
              <w:rPr>
                <w:rFonts w:cstheme="majorBidi"/>
                <w:sz w:val="20"/>
                <w:szCs w:val="20"/>
              </w:rPr>
              <w:t>B)</w:t>
            </w:r>
            <w:r w:rsidRPr="0004264F">
              <w:rPr>
                <w:rFonts w:cstheme="majorBidi"/>
                <w:sz w:val="20"/>
                <w:szCs w:val="20"/>
                <w:vertAlign w:val="superscript"/>
              </w:rPr>
              <w:t>*</w:t>
            </w:r>
            <w:proofErr w:type="gramEnd"/>
            <w:r w:rsidRPr="0004264F">
              <w:rPr>
                <w:rFonts w:cstheme="majorBidi"/>
                <w:sz w:val="20"/>
                <w:szCs w:val="20"/>
                <w:vertAlign w:val="superscript"/>
              </w:rPr>
              <w:t>*</w:t>
            </w:r>
          </w:p>
        </w:tc>
        <w:tc>
          <w:tcPr>
            <w:tcW w:w="1400" w:type="dxa"/>
            <w:tcBorders>
              <w:top w:val="nil"/>
              <w:left w:val="nil"/>
              <w:bottom w:val="nil"/>
              <w:right w:val="nil"/>
            </w:tcBorders>
          </w:tcPr>
          <w:p w14:paraId="7925C81F" w14:textId="5976A0A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73E05455" w14:textId="36FD14C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.30424</w:t>
            </w:r>
          </w:p>
        </w:tc>
        <w:tc>
          <w:tcPr>
            <w:tcW w:w="1400" w:type="dxa"/>
            <w:tcBorders>
              <w:top w:val="nil"/>
              <w:left w:val="nil"/>
              <w:bottom w:val="nil"/>
              <w:right w:val="nil"/>
            </w:tcBorders>
          </w:tcPr>
          <w:p w14:paraId="00103CF7" w14:textId="261323C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1.08423</w:t>
            </w:r>
          </w:p>
        </w:tc>
        <w:tc>
          <w:tcPr>
            <w:tcW w:w="1400" w:type="dxa"/>
            <w:tcBorders>
              <w:top w:val="nil"/>
              <w:left w:val="nil"/>
              <w:bottom w:val="nil"/>
              <w:right w:val="nil"/>
            </w:tcBorders>
          </w:tcPr>
          <w:p w14:paraId="09FF7B6B" w14:textId="474FA0E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292E6761" w14:textId="54DD303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12.59437</w:t>
            </w:r>
          </w:p>
        </w:tc>
      </w:tr>
      <w:tr w:rsidR="003F2BFE" w:rsidRPr="0004264F" w14:paraId="0CB27175" w14:textId="77777777" w:rsidTr="00D86A9C">
        <w:trPr>
          <w:trHeight w:val="20"/>
          <w:jc w:val="center"/>
        </w:trPr>
        <w:tc>
          <w:tcPr>
            <w:tcW w:w="3108" w:type="dxa"/>
            <w:tcBorders>
              <w:top w:val="nil"/>
              <w:left w:val="nil"/>
              <w:bottom w:val="nil"/>
              <w:right w:val="nil"/>
            </w:tcBorders>
            <w:vAlign w:val="center"/>
          </w:tcPr>
          <w:p w14:paraId="72667EF5" w14:textId="2C367890" w:rsidR="003F2BFE" w:rsidRPr="0004264F" w:rsidRDefault="003F2BFE" w:rsidP="003F2BFE">
            <w:pPr>
              <w:widowControl w:val="0"/>
              <w:autoSpaceDE w:val="0"/>
              <w:autoSpaceDN w:val="0"/>
              <w:adjustRightInd w:val="0"/>
              <w:spacing w:after="0"/>
              <w:rPr>
                <w:rFonts w:cstheme="majorBidi"/>
                <w:sz w:val="20"/>
                <w:szCs w:val="20"/>
                <w:vertAlign w:val="superscript"/>
              </w:rPr>
            </w:pPr>
            <w:r w:rsidRPr="0004264F">
              <w:rPr>
                <w:rFonts w:cstheme="majorBidi"/>
                <w:sz w:val="20"/>
                <w:szCs w:val="20"/>
              </w:rPr>
              <w:t xml:space="preserve">Drop in Deposits&gt;5% &amp; </w:t>
            </w:r>
            <m:oMath>
              <m:r>
                <w:rPr>
                  <w:rFonts w:ascii="Cambria Math" w:hAnsi="Cambria Math" w:cstheme="majorBidi"/>
                  <w:sz w:val="20"/>
                  <w:szCs w:val="20"/>
                </w:rPr>
                <m:t>≤</m:t>
              </m:r>
            </m:oMath>
            <w:r w:rsidRPr="0004264F">
              <w:rPr>
                <w:rFonts w:cstheme="majorBidi"/>
                <w:sz w:val="20"/>
                <w:szCs w:val="20"/>
              </w:rPr>
              <w:t>10%</w:t>
            </w:r>
            <w:r w:rsidRPr="0004264F">
              <w:rPr>
                <w:rFonts w:cstheme="majorBidi"/>
                <w:sz w:val="20"/>
                <w:szCs w:val="20"/>
                <w:vertAlign w:val="superscript"/>
              </w:rPr>
              <w:t>***</w:t>
            </w:r>
          </w:p>
        </w:tc>
        <w:tc>
          <w:tcPr>
            <w:tcW w:w="1400" w:type="dxa"/>
            <w:tcBorders>
              <w:top w:val="nil"/>
              <w:left w:val="nil"/>
              <w:bottom w:val="nil"/>
              <w:right w:val="nil"/>
            </w:tcBorders>
          </w:tcPr>
          <w:p w14:paraId="48D6714F" w14:textId="449057F8" w:rsidR="003F2BFE" w:rsidRPr="0004264F" w:rsidRDefault="003F2BFE" w:rsidP="003F2BFE">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5A43893A" w14:textId="708BADB1" w:rsidR="003F2BFE" w:rsidRPr="0004264F" w:rsidRDefault="003F2BFE" w:rsidP="003F2BFE">
            <w:pPr>
              <w:widowControl w:val="0"/>
              <w:autoSpaceDE w:val="0"/>
              <w:autoSpaceDN w:val="0"/>
              <w:adjustRightInd w:val="0"/>
              <w:spacing w:after="0"/>
              <w:jc w:val="center"/>
              <w:rPr>
                <w:rFonts w:cstheme="majorBidi"/>
                <w:sz w:val="20"/>
                <w:szCs w:val="20"/>
              </w:rPr>
            </w:pPr>
            <w:r w:rsidRPr="0004264F">
              <w:rPr>
                <w:rFonts w:cstheme="majorBidi"/>
                <w:sz w:val="20"/>
                <w:szCs w:val="20"/>
              </w:rPr>
              <w:t>.10077</w:t>
            </w:r>
          </w:p>
        </w:tc>
        <w:tc>
          <w:tcPr>
            <w:tcW w:w="1400" w:type="dxa"/>
            <w:tcBorders>
              <w:top w:val="nil"/>
              <w:left w:val="nil"/>
              <w:bottom w:val="nil"/>
              <w:right w:val="nil"/>
            </w:tcBorders>
          </w:tcPr>
          <w:p w14:paraId="6BF46111" w14:textId="39934F05" w:rsidR="003F2BFE" w:rsidRPr="0004264F" w:rsidRDefault="003F2BFE" w:rsidP="003F2BFE">
            <w:pPr>
              <w:widowControl w:val="0"/>
              <w:autoSpaceDE w:val="0"/>
              <w:autoSpaceDN w:val="0"/>
              <w:adjustRightInd w:val="0"/>
              <w:spacing w:after="0"/>
              <w:jc w:val="center"/>
              <w:rPr>
                <w:rFonts w:cstheme="majorBidi"/>
                <w:sz w:val="20"/>
                <w:szCs w:val="20"/>
              </w:rPr>
            </w:pPr>
            <w:r w:rsidRPr="0004264F">
              <w:rPr>
                <w:rFonts w:cstheme="majorBidi"/>
                <w:sz w:val="20"/>
                <w:szCs w:val="20"/>
              </w:rPr>
              <w:t>.30102</w:t>
            </w:r>
          </w:p>
        </w:tc>
        <w:tc>
          <w:tcPr>
            <w:tcW w:w="1400" w:type="dxa"/>
            <w:tcBorders>
              <w:top w:val="nil"/>
              <w:left w:val="nil"/>
              <w:bottom w:val="nil"/>
              <w:right w:val="nil"/>
            </w:tcBorders>
          </w:tcPr>
          <w:p w14:paraId="193CB1B4" w14:textId="634B460F" w:rsidR="003F2BFE" w:rsidRPr="0004264F" w:rsidRDefault="003F2BFE" w:rsidP="003F2BFE">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487A08DA" w14:textId="59CBA615" w:rsidR="003F2BFE" w:rsidRPr="0004264F" w:rsidRDefault="003F2BFE" w:rsidP="003F2BFE">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39A210D0" w14:textId="77777777" w:rsidTr="00D86A9C">
        <w:trPr>
          <w:trHeight w:val="20"/>
          <w:jc w:val="center"/>
        </w:trPr>
        <w:tc>
          <w:tcPr>
            <w:tcW w:w="3108" w:type="dxa"/>
            <w:tcBorders>
              <w:top w:val="nil"/>
              <w:left w:val="nil"/>
              <w:bottom w:val="nil"/>
              <w:right w:val="nil"/>
            </w:tcBorders>
            <w:vAlign w:val="center"/>
          </w:tcPr>
          <w:p w14:paraId="34B75C50" w14:textId="1B150BC0"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Drop in Deposits&gt;10%</w:t>
            </w:r>
          </w:p>
        </w:tc>
        <w:tc>
          <w:tcPr>
            <w:tcW w:w="1400" w:type="dxa"/>
            <w:tcBorders>
              <w:top w:val="nil"/>
              <w:left w:val="nil"/>
              <w:bottom w:val="nil"/>
              <w:right w:val="nil"/>
            </w:tcBorders>
          </w:tcPr>
          <w:p w14:paraId="6B8425A4" w14:textId="74AF5E6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07D9E0BE" w14:textId="06C5690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.23087</w:t>
            </w:r>
          </w:p>
        </w:tc>
        <w:tc>
          <w:tcPr>
            <w:tcW w:w="1400" w:type="dxa"/>
            <w:tcBorders>
              <w:top w:val="nil"/>
              <w:left w:val="nil"/>
              <w:bottom w:val="nil"/>
              <w:right w:val="nil"/>
            </w:tcBorders>
          </w:tcPr>
          <w:p w14:paraId="4C8F94E4" w14:textId="5E5B736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.42139</w:t>
            </w:r>
          </w:p>
        </w:tc>
        <w:tc>
          <w:tcPr>
            <w:tcW w:w="1400" w:type="dxa"/>
            <w:tcBorders>
              <w:top w:val="nil"/>
              <w:left w:val="nil"/>
              <w:bottom w:val="nil"/>
              <w:right w:val="nil"/>
            </w:tcBorders>
          </w:tcPr>
          <w:p w14:paraId="3B4FCDB0" w14:textId="75664CC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7F92B120" w14:textId="709BF70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1E25D886" w14:textId="77777777" w:rsidTr="00D86A9C">
        <w:trPr>
          <w:trHeight w:val="20"/>
          <w:jc w:val="center"/>
        </w:trPr>
        <w:tc>
          <w:tcPr>
            <w:tcW w:w="3108" w:type="dxa"/>
            <w:tcBorders>
              <w:top w:val="nil"/>
              <w:left w:val="nil"/>
              <w:bottom w:val="nil"/>
              <w:right w:val="nil"/>
            </w:tcBorders>
            <w:vAlign w:val="center"/>
          </w:tcPr>
          <w:p w14:paraId="10CF3563" w14:textId="60756150"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White</w:t>
            </w:r>
          </w:p>
        </w:tc>
        <w:tc>
          <w:tcPr>
            <w:tcW w:w="1400" w:type="dxa"/>
            <w:tcBorders>
              <w:top w:val="nil"/>
              <w:left w:val="nil"/>
              <w:bottom w:val="nil"/>
              <w:right w:val="nil"/>
            </w:tcBorders>
          </w:tcPr>
          <w:p w14:paraId="75E25168" w14:textId="2A61DE0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451A8222" w14:textId="078F9BD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.91466</w:t>
            </w:r>
          </w:p>
        </w:tc>
        <w:tc>
          <w:tcPr>
            <w:tcW w:w="1400" w:type="dxa"/>
            <w:tcBorders>
              <w:top w:val="nil"/>
              <w:left w:val="nil"/>
              <w:bottom w:val="nil"/>
              <w:right w:val="nil"/>
            </w:tcBorders>
          </w:tcPr>
          <w:p w14:paraId="24FF2932" w14:textId="2B5982A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.27939</w:t>
            </w:r>
          </w:p>
        </w:tc>
        <w:tc>
          <w:tcPr>
            <w:tcW w:w="1400" w:type="dxa"/>
            <w:tcBorders>
              <w:top w:val="nil"/>
              <w:left w:val="nil"/>
              <w:bottom w:val="nil"/>
              <w:right w:val="nil"/>
            </w:tcBorders>
          </w:tcPr>
          <w:p w14:paraId="6BDC2AA5" w14:textId="23F5554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785CE0B8" w14:textId="15D6134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2A7572C5" w14:textId="77777777" w:rsidTr="00D86A9C">
        <w:trPr>
          <w:trHeight w:val="20"/>
          <w:jc w:val="center"/>
        </w:trPr>
        <w:tc>
          <w:tcPr>
            <w:tcW w:w="3108" w:type="dxa"/>
            <w:tcBorders>
              <w:top w:val="nil"/>
              <w:left w:val="nil"/>
              <w:bottom w:val="nil"/>
              <w:right w:val="nil"/>
            </w:tcBorders>
            <w:vAlign w:val="center"/>
          </w:tcPr>
          <w:p w14:paraId="2CF052E4" w14:textId="138BC647"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Black</w:t>
            </w:r>
          </w:p>
        </w:tc>
        <w:tc>
          <w:tcPr>
            <w:tcW w:w="1400" w:type="dxa"/>
            <w:tcBorders>
              <w:top w:val="nil"/>
              <w:left w:val="nil"/>
              <w:bottom w:val="nil"/>
              <w:right w:val="nil"/>
            </w:tcBorders>
          </w:tcPr>
          <w:p w14:paraId="42405C9D" w14:textId="50AEA6B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546FDCF2" w14:textId="573EBA7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.08022</w:t>
            </w:r>
          </w:p>
        </w:tc>
        <w:tc>
          <w:tcPr>
            <w:tcW w:w="1400" w:type="dxa"/>
            <w:tcBorders>
              <w:top w:val="nil"/>
              <w:left w:val="nil"/>
              <w:bottom w:val="nil"/>
              <w:right w:val="nil"/>
            </w:tcBorders>
          </w:tcPr>
          <w:p w14:paraId="627C0F12" w14:textId="1C83FDA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.27164</w:t>
            </w:r>
          </w:p>
        </w:tc>
        <w:tc>
          <w:tcPr>
            <w:tcW w:w="1400" w:type="dxa"/>
            <w:tcBorders>
              <w:top w:val="nil"/>
              <w:left w:val="nil"/>
              <w:bottom w:val="nil"/>
              <w:right w:val="nil"/>
            </w:tcBorders>
          </w:tcPr>
          <w:p w14:paraId="4C5B199A" w14:textId="0EA6159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5DF210A5" w14:textId="1497A86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263C04F4" w14:textId="77777777" w:rsidTr="0014257A">
        <w:trPr>
          <w:trHeight w:val="20"/>
          <w:jc w:val="center"/>
        </w:trPr>
        <w:tc>
          <w:tcPr>
            <w:tcW w:w="3108" w:type="dxa"/>
            <w:tcBorders>
              <w:top w:val="nil"/>
              <w:left w:val="nil"/>
              <w:right w:val="nil"/>
            </w:tcBorders>
          </w:tcPr>
          <w:p w14:paraId="76C0A776" w14:textId="354D8F99"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Father SEI 1</w:t>
            </w:r>
            <w:r w:rsidRPr="0004264F">
              <w:rPr>
                <w:rFonts w:cstheme="majorBidi"/>
                <w:sz w:val="20"/>
                <w:szCs w:val="20"/>
                <w:vertAlign w:val="superscript"/>
              </w:rPr>
              <w:t>st</w:t>
            </w:r>
            <w:r w:rsidRPr="0004264F">
              <w:rPr>
                <w:rFonts w:cstheme="majorBidi"/>
                <w:sz w:val="20"/>
                <w:szCs w:val="20"/>
              </w:rPr>
              <w:t xml:space="preserve"> Quartile</w:t>
            </w:r>
          </w:p>
        </w:tc>
        <w:tc>
          <w:tcPr>
            <w:tcW w:w="1400" w:type="dxa"/>
            <w:tcBorders>
              <w:top w:val="nil"/>
              <w:left w:val="nil"/>
              <w:right w:val="nil"/>
            </w:tcBorders>
          </w:tcPr>
          <w:p w14:paraId="0856335B" w14:textId="19249A7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right w:val="nil"/>
            </w:tcBorders>
          </w:tcPr>
          <w:p w14:paraId="11E31723" w14:textId="2C46844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.23911</w:t>
            </w:r>
          </w:p>
        </w:tc>
        <w:tc>
          <w:tcPr>
            <w:tcW w:w="1400" w:type="dxa"/>
            <w:tcBorders>
              <w:top w:val="nil"/>
              <w:left w:val="nil"/>
              <w:right w:val="nil"/>
            </w:tcBorders>
          </w:tcPr>
          <w:p w14:paraId="4FFB5EA6" w14:textId="284E32E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.42654</w:t>
            </w:r>
          </w:p>
        </w:tc>
        <w:tc>
          <w:tcPr>
            <w:tcW w:w="1400" w:type="dxa"/>
            <w:tcBorders>
              <w:top w:val="nil"/>
              <w:left w:val="nil"/>
              <w:right w:val="nil"/>
            </w:tcBorders>
          </w:tcPr>
          <w:p w14:paraId="796AE456" w14:textId="5B0277F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right w:val="nil"/>
            </w:tcBorders>
          </w:tcPr>
          <w:p w14:paraId="14C6B5E0" w14:textId="08C2231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54EED336" w14:textId="77777777" w:rsidTr="0014257A">
        <w:trPr>
          <w:trHeight w:val="20"/>
          <w:jc w:val="center"/>
        </w:trPr>
        <w:tc>
          <w:tcPr>
            <w:tcW w:w="3108" w:type="dxa"/>
            <w:tcBorders>
              <w:top w:val="nil"/>
              <w:left w:val="nil"/>
              <w:bottom w:val="nil"/>
              <w:right w:val="nil"/>
            </w:tcBorders>
          </w:tcPr>
          <w:p w14:paraId="6796CF6B" w14:textId="680D3A14"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Father SEI 2</w:t>
            </w:r>
            <w:r w:rsidRPr="0004264F">
              <w:rPr>
                <w:rFonts w:cstheme="majorBidi"/>
                <w:sz w:val="20"/>
                <w:szCs w:val="20"/>
                <w:vertAlign w:val="superscript"/>
              </w:rPr>
              <w:t>nd</w:t>
            </w:r>
            <w:r w:rsidRPr="0004264F">
              <w:rPr>
                <w:rFonts w:cstheme="majorBidi"/>
                <w:sz w:val="20"/>
                <w:szCs w:val="20"/>
              </w:rPr>
              <w:t xml:space="preserve"> Quartile</w:t>
            </w:r>
          </w:p>
        </w:tc>
        <w:tc>
          <w:tcPr>
            <w:tcW w:w="1400" w:type="dxa"/>
            <w:tcBorders>
              <w:top w:val="nil"/>
              <w:left w:val="nil"/>
              <w:bottom w:val="nil"/>
              <w:right w:val="nil"/>
            </w:tcBorders>
          </w:tcPr>
          <w:p w14:paraId="17F40C25" w14:textId="1AC8FEB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5D05E66C" w14:textId="2BDFEE9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.22718</w:t>
            </w:r>
          </w:p>
        </w:tc>
        <w:tc>
          <w:tcPr>
            <w:tcW w:w="1400" w:type="dxa"/>
            <w:tcBorders>
              <w:top w:val="nil"/>
              <w:left w:val="nil"/>
              <w:bottom w:val="nil"/>
              <w:right w:val="nil"/>
            </w:tcBorders>
          </w:tcPr>
          <w:p w14:paraId="4665B33F" w14:textId="48D127B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.41901</w:t>
            </w:r>
          </w:p>
        </w:tc>
        <w:tc>
          <w:tcPr>
            <w:tcW w:w="1400" w:type="dxa"/>
            <w:tcBorders>
              <w:top w:val="nil"/>
              <w:left w:val="nil"/>
              <w:bottom w:val="nil"/>
              <w:right w:val="nil"/>
            </w:tcBorders>
          </w:tcPr>
          <w:p w14:paraId="469A54F3" w14:textId="1AEC8F6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29B9B8AF" w14:textId="00468E6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64E51302" w14:textId="77777777" w:rsidTr="0014257A">
        <w:trPr>
          <w:trHeight w:val="20"/>
          <w:jc w:val="center"/>
        </w:trPr>
        <w:tc>
          <w:tcPr>
            <w:tcW w:w="3108" w:type="dxa"/>
            <w:tcBorders>
              <w:top w:val="nil"/>
              <w:left w:val="nil"/>
              <w:bottom w:val="nil"/>
              <w:right w:val="nil"/>
            </w:tcBorders>
          </w:tcPr>
          <w:p w14:paraId="7871DB13" w14:textId="70D6E50E"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Father SEI 3</w:t>
            </w:r>
            <w:r w:rsidRPr="0004264F">
              <w:rPr>
                <w:rFonts w:cstheme="majorBidi"/>
                <w:sz w:val="20"/>
                <w:szCs w:val="20"/>
                <w:vertAlign w:val="superscript"/>
              </w:rPr>
              <w:t>rd</w:t>
            </w:r>
            <w:r w:rsidRPr="0004264F">
              <w:rPr>
                <w:rFonts w:cstheme="majorBidi"/>
                <w:sz w:val="20"/>
                <w:szCs w:val="20"/>
              </w:rPr>
              <w:t xml:space="preserve"> Quartile</w:t>
            </w:r>
          </w:p>
        </w:tc>
        <w:tc>
          <w:tcPr>
            <w:tcW w:w="1400" w:type="dxa"/>
            <w:tcBorders>
              <w:top w:val="nil"/>
              <w:left w:val="nil"/>
              <w:bottom w:val="nil"/>
              <w:right w:val="nil"/>
            </w:tcBorders>
          </w:tcPr>
          <w:p w14:paraId="15C2F7F1" w14:textId="2DD0F3E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42EE4E54" w14:textId="4429EED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.22679</w:t>
            </w:r>
          </w:p>
        </w:tc>
        <w:tc>
          <w:tcPr>
            <w:tcW w:w="1400" w:type="dxa"/>
            <w:tcBorders>
              <w:top w:val="nil"/>
              <w:left w:val="nil"/>
              <w:bottom w:val="nil"/>
              <w:right w:val="nil"/>
            </w:tcBorders>
          </w:tcPr>
          <w:p w14:paraId="4B3FD20B" w14:textId="17BD658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.41876</w:t>
            </w:r>
          </w:p>
        </w:tc>
        <w:tc>
          <w:tcPr>
            <w:tcW w:w="1400" w:type="dxa"/>
            <w:tcBorders>
              <w:top w:val="nil"/>
              <w:left w:val="nil"/>
              <w:bottom w:val="nil"/>
              <w:right w:val="nil"/>
            </w:tcBorders>
          </w:tcPr>
          <w:p w14:paraId="6A69CE8E" w14:textId="57EC022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78260043" w14:textId="141C129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3121D146" w14:textId="77777777" w:rsidTr="0014257A">
        <w:trPr>
          <w:trHeight w:val="20"/>
          <w:jc w:val="center"/>
        </w:trPr>
        <w:tc>
          <w:tcPr>
            <w:tcW w:w="3108" w:type="dxa"/>
            <w:tcBorders>
              <w:top w:val="nil"/>
              <w:left w:val="nil"/>
              <w:bottom w:val="nil"/>
              <w:right w:val="nil"/>
            </w:tcBorders>
          </w:tcPr>
          <w:p w14:paraId="4317198E" w14:textId="26F322F0"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Father SEI 4</w:t>
            </w:r>
            <w:r w:rsidRPr="0004264F">
              <w:rPr>
                <w:rFonts w:cstheme="majorBidi"/>
                <w:sz w:val="20"/>
                <w:szCs w:val="20"/>
                <w:vertAlign w:val="superscript"/>
              </w:rPr>
              <w:t>th</w:t>
            </w:r>
            <w:r w:rsidRPr="0004264F">
              <w:rPr>
                <w:rFonts w:cstheme="majorBidi"/>
                <w:sz w:val="20"/>
                <w:szCs w:val="20"/>
              </w:rPr>
              <w:t xml:space="preserve"> Quartile</w:t>
            </w:r>
          </w:p>
        </w:tc>
        <w:tc>
          <w:tcPr>
            <w:tcW w:w="1400" w:type="dxa"/>
            <w:tcBorders>
              <w:top w:val="nil"/>
              <w:left w:val="nil"/>
              <w:bottom w:val="nil"/>
              <w:right w:val="nil"/>
            </w:tcBorders>
          </w:tcPr>
          <w:p w14:paraId="0C9A5F0F" w14:textId="14015AE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683C30A7" w14:textId="1309576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.20241</w:t>
            </w:r>
          </w:p>
        </w:tc>
        <w:tc>
          <w:tcPr>
            <w:tcW w:w="1400" w:type="dxa"/>
            <w:tcBorders>
              <w:top w:val="nil"/>
              <w:left w:val="nil"/>
              <w:bottom w:val="nil"/>
              <w:right w:val="nil"/>
            </w:tcBorders>
          </w:tcPr>
          <w:p w14:paraId="68236F3A" w14:textId="686A5A6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.40179</w:t>
            </w:r>
          </w:p>
        </w:tc>
        <w:tc>
          <w:tcPr>
            <w:tcW w:w="1400" w:type="dxa"/>
            <w:tcBorders>
              <w:top w:val="nil"/>
              <w:left w:val="nil"/>
              <w:bottom w:val="nil"/>
              <w:right w:val="nil"/>
            </w:tcBorders>
          </w:tcPr>
          <w:p w14:paraId="326EE7E0" w14:textId="531A779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63C2541D" w14:textId="396B67E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36454F12" w14:textId="77777777" w:rsidTr="0014257A">
        <w:trPr>
          <w:trHeight w:val="20"/>
          <w:jc w:val="center"/>
        </w:trPr>
        <w:tc>
          <w:tcPr>
            <w:tcW w:w="3108" w:type="dxa"/>
            <w:tcBorders>
              <w:top w:val="nil"/>
              <w:left w:val="nil"/>
              <w:bottom w:val="nil"/>
              <w:right w:val="nil"/>
            </w:tcBorders>
          </w:tcPr>
          <w:p w14:paraId="7966441E" w14:textId="10916564"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Father SEI Missing</w:t>
            </w:r>
          </w:p>
        </w:tc>
        <w:tc>
          <w:tcPr>
            <w:tcW w:w="1400" w:type="dxa"/>
            <w:tcBorders>
              <w:top w:val="nil"/>
              <w:left w:val="nil"/>
              <w:bottom w:val="nil"/>
              <w:right w:val="nil"/>
            </w:tcBorders>
          </w:tcPr>
          <w:p w14:paraId="685A3A51" w14:textId="687CCBC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63501CFF" w14:textId="16A33FA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.04182</w:t>
            </w:r>
          </w:p>
        </w:tc>
        <w:tc>
          <w:tcPr>
            <w:tcW w:w="1400" w:type="dxa"/>
            <w:tcBorders>
              <w:top w:val="nil"/>
              <w:left w:val="nil"/>
              <w:bottom w:val="nil"/>
              <w:right w:val="nil"/>
            </w:tcBorders>
          </w:tcPr>
          <w:p w14:paraId="13754445" w14:textId="0FCCDA4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.20017</w:t>
            </w:r>
          </w:p>
        </w:tc>
        <w:tc>
          <w:tcPr>
            <w:tcW w:w="1400" w:type="dxa"/>
            <w:tcBorders>
              <w:top w:val="nil"/>
              <w:left w:val="nil"/>
              <w:bottom w:val="nil"/>
              <w:right w:val="nil"/>
            </w:tcBorders>
          </w:tcPr>
          <w:p w14:paraId="14C8D88C" w14:textId="40DDD67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78281F4A" w14:textId="197A625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6897A773" w14:textId="77777777" w:rsidTr="0014257A">
        <w:trPr>
          <w:trHeight w:val="20"/>
          <w:jc w:val="center"/>
        </w:trPr>
        <w:tc>
          <w:tcPr>
            <w:tcW w:w="3108" w:type="dxa"/>
            <w:tcBorders>
              <w:top w:val="nil"/>
              <w:left w:val="nil"/>
              <w:bottom w:val="nil"/>
              <w:right w:val="nil"/>
            </w:tcBorders>
          </w:tcPr>
          <w:p w14:paraId="1BF742AD" w14:textId="77D3ED3F"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Mother Education &lt;HS</w:t>
            </w:r>
          </w:p>
        </w:tc>
        <w:tc>
          <w:tcPr>
            <w:tcW w:w="1400" w:type="dxa"/>
            <w:tcBorders>
              <w:top w:val="nil"/>
              <w:left w:val="nil"/>
              <w:bottom w:val="nil"/>
              <w:right w:val="nil"/>
            </w:tcBorders>
          </w:tcPr>
          <w:p w14:paraId="7C6D9DD6" w14:textId="071A55E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77C5B837" w14:textId="185F4E2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.60398</w:t>
            </w:r>
          </w:p>
        </w:tc>
        <w:tc>
          <w:tcPr>
            <w:tcW w:w="1400" w:type="dxa"/>
            <w:tcBorders>
              <w:top w:val="nil"/>
              <w:left w:val="nil"/>
              <w:bottom w:val="nil"/>
              <w:right w:val="nil"/>
            </w:tcBorders>
          </w:tcPr>
          <w:p w14:paraId="77392038" w14:textId="1B45D49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.48907</w:t>
            </w:r>
          </w:p>
        </w:tc>
        <w:tc>
          <w:tcPr>
            <w:tcW w:w="1400" w:type="dxa"/>
            <w:tcBorders>
              <w:top w:val="nil"/>
              <w:left w:val="nil"/>
              <w:bottom w:val="nil"/>
              <w:right w:val="nil"/>
            </w:tcBorders>
          </w:tcPr>
          <w:p w14:paraId="6596097D" w14:textId="60FA1F1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47F6F812" w14:textId="76888F7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00E8AC21" w14:textId="77777777" w:rsidTr="0014257A">
        <w:trPr>
          <w:trHeight w:val="20"/>
          <w:jc w:val="center"/>
        </w:trPr>
        <w:tc>
          <w:tcPr>
            <w:tcW w:w="3108" w:type="dxa"/>
            <w:tcBorders>
              <w:top w:val="nil"/>
              <w:left w:val="nil"/>
              <w:bottom w:val="nil"/>
              <w:right w:val="nil"/>
            </w:tcBorders>
          </w:tcPr>
          <w:p w14:paraId="1CFFC99C" w14:textId="631FC435"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Mother Education =HS</w:t>
            </w:r>
          </w:p>
        </w:tc>
        <w:tc>
          <w:tcPr>
            <w:tcW w:w="1400" w:type="dxa"/>
            <w:tcBorders>
              <w:top w:val="nil"/>
              <w:left w:val="nil"/>
              <w:bottom w:val="nil"/>
              <w:right w:val="nil"/>
            </w:tcBorders>
          </w:tcPr>
          <w:p w14:paraId="69D3ACE8" w14:textId="6FF4088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1BE62F8E" w14:textId="7FF8875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.27552</w:t>
            </w:r>
          </w:p>
        </w:tc>
        <w:tc>
          <w:tcPr>
            <w:tcW w:w="1400" w:type="dxa"/>
            <w:tcBorders>
              <w:top w:val="nil"/>
              <w:left w:val="nil"/>
              <w:bottom w:val="nil"/>
              <w:right w:val="nil"/>
            </w:tcBorders>
          </w:tcPr>
          <w:p w14:paraId="68BB11CE" w14:textId="7C6D4CD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.44678</w:t>
            </w:r>
          </w:p>
        </w:tc>
        <w:tc>
          <w:tcPr>
            <w:tcW w:w="1400" w:type="dxa"/>
            <w:tcBorders>
              <w:top w:val="nil"/>
              <w:left w:val="nil"/>
              <w:bottom w:val="nil"/>
              <w:right w:val="nil"/>
            </w:tcBorders>
          </w:tcPr>
          <w:p w14:paraId="6BA70704" w14:textId="082A3A3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01C515F9" w14:textId="5707FC9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290AB8E1" w14:textId="77777777" w:rsidTr="0014257A">
        <w:trPr>
          <w:trHeight w:val="20"/>
          <w:jc w:val="center"/>
        </w:trPr>
        <w:tc>
          <w:tcPr>
            <w:tcW w:w="3108" w:type="dxa"/>
            <w:tcBorders>
              <w:top w:val="nil"/>
              <w:left w:val="nil"/>
              <w:bottom w:val="nil"/>
              <w:right w:val="nil"/>
            </w:tcBorders>
          </w:tcPr>
          <w:p w14:paraId="79202A14" w14:textId="2BF69C0A"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Mother Education &gt;HS</w:t>
            </w:r>
          </w:p>
        </w:tc>
        <w:tc>
          <w:tcPr>
            <w:tcW w:w="1400" w:type="dxa"/>
            <w:tcBorders>
              <w:top w:val="nil"/>
              <w:left w:val="nil"/>
              <w:bottom w:val="nil"/>
              <w:right w:val="nil"/>
            </w:tcBorders>
          </w:tcPr>
          <w:p w14:paraId="3E9E01D2" w14:textId="6870FD1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61FB4C06" w14:textId="51A996C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.04961</w:t>
            </w:r>
          </w:p>
        </w:tc>
        <w:tc>
          <w:tcPr>
            <w:tcW w:w="1400" w:type="dxa"/>
            <w:tcBorders>
              <w:top w:val="nil"/>
              <w:left w:val="nil"/>
              <w:bottom w:val="nil"/>
              <w:right w:val="nil"/>
            </w:tcBorders>
          </w:tcPr>
          <w:p w14:paraId="00A07EA4" w14:textId="720AE23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.21714</w:t>
            </w:r>
          </w:p>
        </w:tc>
        <w:tc>
          <w:tcPr>
            <w:tcW w:w="1400" w:type="dxa"/>
            <w:tcBorders>
              <w:top w:val="nil"/>
              <w:left w:val="nil"/>
              <w:bottom w:val="nil"/>
              <w:right w:val="nil"/>
            </w:tcBorders>
          </w:tcPr>
          <w:p w14:paraId="282701BE" w14:textId="2695CE4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7B7A9749" w14:textId="5C17090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6FD497EB" w14:textId="77777777" w:rsidTr="0014257A">
        <w:trPr>
          <w:trHeight w:val="20"/>
          <w:jc w:val="center"/>
        </w:trPr>
        <w:tc>
          <w:tcPr>
            <w:tcW w:w="3108" w:type="dxa"/>
            <w:tcBorders>
              <w:top w:val="nil"/>
              <w:left w:val="nil"/>
              <w:bottom w:val="nil"/>
              <w:right w:val="nil"/>
            </w:tcBorders>
          </w:tcPr>
          <w:p w14:paraId="1B635A72" w14:textId="2168B90C"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Mother Education Missing</w:t>
            </w:r>
          </w:p>
        </w:tc>
        <w:tc>
          <w:tcPr>
            <w:tcW w:w="1400" w:type="dxa"/>
            <w:tcBorders>
              <w:top w:val="nil"/>
              <w:left w:val="nil"/>
              <w:bottom w:val="nil"/>
              <w:right w:val="nil"/>
            </w:tcBorders>
          </w:tcPr>
          <w:p w14:paraId="1E9C113B" w14:textId="7AC1405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4D917E90" w14:textId="62CDD5F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.07089</w:t>
            </w:r>
          </w:p>
        </w:tc>
        <w:tc>
          <w:tcPr>
            <w:tcW w:w="1400" w:type="dxa"/>
            <w:tcBorders>
              <w:top w:val="nil"/>
              <w:left w:val="nil"/>
              <w:bottom w:val="nil"/>
              <w:right w:val="nil"/>
            </w:tcBorders>
          </w:tcPr>
          <w:p w14:paraId="61B12829" w14:textId="0D9663E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.25664</w:t>
            </w:r>
          </w:p>
        </w:tc>
        <w:tc>
          <w:tcPr>
            <w:tcW w:w="1400" w:type="dxa"/>
            <w:tcBorders>
              <w:top w:val="nil"/>
              <w:left w:val="nil"/>
              <w:bottom w:val="nil"/>
              <w:right w:val="nil"/>
            </w:tcBorders>
          </w:tcPr>
          <w:p w14:paraId="645EA288" w14:textId="5D82B84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1D8E1BFE" w14:textId="7AE5750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3FCCDEE5" w14:textId="77777777" w:rsidTr="0014257A">
        <w:trPr>
          <w:trHeight w:val="20"/>
          <w:jc w:val="center"/>
        </w:trPr>
        <w:tc>
          <w:tcPr>
            <w:tcW w:w="3108" w:type="dxa"/>
            <w:tcBorders>
              <w:top w:val="nil"/>
              <w:left w:val="nil"/>
              <w:bottom w:val="nil"/>
              <w:right w:val="nil"/>
            </w:tcBorders>
          </w:tcPr>
          <w:p w14:paraId="49D4F880" w14:textId="12C5C8D5"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Work-Related per Capita Relief Spending</w:t>
            </w:r>
          </w:p>
        </w:tc>
        <w:tc>
          <w:tcPr>
            <w:tcW w:w="1400" w:type="dxa"/>
            <w:tcBorders>
              <w:top w:val="nil"/>
              <w:left w:val="nil"/>
              <w:bottom w:val="nil"/>
              <w:right w:val="nil"/>
            </w:tcBorders>
          </w:tcPr>
          <w:p w14:paraId="175297C3" w14:textId="4FC8896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0A4E1028" w14:textId="5B4D17C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5.00054</w:t>
            </w:r>
          </w:p>
        </w:tc>
        <w:tc>
          <w:tcPr>
            <w:tcW w:w="1400" w:type="dxa"/>
            <w:tcBorders>
              <w:top w:val="nil"/>
              <w:left w:val="nil"/>
              <w:bottom w:val="nil"/>
              <w:right w:val="nil"/>
            </w:tcBorders>
          </w:tcPr>
          <w:p w14:paraId="6FCE9736" w14:textId="3797015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9.49932</w:t>
            </w:r>
          </w:p>
        </w:tc>
        <w:tc>
          <w:tcPr>
            <w:tcW w:w="1400" w:type="dxa"/>
            <w:tcBorders>
              <w:top w:val="nil"/>
              <w:left w:val="nil"/>
              <w:bottom w:val="nil"/>
              <w:right w:val="nil"/>
            </w:tcBorders>
          </w:tcPr>
          <w:p w14:paraId="638BD3CC" w14:textId="371A653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06492995" w14:textId="0AA9617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376.46896</w:t>
            </w:r>
          </w:p>
        </w:tc>
      </w:tr>
      <w:tr w:rsidR="00BF3125" w:rsidRPr="0004264F" w14:paraId="4A0C2102" w14:textId="77777777" w:rsidTr="0014257A">
        <w:trPr>
          <w:trHeight w:val="20"/>
          <w:jc w:val="center"/>
        </w:trPr>
        <w:tc>
          <w:tcPr>
            <w:tcW w:w="3108" w:type="dxa"/>
            <w:tcBorders>
              <w:top w:val="nil"/>
              <w:left w:val="nil"/>
              <w:bottom w:val="nil"/>
              <w:right w:val="nil"/>
            </w:tcBorders>
          </w:tcPr>
          <w:p w14:paraId="318FBFA6" w14:textId="245764C6"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Average Homeownership</w:t>
            </w:r>
          </w:p>
        </w:tc>
        <w:tc>
          <w:tcPr>
            <w:tcW w:w="1400" w:type="dxa"/>
            <w:tcBorders>
              <w:top w:val="nil"/>
              <w:left w:val="nil"/>
              <w:bottom w:val="nil"/>
              <w:right w:val="nil"/>
            </w:tcBorders>
          </w:tcPr>
          <w:p w14:paraId="29274CA1" w14:textId="1F0E044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72B80F94" w14:textId="77C7DC8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.50192</w:t>
            </w:r>
          </w:p>
        </w:tc>
        <w:tc>
          <w:tcPr>
            <w:tcW w:w="1400" w:type="dxa"/>
            <w:tcBorders>
              <w:top w:val="nil"/>
              <w:left w:val="nil"/>
              <w:bottom w:val="nil"/>
              <w:right w:val="nil"/>
            </w:tcBorders>
          </w:tcPr>
          <w:p w14:paraId="1A3A9D86" w14:textId="4964301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.13717</w:t>
            </w:r>
          </w:p>
        </w:tc>
        <w:tc>
          <w:tcPr>
            <w:tcW w:w="1400" w:type="dxa"/>
            <w:tcBorders>
              <w:top w:val="nil"/>
              <w:left w:val="nil"/>
              <w:bottom w:val="nil"/>
              <w:right w:val="nil"/>
            </w:tcBorders>
          </w:tcPr>
          <w:p w14:paraId="55B9E1CA" w14:textId="23959E6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.02538</w:t>
            </w:r>
          </w:p>
        </w:tc>
        <w:tc>
          <w:tcPr>
            <w:tcW w:w="1400" w:type="dxa"/>
            <w:tcBorders>
              <w:top w:val="nil"/>
              <w:left w:val="nil"/>
              <w:bottom w:val="nil"/>
              <w:right w:val="nil"/>
            </w:tcBorders>
          </w:tcPr>
          <w:p w14:paraId="5717E07E" w14:textId="3DE98F4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.90763</w:t>
            </w:r>
          </w:p>
        </w:tc>
      </w:tr>
      <w:tr w:rsidR="00BF3125" w:rsidRPr="0004264F" w14:paraId="4FD855B3" w14:textId="77777777" w:rsidTr="0014257A">
        <w:trPr>
          <w:trHeight w:val="20"/>
          <w:jc w:val="center"/>
        </w:trPr>
        <w:tc>
          <w:tcPr>
            <w:tcW w:w="3108" w:type="dxa"/>
            <w:tcBorders>
              <w:top w:val="nil"/>
              <w:left w:val="nil"/>
              <w:bottom w:val="nil"/>
              <w:right w:val="nil"/>
            </w:tcBorders>
          </w:tcPr>
          <w:p w14:paraId="4E5B1E65" w14:textId="496F36F0"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Share of Literate</w:t>
            </w:r>
          </w:p>
        </w:tc>
        <w:tc>
          <w:tcPr>
            <w:tcW w:w="1400" w:type="dxa"/>
            <w:tcBorders>
              <w:top w:val="nil"/>
              <w:left w:val="nil"/>
              <w:bottom w:val="nil"/>
              <w:right w:val="nil"/>
            </w:tcBorders>
          </w:tcPr>
          <w:p w14:paraId="773418E1" w14:textId="442B99A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18A9EC46" w14:textId="57B247E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.81183</w:t>
            </w:r>
          </w:p>
        </w:tc>
        <w:tc>
          <w:tcPr>
            <w:tcW w:w="1400" w:type="dxa"/>
            <w:tcBorders>
              <w:top w:val="nil"/>
              <w:left w:val="nil"/>
              <w:bottom w:val="nil"/>
              <w:right w:val="nil"/>
            </w:tcBorders>
          </w:tcPr>
          <w:p w14:paraId="49D9FC44" w14:textId="6D7C3CA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.1943</w:t>
            </w:r>
          </w:p>
        </w:tc>
        <w:tc>
          <w:tcPr>
            <w:tcW w:w="1400" w:type="dxa"/>
            <w:tcBorders>
              <w:top w:val="nil"/>
              <w:left w:val="nil"/>
              <w:bottom w:val="nil"/>
              <w:right w:val="nil"/>
            </w:tcBorders>
          </w:tcPr>
          <w:p w14:paraId="4AAF9771" w14:textId="522FE28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Borders>
              <w:top w:val="nil"/>
              <w:left w:val="nil"/>
              <w:bottom w:val="nil"/>
              <w:right w:val="nil"/>
            </w:tcBorders>
          </w:tcPr>
          <w:p w14:paraId="4D51A29E" w14:textId="12124BA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29D8AD01" w14:textId="77777777" w:rsidTr="0014257A">
        <w:trPr>
          <w:trHeight w:val="20"/>
          <w:jc w:val="center"/>
        </w:trPr>
        <w:tc>
          <w:tcPr>
            <w:tcW w:w="3108" w:type="dxa"/>
            <w:tcBorders>
              <w:top w:val="nil"/>
              <w:left w:val="nil"/>
              <w:bottom w:val="nil"/>
              <w:right w:val="nil"/>
            </w:tcBorders>
          </w:tcPr>
          <w:p w14:paraId="3BBFBC9D" w14:textId="76974DAD"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Average Occupational Income Score</w:t>
            </w:r>
          </w:p>
        </w:tc>
        <w:tc>
          <w:tcPr>
            <w:tcW w:w="1400" w:type="dxa"/>
            <w:tcBorders>
              <w:top w:val="nil"/>
              <w:left w:val="nil"/>
              <w:bottom w:val="nil"/>
              <w:right w:val="nil"/>
            </w:tcBorders>
          </w:tcPr>
          <w:p w14:paraId="6081FBD4" w14:textId="62ED341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bottom w:val="nil"/>
              <w:right w:val="nil"/>
            </w:tcBorders>
          </w:tcPr>
          <w:p w14:paraId="45B39978" w14:textId="40F50C5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23.73044</w:t>
            </w:r>
          </w:p>
        </w:tc>
        <w:tc>
          <w:tcPr>
            <w:tcW w:w="1400" w:type="dxa"/>
            <w:tcBorders>
              <w:top w:val="nil"/>
              <w:left w:val="nil"/>
              <w:bottom w:val="nil"/>
              <w:right w:val="nil"/>
            </w:tcBorders>
          </w:tcPr>
          <w:p w14:paraId="1613608C" w14:textId="13E703E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4.10521</w:t>
            </w:r>
          </w:p>
        </w:tc>
        <w:tc>
          <w:tcPr>
            <w:tcW w:w="1400" w:type="dxa"/>
            <w:tcBorders>
              <w:top w:val="nil"/>
              <w:left w:val="nil"/>
              <w:bottom w:val="nil"/>
              <w:right w:val="nil"/>
            </w:tcBorders>
          </w:tcPr>
          <w:p w14:paraId="006B8712" w14:textId="208C90E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11.78472</w:t>
            </w:r>
          </w:p>
        </w:tc>
        <w:tc>
          <w:tcPr>
            <w:tcW w:w="1400" w:type="dxa"/>
            <w:tcBorders>
              <w:top w:val="nil"/>
              <w:left w:val="nil"/>
              <w:bottom w:val="nil"/>
              <w:right w:val="nil"/>
            </w:tcBorders>
          </w:tcPr>
          <w:p w14:paraId="38297776" w14:textId="4B9FB04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29.7175</w:t>
            </w:r>
          </w:p>
        </w:tc>
      </w:tr>
      <w:tr w:rsidR="00BF3125" w:rsidRPr="0004264F" w14:paraId="722BC557" w14:textId="77777777" w:rsidTr="0014257A">
        <w:trPr>
          <w:trHeight w:val="20"/>
          <w:jc w:val="center"/>
        </w:trPr>
        <w:tc>
          <w:tcPr>
            <w:tcW w:w="3108" w:type="dxa"/>
            <w:tcBorders>
              <w:top w:val="nil"/>
              <w:left w:val="nil"/>
              <w:right w:val="nil"/>
            </w:tcBorders>
          </w:tcPr>
          <w:p w14:paraId="14A6A409" w14:textId="0B4A29D5"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Share of Married Females</w:t>
            </w:r>
          </w:p>
        </w:tc>
        <w:tc>
          <w:tcPr>
            <w:tcW w:w="1400" w:type="dxa"/>
            <w:tcBorders>
              <w:top w:val="nil"/>
              <w:left w:val="nil"/>
              <w:right w:val="nil"/>
            </w:tcBorders>
          </w:tcPr>
          <w:p w14:paraId="1FCBC757" w14:textId="483B77A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400" w:type="dxa"/>
            <w:tcBorders>
              <w:top w:val="nil"/>
              <w:left w:val="nil"/>
              <w:right w:val="nil"/>
            </w:tcBorders>
          </w:tcPr>
          <w:p w14:paraId="57EFA457" w14:textId="2C69266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.60946</w:t>
            </w:r>
          </w:p>
        </w:tc>
        <w:tc>
          <w:tcPr>
            <w:tcW w:w="1400" w:type="dxa"/>
            <w:tcBorders>
              <w:top w:val="nil"/>
              <w:left w:val="nil"/>
              <w:right w:val="nil"/>
            </w:tcBorders>
          </w:tcPr>
          <w:p w14:paraId="1F808ADA" w14:textId="58F3A2E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.03199</w:t>
            </w:r>
          </w:p>
        </w:tc>
        <w:tc>
          <w:tcPr>
            <w:tcW w:w="1400" w:type="dxa"/>
            <w:tcBorders>
              <w:top w:val="nil"/>
              <w:left w:val="nil"/>
              <w:right w:val="nil"/>
            </w:tcBorders>
          </w:tcPr>
          <w:p w14:paraId="215BA098" w14:textId="15BE1F9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.28999</w:t>
            </w:r>
          </w:p>
        </w:tc>
        <w:tc>
          <w:tcPr>
            <w:tcW w:w="1400" w:type="dxa"/>
            <w:tcBorders>
              <w:top w:val="nil"/>
              <w:left w:val="nil"/>
              <w:right w:val="nil"/>
            </w:tcBorders>
          </w:tcPr>
          <w:p w14:paraId="532CA110" w14:textId="39CE8DE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.73985</w:t>
            </w:r>
          </w:p>
        </w:tc>
      </w:tr>
      <w:tr w:rsidR="00BF3125" w:rsidRPr="0004264F" w14:paraId="00EBE682" w14:textId="77777777" w:rsidTr="0014257A">
        <w:trPr>
          <w:trHeight w:val="20"/>
          <w:jc w:val="center"/>
        </w:trPr>
        <w:tc>
          <w:tcPr>
            <w:tcW w:w="3108" w:type="dxa"/>
          </w:tcPr>
          <w:p w14:paraId="3A2DC747" w14:textId="787F6A83" w:rsidR="00BF3125" w:rsidRPr="0004264F" w:rsidRDefault="00BF3125" w:rsidP="00BF3125">
            <w:pPr>
              <w:widowControl w:val="0"/>
              <w:autoSpaceDE w:val="0"/>
              <w:autoSpaceDN w:val="0"/>
              <w:adjustRightInd w:val="0"/>
              <w:spacing w:after="0"/>
              <w:rPr>
                <w:rFonts w:cstheme="majorBidi"/>
                <w:b/>
                <w:bCs/>
                <w:i/>
                <w:iCs/>
                <w:sz w:val="20"/>
                <w:szCs w:val="20"/>
              </w:rPr>
            </w:pPr>
            <w:r w:rsidRPr="0004264F">
              <w:rPr>
                <w:rFonts w:cstheme="majorBidi"/>
                <w:b/>
                <w:bCs/>
                <w:i/>
                <w:iCs/>
                <w:sz w:val="20"/>
                <w:szCs w:val="20"/>
              </w:rPr>
              <w:t>County-Level Data:</w:t>
            </w:r>
          </w:p>
        </w:tc>
        <w:tc>
          <w:tcPr>
            <w:tcW w:w="1400" w:type="dxa"/>
          </w:tcPr>
          <w:p w14:paraId="7C7C91AF"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0942B6E1" w14:textId="0073FB4E"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5F6E7F2C"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2D11A5FC"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191976B6" w14:textId="77777777" w:rsidR="00BF3125" w:rsidRPr="0004264F" w:rsidRDefault="00BF3125" w:rsidP="00BF3125">
            <w:pPr>
              <w:widowControl w:val="0"/>
              <w:autoSpaceDE w:val="0"/>
              <w:autoSpaceDN w:val="0"/>
              <w:adjustRightInd w:val="0"/>
              <w:spacing w:after="0"/>
              <w:jc w:val="center"/>
              <w:rPr>
                <w:rFonts w:cstheme="majorBidi"/>
                <w:sz w:val="20"/>
                <w:szCs w:val="20"/>
              </w:rPr>
            </w:pPr>
          </w:p>
        </w:tc>
      </w:tr>
      <w:tr w:rsidR="00BF3125" w:rsidRPr="0004264F" w14:paraId="2D083421" w14:textId="77777777" w:rsidTr="0014257A">
        <w:trPr>
          <w:trHeight w:val="20"/>
          <w:jc w:val="center"/>
        </w:trPr>
        <w:tc>
          <w:tcPr>
            <w:tcW w:w="3108" w:type="dxa"/>
          </w:tcPr>
          <w:p w14:paraId="74F6BA27" w14:textId="629E9A68"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Retail Sale per Capita</w:t>
            </w:r>
          </w:p>
        </w:tc>
        <w:tc>
          <w:tcPr>
            <w:tcW w:w="1400" w:type="dxa"/>
          </w:tcPr>
          <w:p w14:paraId="2F173971" w14:textId="442639D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20258</w:t>
            </w:r>
          </w:p>
        </w:tc>
        <w:tc>
          <w:tcPr>
            <w:tcW w:w="1400" w:type="dxa"/>
          </w:tcPr>
          <w:p w14:paraId="38505B76" w14:textId="0986016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174.9985</w:t>
            </w:r>
          </w:p>
        </w:tc>
        <w:tc>
          <w:tcPr>
            <w:tcW w:w="1400" w:type="dxa"/>
          </w:tcPr>
          <w:p w14:paraId="7DD19574" w14:textId="74F01EB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98.5671</w:t>
            </w:r>
          </w:p>
        </w:tc>
        <w:tc>
          <w:tcPr>
            <w:tcW w:w="1400" w:type="dxa"/>
          </w:tcPr>
          <w:p w14:paraId="6C5F904E" w14:textId="3AD70D9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292FE245" w14:textId="67318C8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782.43945</w:t>
            </w:r>
          </w:p>
        </w:tc>
      </w:tr>
      <w:tr w:rsidR="00BF3125" w:rsidRPr="0004264F" w14:paraId="225C6381" w14:textId="77777777" w:rsidTr="0014257A">
        <w:trPr>
          <w:trHeight w:val="20"/>
          <w:jc w:val="center"/>
        </w:trPr>
        <w:tc>
          <w:tcPr>
            <w:tcW w:w="3108" w:type="dxa"/>
          </w:tcPr>
          <w:p w14:paraId="2A608F77" w14:textId="3630A4F4" w:rsidR="00BF3125" w:rsidRPr="0004264F" w:rsidRDefault="00BF3125" w:rsidP="00BF3125">
            <w:pPr>
              <w:widowControl w:val="0"/>
              <w:autoSpaceDE w:val="0"/>
              <w:autoSpaceDN w:val="0"/>
              <w:adjustRightInd w:val="0"/>
              <w:spacing w:after="0"/>
              <w:rPr>
                <w:rFonts w:cstheme="majorBidi"/>
                <w:b/>
                <w:bCs/>
                <w:i/>
                <w:iCs/>
                <w:sz w:val="20"/>
                <w:szCs w:val="20"/>
              </w:rPr>
            </w:pPr>
            <w:r w:rsidRPr="0004264F">
              <w:rPr>
                <w:rFonts w:cstheme="majorBidi"/>
                <w:b/>
                <w:bCs/>
                <w:i/>
                <w:iCs/>
                <w:sz w:val="20"/>
                <w:szCs w:val="20"/>
              </w:rPr>
              <w:t>State-Level Data:</w:t>
            </w:r>
          </w:p>
        </w:tc>
        <w:tc>
          <w:tcPr>
            <w:tcW w:w="1400" w:type="dxa"/>
          </w:tcPr>
          <w:p w14:paraId="5E81826F"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556CA24B" w14:textId="73174366"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439AFDD3"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2C0854AE"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56A5668F" w14:textId="77777777" w:rsidR="00BF3125" w:rsidRPr="0004264F" w:rsidRDefault="00BF3125" w:rsidP="00BF3125">
            <w:pPr>
              <w:widowControl w:val="0"/>
              <w:autoSpaceDE w:val="0"/>
              <w:autoSpaceDN w:val="0"/>
              <w:adjustRightInd w:val="0"/>
              <w:spacing w:after="0"/>
              <w:jc w:val="center"/>
              <w:rPr>
                <w:rFonts w:cstheme="majorBidi"/>
                <w:sz w:val="20"/>
                <w:szCs w:val="20"/>
              </w:rPr>
            </w:pPr>
          </w:p>
        </w:tc>
      </w:tr>
      <w:tr w:rsidR="00BF3125" w:rsidRPr="0004264F" w14:paraId="1252E53E" w14:textId="77777777" w:rsidTr="0014257A">
        <w:trPr>
          <w:trHeight w:val="20"/>
          <w:jc w:val="center"/>
        </w:trPr>
        <w:tc>
          <w:tcPr>
            <w:tcW w:w="3108" w:type="dxa"/>
            <w:vAlign w:val="center"/>
          </w:tcPr>
          <w:p w14:paraId="4D620063" w14:textId="27749B66"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Income per Capita</w:t>
            </w:r>
          </w:p>
        </w:tc>
        <w:tc>
          <w:tcPr>
            <w:tcW w:w="1400" w:type="dxa"/>
          </w:tcPr>
          <w:p w14:paraId="26B45A15" w14:textId="72EA2BF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376</w:t>
            </w:r>
          </w:p>
        </w:tc>
        <w:tc>
          <w:tcPr>
            <w:tcW w:w="1400" w:type="dxa"/>
          </w:tcPr>
          <w:p w14:paraId="43B5BC78" w14:textId="1CA51FF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445.60084</w:t>
            </w:r>
          </w:p>
        </w:tc>
        <w:tc>
          <w:tcPr>
            <w:tcW w:w="1400" w:type="dxa"/>
          </w:tcPr>
          <w:p w14:paraId="2E0C0DA7" w14:textId="05C7DEA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195.13996</w:t>
            </w:r>
          </w:p>
        </w:tc>
        <w:tc>
          <w:tcPr>
            <w:tcW w:w="1400" w:type="dxa"/>
          </w:tcPr>
          <w:p w14:paraId="1F749324" w14:textId="5FB4C48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122.98853</w:t>
            </w:r>
          </w:p>
        </w:tc>
        <w:tc>
          <w:tcPr>
            <w:tcW w:w="1400" w:type="dxa"/>
          </w:tcPr>
          <w:p w14:paraId="563D8CE4" w14:textId="34E3E9B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1151.4171</w:t>
            </w:r>
          </w:p>
        </w:tc>
      </w:tr>
      <w:tr w:rsidR="00BF3125" w:rsidRPr="0004264F" w14:paraId="78C45785" w14:textId="77777777" w:rsidTr="0014257A">
        <w:trPr>
          <w:trHeight w:val="20"/>
          <w:jc w:val="center"/>
        </w:trPr>
        <w:tc>
          <w:tcPr>
            <w:tcW w:w="3108" w:type="dxa"/>
            <w:vAlign w:val="center"/>
          </w:tcPr>
          <w:p w14:paraId="5C53D05B" w14:textId="6D0AA9C7" w:rsidR="00BF3125" w:rsidRPr="0004264F" w:rsidRDefault="00BF3125" w:rsidP="00BF3125">
            <w:pPr>
              <w:widowControl w:val="0"/>
              <w:autoSpaceDE w:val="0"/>
              <w:autoSpaceDN w:val="0"/>
              <w:adjustRightInd w:val="0"/>
              <w:spacing w:after="0"/>
              <w:rPr>
                <w:rFonts w:cstheme="majorBidi"/>
                <w:b/>
                <w:bCs/>
                <w:i/>
                <w:iCs/>
                <w:sz w:val="20"/>
                <w:szCs w:val="20"/>
              </w:rPr>
            </w:pPr>
            <w:r w:rsidRPr="0004264F">
              <w:rPr>
                <w:rFonts w:cstheme="majorBidi"/>
                <w:b/>
                <w:bCs/>
                <w:i/>
                <w:iCs/>
                <w:sz w:val="20"/>
                <w:szCs w:val="20"/>
              </w:rPr>
              <w:t>The 1960-Census Data:</w:t>
            </w:r>
          </w:p>
        </w:tc>
        <w:tc>
          <w:tcPr>
            <w:tcW w:w="1400" w:type="dxa"/>
          </w:tcPr>
          <w:p w14:paraId="166D11D9"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71525CB0"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7FBAC83D"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3BA0D98D" w14:textId="77777777" w:rsidR="00BF3125" w:rsidRPr="0004264F" w:rsidRDefault="00BF3125" w:rsidP="00BF3125">
            <w:pPr>
              <w:widowControl w:val="0"/>
              <w:autoSpaceDE w:val="0"/>
              <w:autoSpaceDN w:val="0"/>
              <w:adjustRightInd w:val="0"/>
              <w:spacing w:after="0"/>
              <w:jc w:val="center"/>
              <w:rPr>
                <w:rFonts w:cstheme="majorBidi"/>
                <w:sz w:val="20"/>
                <w:szCs w:val="20"/>
              </w:rPr>
            </w:pPr>
          </w:p>
        </w:tc>
        <w:tc>
          <w:tcPr>
            <w:tcW w:w="1400" w:type="dxa"/>
          </w:tcPr>
          <w:p w14:paraId="24C6C6C6" w14:textId="77777777" w:rsidR="00BF3125" w:rsidRPr="0004264F" w:rsidRDefault="00BF3125" w:rsidP="00BF3125">
            <w:pPr>
              <w:widowControl w:val="0"/>
              <w:autoSpaceDE w:val="0"/>
              <w:autoSpaceDN w:val="0"/>
              <w:adjustRightInd w:val="0"/>
              <w:spacing w:after="0"/>
              <w:jc w:val="center"/>
              <w:rPr>
                <w:rFonts w:cstheme="majorBidi"/>
                <w:sz w:val="20"/>
                <w:szCs w:val="20"/>
              </w:rPr>
            </w:pPr>
          </w:p>
        </w:tc>
      </w:tr>
      <w:tr w:rsidR="00BF3125" w:rsidRPr="0004264F" w14:paraId="2ACD77EF" w14:textId="77777777" w:rsidTr="00D86A9C">
        <w:trPr>
          <w:trHeight w:val="20"/>
          <w:jc w:val="center"/>
        </w:trPr>
        <w:tc>
          <w:tcPr>
            <w:tcW w:w="3108" w:type="dxa"/>
          </w:tcPr>
          <w:p w14:paraId="7DDE7C5A" w14:textId="0E251BDE"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Years of Schooling</w:t>
            </w:r>
          </w:p>
        </w:tc>
        <w:tc>
          <w:tcPr>
            <w:tcW w:w="1400" w:type="dxa"/>
          </w:tcPr>
          <w:p w14:paraId="5B5571F8" w14:textId="268A3C0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780218DF" w14:textId="202D4F2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7.89761</w:t>
            </w:r>
          </w:p>
        </w:tc>
        <w:tc>
          <w:tcPr>
            <w:tcW w:w="1400" w:type="dxa"/>
          </w:tcPr>
          <w:p w14:paraId="038124CB" w14:textId="0543568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2.93819</w:t>
            </w:r>
          </w:p>
        </w:tc>
        <w:tc>
          <w:tcPr>
            <w:tcW w:w="1400" w:type="dxa"/>
          </w:tcPr>
          <w:p w14:paraId="0C6D23F1" w14:textId="035A4E9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52087DC3" w14:textId="3A857B0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15</w:t>
            </w:r>
          </w:p>
        </w:tc>
      </w:tr>
      <w:tr w:rsidR="00BF3125" w:rsidRPr="0004264F" w14:paraId="51E63E99" w14:textId="77777777" w:rsidTr="00D86A9C">
        <w:trPr>
          <w:trHeight w:val="20"/>
          <w:jc w:val="center"/>
        </w:trPr>
        <w:tc>
          <w:tcPr>
            <w:tcW w:w="3108" w:type="dxa"/>
          </w:tcPr>
          <w:p w14:paraId="277EDA5A" w14:textId="1F92F4DD"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Educ&gt;1 Year of College</w:t>
            </w:r>
          </w:p>
        </w:tc>
        <w:tc>
          <w:tcPr>
            <w:tcW w:w="1400" w:type="dxa"/>
          </w:tcPr>
          <w:p w14:paraId="488B6FF5" w14:textId="2DCE822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2852EBDD" w14:textId="6664099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.17413</w:t>
            </w:r>
          </w:p>
        </w:tc>
        <w:tc>
          <w:tcPr>
            <w:tcW w:w="1400" w:type="dxa"/>
          </w:tcPr>
          <w:p w14:paraId="102F394E" w14:textId="26D1475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.37923</w:t>
            </w:r>
          </w:p>
        </w:tc>
        <w:tc>
          <w:tcPr>
            <w:tcW w:w="1400" w:type="dxa"/>
          </w:tcPr>
          <w:p w14:paraId="7EB62BC4" w14:textId="45A9B74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2DB9F484" w14:textId="1AE827BC"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52B32B99" w14:textId="77777777" w:rsidTr="00D86A9C">
        <w:trPr>
          <w:trHeight w:val="20"/>
          <w:jc w:val="center"/>
        </w:trPr>
        <w:tc>
          <w:tcPr>
            <w:tcW w:w="3108" w:type="dxa"/>
          </w:tcPr>
          <w:p w14:paraId="63FCB370" w14:textId="510AE082"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Educ&gt;2 Year of College</w:t>
            </w:r>
          </w:p>
        </w:tc>
        <w:tc>
          <w:tcPr>
            <w:tcW w:w="1400" w:type="dxa"/>
          </w:tcPr>
          <w:p w14:paraId="707CC480" w14:textId="5749191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7D8B4327" w14:textId="2A5426E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.13247</w:t>
            </w:r>
          </w:p>
        </w:tc>
        <w:tc>
          <w:tcPr>
            <w:tcW w:w="1400" w:type="dxa"/>
          </w:tcPr>
          <w:p w14:paraId="629C3BA8" w14:textId="7965317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.339</w:t>
            </w:r>
          </w:p>
        </w:tc>
        <w:tc>
          <w:tcPr>
            <w:tcW w:w="1400" w:type="dxa"/>
          </w:tcPr>
          <w:p w14:paraId="1EA98C0D" w14:textId="3A26F83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696E9767" w14:textId="040C73E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59D2B748" w14:textId="77777777" w:rsidTr="00D86A9C">
        <w:trPr>
          <w:trHeight w:val="20"/>
          <w:jc w:val="center"/>
        </w:trPr>
        <w:tc>
          <w:tcPr>
            <w:tcW w:w="3108" w:type="dxa"/>
          </w:tcPr>
          <w:p w14:paraId="3E9C7CFA" w14:textId="0E303E01"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Educ&gt;3 Year of College</w:t>
            </w:r>
          </w:p>
        </w:tc>
        <w:tc>
          <w:tcPr>
            <w:tcW w:w="1400" w:type="dxa"/>
          </w:tcPr>
          <w:p w14:paraId="147347FB" w14:textId="6CC7214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259D34C3" w14:textId="2E55BCF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.0963</w:t>
            </w:r>
          </w:p>
        </w:tc>
        <w:tc>
          <w:tcPr>
            <w:tcW w:w="1400" w:type="dxa"/>
          </w:tcPr>
          <w:p w14:paraId="1AFDE8BF" w14:textId="2A3F7E3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.295</w:t>
            </w:r>
          </w:p>
        </w:tc>
        <w:tc>
          <w:tcPr>
            <w:tcW w:w="1400" w:type="dxa"/>
          </w:tcPr>
          <w:p w14:paraId="19D69AF1" w14:textId="60DAC59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5902C1D4" w14:textId="43DA62F5"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5DF5F70F" w14:textId="77777777" w:rsidTr="00D86A9C">
        <w:trPr>
          <w:trHeight w:val="20"/>
          <w:jc w:val="center"/>
        </w:trPr>
        <w:tc>
          <w:tcPr>
            <w:tcW w:w="3108" w:type="dxa"/>
          </w:tcPr>
          <w:p w14:paraId="03CE3A20" w14:textId="58FFA06F"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Educ&gt;4 Year of College</w:t>
            </w:r>
          </w:p>
        </w:tc>
        <w:tc>
          <w:tcPr>
            <w:tcW w:w="1400" w:type="dxa"/>
          </w:tcPr>
          <w:p w14:paraId="19987F7F" w14:textId="2C13209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0A5FE283" w14:textId="74D5A3D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.07397</w:t>
            </w:r>
          </w:p>
        </w:tc>
        <w:tc>
          <w:tcPr>
            <w:tcW w:w="1400" w:type="dxa"/>
          </w:tcPr>
          <w:p w14:paraId="1B8177FC" w14:textId="42FBFD72"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.26172</w:t>
            </w:r>
          </w:p>
        </w:tc>
        <w:tc>
          <w:tcPr>
            <w:tcW w:w="1400" w:type="dxa"/>
          </w:tcPr>
          <w:p w14:paraId="50E4C175" w14:textId="5836E60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72DE8735" w14:textId="4D23EF7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r>
      <w:tr w:rsidR="00BF3125" w:rsidRPr="0004264F" w14:paraId="4E321BD8" w14:textId="77777777" w:rsidTr="00D86A9C">
        <w:trPr>
          <w:trHeight w:val="20"/>
          <w:jc w:val="center"/>
        </w:trPr>
        <w:tc>
          <w:tcPr>
            <w:tcW w:w="3108" w:type="dxa"/>
          </w:tcPr>
          <w:p w14:paraId="4013EF90" w14:textId="787CDCAF"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Wage and Salary Income</w:t>
            </w:r>
          </w:p>
        </w:tc>
        <w:tc>
          <w:tcPr>
            <w:tcW w:w="1400" w:type="dxa"/>
          </w:tcPr>
          <w:p w14:paraId="57DA3D7B" w14:textId="76A770CA"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6A756D2D" w14:textId="109EE22F"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1622.6333</w:t>
            </w:r>
          </w:p>
        </w:tc>
        <w:tc>
          <w:tcPr>
            <w:tcW w:w="1400" w:type="dxa"/>
          </w:tcPr>
          <w:p w14:paraId="35EA3ADA" w14:textId="3A57CEA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1873.754</w:t>
            </w:r>
          </w:p>
        </w:tc>
        <w:tc>
          <w:tcPr>
            <w:tcW w:w="1400" w:type="dxa"/>
          </w:tcPr>
          <w:p w14:paraId="75E09F6C" w14:textId="559FFBF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0</w:t>
            </w:r>
          </w:p>
        </w:tc>
        <w:tc>
          <w:tcPr>
            <w:tcW w:w="1400" w:type="dxa"/>
          </w:tcPr>
          <w:p w14:paraId="4550F775" w14:textId="7592130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19866.486</w:t>
            </w:r>
          </w:p>
        </w:tc>
      </w:tr>
      <w:tr w:rsidR="00BF3125" w:rsidRPr="0004264F" w14:paraId="78F6743D" w14:textId="77777777" w:rsidTr="00D86A9C">
        <w:trPr>
          <w:trHeight w:val="20"/>
          <w:jc w:val="center"/>
        </w:trPr>
        <w:tc>
          <w:tcPr>
            <w:tcW w:w="3108" w:type="dxa"/>
          </w:tcPr>
          <w:p w14:paraId="28821289" w14:textId="4F864EC4"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Total Income</w:t>
            </w:r>
          </w:p>
        </w:tc>
        <w:tc>
          <w:tcPr>
            <w:tcW w:w="1400" w:type="dxa"/>
          </w:tcPr>
          <w:p w14:paraId="210DC7B8" w14:textId="7FF0439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403493</w:t>
            </w:r>
          </w:p>
        </w:tc>
        <w:tc>
          <w:tcPr>
            <w:tcW w:w="1400" w:type="dxa"/>
          </w:tcPr>
          <w:p w14:paraId="28B3AF4B" w14:textId="3F5DC81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1879.7341</w:t>
            </w:r>
          </w:p>
        </w:tc>
        <w:tc>
          <w:tcPr>
            <w:tcW w:w="1400" w:type="dxa"/>
          </w:tcPr>
          <w:p w14:paraId="105894BC" w14:textId="0BD27BF8"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2068.2311</w:t>
            </w:r>
          </w:p>
        </w:tc>
        <w:tc>
          <w:tcPr>
            <w:tcW w:w="1400" w:type="dxa"/>
          </w:tcPr>
          <w:p w14:paraId="314EA486" w14:textId="24EA898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-7906.8618</w:t>
            </w:r>
          </w:p>
        </w:tc>
        <w:tc>
          <w:tcPr>
            <w:tcW w:w="1400" w:type="dxa"/>
          </w:tcPr>
          <w:p w14:paraId="310A734F" w14:textId="54A9B40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19866.486</w:t>
            </w:r>
          </w:p>
        </w:tc>
      </w:tr>
      <w:tr w:rsidR="00BF3125" w:rsidRPr="0004264F" w14:paraId="5E265EEC" w14:textId="77777777" w:rsidTr="00D86A9C">
        <w:trPr>
          <w:trHeight w:val="20"/>
          <w:jc w:val="center"/>
        </w:trPr>
        <w:tc>
          <w:tcPr>
            <w:tcW w:w="3108" w:type="dxa"/>
          </w:tcPr>
          <w:p w14:paraId="21D6407F" w14:textId="31B8555B"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Socioeconomic Index</w:t>
            </w:r>
          </w:p>
        </w:tc>
        <w:tc>
          <w:tcPr>
            <w:tcW w:w="1400" w:type="dxa"/>
          </w:tcPr>
          <w:p w14:paraId="33751730" w14:textId="0D6BBFFE"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342766</w:t>
            </w:r>
          </w:p>
        </w:tc>
        <w:tc>
          <w:tcPr>
            <w:tcW w:w="1400" w:type="dxa"/>
          </w:tcPr>
          <w:p w14:paraId="2E07581E" w14:textId="79B13223"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34.44022</w:t>
            </w:r>
          </w:p>
        </w:tc>
        <w:tc>
          <w:tcPr>
            <w:tcW w:w="1400" w:type="dxa"/>
          </w:tcPr>
          <w:p w14:paraId="6ACC3BE8" w14:textId="1DDD51C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21.7157</w:t>
            </w:r>
          </w:p>
        </w:tc>
        <w:tc>
          <w:tcPr>
            <w:tcW w:w="1400" w:type="dxa"/>
          </w:tcPr>
          <w:p w14:paraId="38231849" w14:textId="4E96992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w:t>
            </w:r>
          </w:p>
        </w:tc>
        <w:tc>
          <w:tcPr>
            <w:tcW w:w="1400" w:type="dxa"/>
          </w:tcPr>
          <w:p w14:paraId="35677CAA" w14:textId="027E5BEB"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96</w:t>
            </w:r>
          </w:p>
        </w:tc>
      </w:tr>
      <w:tr w:rsidR="00BF3125" w:rsidRPr="0004264F" w14:paraId="684E741D" w14:textId="77777777" w:rsidTr="00D86A9C">
        <w:trPr>
          <w:trHeight w:val="20"/>
          <w:jc w:val="center"/>
        </w:trPr>
        <w:tc>
          <w:tcPr>
            <w:tcW w:w="3108" w:type="dxa"/>
          </w:tcPr>
          <w:p w14:paraId="0114636C" w14:textId="544B2305"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Occupational Prestigious Score</w:t>
            </w:r>
          </w:p>
        </w:tc>
        <w:tc>
          <w:tcPr>
            <w:tcW w:w="1400" w:type="dxa"/>
          </w:tcPr>
          <w:p w14:paraId="0636D7FE" w14:textId="4498E55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340401</w:t>
            </w:r>
          </w:p>
        </w:tc>
        <w:tc>
          <w:tcPr>
            <w:tcW w:w="1400" w:type="dxa"/>
          </w:tcPr>
          <w:p w14:paraId="0108CFC5" w14:textId="38A22EF1"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35.80639</w:t>
            </w:r>
          </w:p>
        </w:tc>
        <w:tc>
          <w:tcPr>
            <w:tcW w:w="1400" w:type="dxa"/>
          </w:tcPr>
          <w:p w14:paraId="4A1762C9" w14:textId="40EFAE37"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12.37729</w:t>
            </w:r>
          </w:p>
        </w:tc>
        <w:tc>
          <w:tcPr>
            <w:tcW w:w="1400" w:type="dxa"/>
          </w:tcPr>
          <w:p w14:paraId="7E3585A5" w14:textId="45FB459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9.3</w:t>
            </w:r>
          </w:p>
        </w:tc>
        <w:tc>
          <w:tcPr>
            <w:tcW w:w="1400" w:type="dxa"/>
          </w:tcPr>
          <w:p w14:paraId="66550FDD" w14:textId="53A91130"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81.5</w:t>
            </w:r>
          </w:p>
        </w:tc>
      </w:tr>
      <w:tr w:rsidR="00BF3125" w:rsidRPr="0004264F" w14:paraId="690D4FB1" w14:textId="77777777" w:rsidTr="00D86A9C">
        <w:trPr>
          <w:trHeight w:val="20"/>
          <w:jc w:val="center"/>
        </w:trPr>
        <w:tc>
          <w:tcPr>
            <w:tcW w:w="3108" w:type="dxa"/>
            <w:tcBorders>
              <w:bottom w:val="single" w:sz="4" w:space="0" w:color="auto"/>
            </w:tcBorders>
          </w:tcPr>
          <w:p w14:paraId="24C96CC8" w14:textId="3CF853A2"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Occupational Education Score</w:t>
            </w:r>
          </w:p>
        </w:tc>
        <w:tc>
          <w:tcPr>
            <w:tcW w:w="1400" w:type="dxa"/>
            <w:tcBorders>
              <w:bottom w:val="single" w:sz="4" w:space="0" w:color="auto"/>
            </w:tcBorders>
          </w:tcPr>
          <w:p w14:paraId="5E5EEBE0" w14:textId="180530C9"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340346</w:t>
            </w:r>
          </w:p>
        </w:tc>
        <w:tc>
          <w:tcPr>
            <w:tcW w:w="1400" w:type="dxa"/>
            <w:tcBorders>
              <w:bottom w:val="single" w:sz="4" w:space="0" w:color="auto"/>
            </w:tcBorders>
          </w:tcPr>
          <w:p w14:paraId="7A8BEB8E" w14:textId="1A2D5A6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18.55855</w:t>
            </w:r>
          </w:p>
        </w:tc>
        <w:tc>
          <w:tcPr>
            <w:tcW w:w="1400" w:type="dxa"/>
            <w:tcBorders>
              <w:bottom w:val="single" w:sz="4" w:space="0" w:color="auto"/>
            </w:tcBorders>
          </w:tcPr>
          <w:p w14:paraId="64D8981A" w14:textId="58F1CA8D"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22.3739</w:t>
            </w:r>
          </w:p>
        </w:tc>
        <w:tc>
          <w:tcPr>
            <w:tcW w:w="1400" w:type="dxa"/>
            <w:tcBorders>
              <w:bottom w:val="single" w:sz="4" w:space="0" w:color="auto"/>
            </w:tcBorders>
          </w:tcPr>
          <w:p w14:paraId="644FFE7A" w14:textId="4EF478B6"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.8</w:t>
            </w:r>
          </w:p>
        </w:tc>
        <w:tc>
          <w:tcPr>
            <w:tcW w:w="1400" w:type="dxa"/>
            <w:tcBorders>
              <w:bottom w:val="single" w:sz="4" w:space="0" w:color="auto"/>
            </w:tcBorders>
          </w:tcPr>
          <w:p w14:paraId="6BE270C6" w14:textId="13C7B0C4" w:rsidR="00BF3125" w:rsidRPr="0004264F" w:rsidRDefault="00BF3125" w:rsidP="00BF3125">
            <w:pPr>
              <w:widowControl w:val="0"/>
              <w:autoSpaceDE w:val="0"/>
              <w:autoSpaceDN w:val="0"/>
              <w:adjustRightInd w:val="0"/>
              <w:spacing w:after="0"/>
              <w:jc w:val="center"/>
              <w:rPr>
                <w:rFonts w:cstheme="majorBidi"/>
                <w:sz w:val="20"/>
                <w:szCs w:val="20"/>
              </w:rPr>
            </w:pPr>
            <w:r w:rsidRPr="0004264F">
              <w:rPr>
                <w:rFonts w:cstheme="majorBidi"/>
                <w:sz w:val="20"/>
                <w:szCs w:val="20"/>
              </w:rPr>
              <w:t>100</w:t>
            </w:r>
          </w:p>
        </w:tc>
      </w:tr>
      <w:tr w:rsidR="00BF3125" w:rsidRPr="0004264F" w14:paraId="30DE7E1F" w14:textId="77777777" w:rsidTr="005A312E">
        <w:trPr>
          <w:trHeight w:val="20"/>
          <w:jc w:val="center"/>
        </w:trPr>
        <w:tc>
          <w:tcPr>
            <w:tcW w:w="10108" w:type="dxa"/>
            <w:gridSpan w:val="6"/>
            <w:tcBorders>
              <w:top w:val="single" w:sz="4" w:space="0" w:color="auto"/>
            </w:tcBorders>
          </w:tcPr>
          <w:p w14:paraId="1877DDCD" w14:textId="77777777"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 xml:space="preserve">Notes. The statistics are weighted using county-level mean population. </w:t>
            </w:r>
          </w:p>
          <w:p w14:paraId="6221202D" w14:textId="77777777"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 xml:space="preserve">* The abbreviation STD represents standardized variable. </w:t>
            </w:r>
          </w:p>
          <w:p w14:paraId="66F016B8" w14:textId="7E34411A"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 Total deposits measure average county-year total deposits in all banks reported in the data. Its unit in this table is billions of dollars.</w:t>
            </w:r>
          </w:p>
          <w:p w14:paraId="481A37E1" w14:textId="52E960DB" w:rsidR="00BF3125" w:rsidRPr="0004264F" w:rsidRDefault="00BF3125" w:rsidP="00BF3125">
            <w:pPr>
              <w:widowControl w:val="0"/>
              <w:autoSpaceDE w:val="0"/>
              <w:autoSpaceDN w:val="0"/>
              <w:adjustRightInd w:val="0"/>
              <w:spacing w:after="0"/>
              <w:rPr>
                <w:rFonts w:cstheme="majorBidi"/>
                <w:sz w:val="20"/>
                <w:szCs w:val="20"/>
              </w:rPr>
            </w:pPr>
            <w:r w:rsidRPr="0004264F">
              <w:rPr>
                <w:rFonts w:cstheme="majorBidi"/>
                <w:sz w:val="20"/>
                <w:szCs w:val="20"/>
              </w:rPr>
              <w:t xml:space="preserve">*** Percent drop is the drop in a county’s deposits with respect to the county’s previous year’s deposits. </w:t>
            </w:r>
          </w:p>
        </w:tc>
      </w:tr>
    </w:tbl>
    <w:p w14:paraId="492BBD50" w14:textId="66CE1086" w:rsidR="00204C5C" w:rsidRPr="0004264F" w:rsidRDefault="00204C5C" w:rsidP="00A71FF2">
      <w:pPr>
        <w:rPr>
          <w:rFonts w:cstheme="majorBidi"/>
          <w:b/>
          <w:bCs/>
          <w:sz w:val="20"/>
          <w:szCs w:val="20"/>
        </w:rPr>
      </w:pPr>
    </w:p>
    <w:p w14:paraId="0A5CD00E" w14:textId="722CB707" w:rsidR="00204C5C" w:rsidRPr="0004264F" w:rsidRDefault="00204C5C" w:rsidP="00F32C69">
      <w:pPr>
        <w:rPr>
          <w:rFonts w:cstheme="majorBidi"/>
          <w:b/>
          <w:bCs/>
          <w:sz w:val="20"/>
          <w:szCs w:val="20"/>
        </w:rPr>
      </w:pPr>
    </w:p>
    <w:p w14:paraId="15D2F559" w14:textId="5E3795CF" w:rsidR="00204C5C" w:rsidRPr="0004264F" w:rsidRDefault="00204C5C" w:rsidP="00F32C69">
      <w:pPr>
        <w:rPr>
          <w:rFonts w:cstheme="majorBidi"/>
          <w:b/>
          <w:bCs/>
          <w:sz w:val="20"/>
          <w:szCs w:val="20"/>
        </w:rPr>
      </w:pPr>
    </w:p>
    <w:p w14:paraId="7B138862" w14:textId="77777777" w:rsidR="006F4704" w:rsidRPr="0004264F" w:rsidRDefault="006F4704" w:rsidP="00F32C69">
      <w:pPr>
        <w:rPr>
          <w:rFonts w:cstheme="majorBidi"/>
          <w:b/>
          <w:bCs/>
          <w:i/>
          <w:iCs/>
          <w:sz w:val="18"/>
          <w:szCs w:val="18"/>
        </w:rPr>
        <w:sectPr w:rsidR="006F4704" w:rsidRPr="0004264F" w:rsidSect="006F4704">
          <w:pgSz w:w="12240" w:h="15840" w:code="1"/>
          <w:pgMar w:top="1440" w:right="1440" w:bottom="1440" w:left="1440" w:header="720" w:footer="720" w:gutter="0"/>
          <w:cols w:space="720"/>
          <w:docGrid w:linePitch="360"/>
        </w:sectPr>
      </w:pPr>
    </w:p>
    <w:p w14:paraId="05730E37" w14:textId="2F9FFA7A" w:rsidR="00204C5C" w:rsidRPr="0004264F" w:rsidRDefault="00204C5C" w:rsidP="00F32C69">
      <w:pPr>
        <w:rPr>
          <w:rFonts w:cstheme="majorBidi"/>
          <w:b/>
          <w:bCs/>
          <w:sz w:val="20"/>
          <w:szCs w:val="20"/>
        </w:rPr>
      </w:pPr>
    </w:p>
    <w:p w14:paraId="2758E074" w14:textId="0FFA34FF" w:rsidR="00204C5C" w:rsidRPr="0004264F" w:rsidRDefault="00204C5C" w:rsidP="00F32C69">
      <w:pPr>
        <w:rPr>
          <w:rFonts w:cstheme="majorBidi"/>
          <w:b/>
          <w:bCs/>
          <w:sz w:val="20"/>
          <w:szCs w:val="20"/>
        </w:rPr>
      </w:pPr>
    </w:p>
    <w:p w14:paraId="5C17782B" w14:textId="52CA30DD" w:rsidR="002D6A87" w:rsidRPr="0004264F" w:rsidRDefault="002D6A87" w:rsidP="002D6A87">
      <w:pPr>
        <w:pStyle w:val="Caption"/>
        <w:keepNext/>
        <w:bidi w:val="0"/>
        <w:rPr>
          <w:rFonts w:cstheme="majorBidi"/>
        </w:rPr>
      </w:pPr>
      <w:bookmarkStart w:id="12" w:name="_Ref111326180"/>
      <w:r w:rsidRPr="0004264F">
        <w:rPr>
          <w:rFonts w:cstheme="majorBidi"/>
        </w:rPr>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2</w:t>
      </w:r>
      <w:r w:rsidRPr="0004264F">
        <w:rPr>
          <w:rFonts w:cstheme="majorBidi"/>
        </w:rPr>
        <w:fldChar w:fldCharType="end"/>
      </w:r>
      <w:bookmarkEnd w:id="12"/>
      <w:r w:rsidRPr="0004264F">
        <w:rPr>
          <w:rFonts w:cstheme="majorBidi"/>
        </w:rPr>
        <w:t xml:space="preserve"> - Balancing Tests</w:t>
      </w:r>
    </w:p>
    <w:tbl>
      <w:tblPr>
        <w:tblW w:w="0" w:type="auto"/>
        <w:jc w:val="center"/>
        <w:tblLayout w:type="fixed"/>
        <w:tblLook w:val="0000" w:firstRow="0" w:lastRow="0" w:firstColumn="0" w:lastColumn="0" w:noHBand="0" w:noVBand="0"/>
      </w:tblPr>
      <w:tblGrid>
        <w:gridCol w:w="2108"/>
        <w:gridCol w:w="1250"/>
        <w:gridCol w:w="1300"/>
        <w:gridCol w:w="1300"/>
        <w:gridCol w:w="1300"/>
        <w:gridCol w:w="1300"/>
        <w:gridCol w:w="1300"/>
        <w:gridCol w:w="1300"/>
      </w:tblGrid>
      <w:tr w:rsidR="002D6A87" w:rsidRPr="0004264F" w14:paraId="34A01BED" w14:textId="77777777" w:rsidTr="00060936">
        <w:trPr>
          <w:jc w:val="center"/>
        </w:trPr>
        <w:tc>
          <w:tcPr>
            <w:tcW w:w="2108" w:type="dxa"/>
            <w:tcBorders>
              <w:top w:val="single" w:sz="4" w:space="0" w:color="auto"/>
              <w:left w:val="nil"/>
              <w:bottom w:val="nil"/>
              <w:right w:val="nil"/>
            </w:tcBorders>
          </w:tcPr>
          <w:p w14:paraId="197C92F1" w14:textId="77777777"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w:t>
            </w:r>
          </w:p>
        </w:tc>
        <w:tc>
          <w:tcPr>
            <w:tcW w:w="9050" w:type="dxa"/>
            <w:gridSpan w:val="7"/>
            <w:tcBorders>
              <w:top w:val="single" w:sz="4" w:space="0" w:color="auto"/>
              <w:left w:val="nil"/>
              <w:bottom w:val="single" w:sz="4" w:space="0" w:color="auto"/>
              <w:right w:val="nil"/>
            </w:tcBorders>
          </w:tcPr>
          <w:p w14:paraId="719678AB" w14:textId="47E2DBC0" w:rsidR="002D6A87" w:rsidRPr="0004264F" w:rsidRDefault="002D6A87" w:rsidP="002D6A87">
            <w:pPr>
              <w:widowControl w:val="0"/>
              <w:autoSpaceDE w:val="0"/>
              <w:autoSpaceDN w:val="0"/>
              <w:adjustRightInd w:val="0"/>
              <w:spacing w:after="0"/>
              <w:jc w:val="center"/>
              <w:rPr>
                <w:rFonts w:cstheme="majorBidi"/>
                <w:b/>
                <w:bCs/>
                <w:i/>
                <w:iCs/>
                <w:sz w:val="18"/>
                <w:szCs w:val="18"/>
              </w:rPr>
            </w:pPr>
            <w:r w:rsidRPr="0004264F">
              <w:rPr>
                <w:rFonts w:cstheme="majorBidi"/>
                <w:b/>
                <w:bCs/>
                <w:i/>
                <w:iCs/>
                <w:sz w:val="18"/>
                <w:szCs w:val="18"/>
              </w:rPr>
              <w:t>Outcomes:</w:t>
            </w:r>
          </w:p>
        </w:tc>
      </w:tr>
      <w:tr w:rsidR="002D6A87" w:rsidRPr="0004264F" w14:paraId="44442A6C" w14:textId="77777777" w:rsidTr="00060936">
        <w:trPr>
          <w:jc w:val="center"/>
        </w:trPr>
        <w:tc>
          <w:tcPr>
            <w:tcW w:w="2108" w:type="dxa"/>
            <w:tcBorders>
              <w:top w:val="nil"/>
              <w:left w:val="nil"/>
              <w:right w:val="nil"/>
            </w:tcBorders>
          </w:tcPr>
          <w:p w14:paraId="3E24F355" w14:textId="77777777" w:rsidR="002D6A87" w:rsidRPr="0004264F" w:rsidRDefault="002D6A87" w:rsidP="002D6A87">
            <w:pPr>
              <w:widowControl w:val="0"/>
              <w:autoSpaceDE w:val="0"/>
              <w:autoSpaceDN w:val="0"/>
              <w:adjustRightInd w:val="0"/>
              <w:spacing w:after="0"/>
              <w:jc w:val="center"/>
              <w:rPr>
                <w:rFonts w:cstheme="majorBidi"/>
                <w:sz w:val="18"/>
                <w:szCs w:val="18"/>
              </w:rPr>
            </w:pPr>
          </w:p>
        </w:tc>
        <w:tc>
          <w:tcPr>
            <w:tcW w:w="1250" w:type="dxa"/>
            <w:tcBorders>
              <w:top w:val="single" w:sz="4" w:space="0" w:color="auto"/>
              <w:left w:val="nil"/>
              <w:bottom w:val="single" w:sz="4" w:space="0" w:color="auto"/>
              <w:right w:val="nil"/>
            </w:tcBorders>
            <w:vAlign w:val="center"/>
          </w:tcPr>
          <w:p w14:paraId="2A97E0B7" w14:textId="50209733"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White</w:t>
            </w:r>
          </w:p>
        </w:tc>
        <w:tc>
          <w:tcPr>
            <w:tcW w:w="1300" w:type="dxa"/>
            <w:tcBorders>
              <w:top w:val="single" w:sz="4" w:space="0" w:color="auto"/>
              <w:left w:val="nil"/>
              <w:bottom w:val="single" w:sz="4" w:space="0" w:color="auto"/>
              <w:right w:val="nil"/>
            </w:tcBorders>
            <w:vAlign w:val="center"/>
          </w:tcPr>
          <w:p w14:paraId="1F94A858" w14:textId="0D5558D8"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Mother’s Schooling</w:t>
            </w:r>
          </w:p>
        </w:tc>
        <w:tc>
          <w:tcPr>
            <w:tcW w:w="1300" w:type="dxa"/>
            <w:tcBorders>
              <w:top w:val="single" w:sz="4" w:space="0" w:color="auto"/>
              <w:left w:val="nil"/>
              <w:bottom w:val="single" w:sz="4" w:space="0" w:color="auto"/>
              <w:right w:val="nil"/>
            </w:tcBorders>
            <w:vAlign w:val="center"/>
          </w:tcPr>
          <w:p w14:paraId="250B05F9" w14:textId="1E3E1DBA"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Mother’s Education Missing</w:t>
            </w:r>
          </w:p>
        </w:tc>
        <w:tc>
          <w:tcPr>
            <w:tcW w:w="1300" w:type="dxa"/>
            <w:tcBorders>
              <w:top w:val="single" w:sz="4" w:space="0" w:color="auto"/>
              <w:left w:val="nil"/>
              <w:bottom w:val="single" w:sz="4" w:space="0" w:color="auto"/>
              <w:right w:val="nil"/>
            </w:tcBorders>
            <w:vAlign w:val="center"/>
          </w:tcPr>
          <w:p w14:paraId="32F0D84E" w14:textId="50073871"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Father’s Schooling</w:t>
            </w:r>
          </w:p>
        </w:tc>
        <w:tc>
          <w:tcPr>
            <w:tcW w:w="1300" w:type="dxa"/>
            <w:tcBorders>
              <w:top w:val="single" w:sz="4" w:space="0" w:color="auto"/>
              <w:left w:val="nil"/>
              <w:bottom w:val="single" w:sz="4" w:space="0" w:color="auto"/>
              <w:right w:val="nil"/>
            </w:tcBorders>
            <w:vAlign w:val="center"/>
          </w:tcPr>
          <w:p w14:paraId="5CA700AD" w14:textId="400D3904"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Father’s Education Missing</w:t>
            </w:r>
          </w:p>
        </w:tc>
        <w:tc>
          <w:tcPr>
            <w:tcW w:w="1300" w:type="dxa"/>
            <w:tcBorders>
              <w:top w:val="single" w:sz="4" w:space="0" w:color="auto"/>
              <w:left w:val="nil"/>
              <w:bottom w:val="single" w:sz="4" w:space="0" w:color="auto"/>
              <w:right w:val="nil"/>
            </w:tcBorders>
            <w:vAlign w:val="center"/>
          </w:tcPr>
          <w:p w14:paraId="0DD1CC9C" w14:textId="565132DB"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Father’s SEI</w:t>
            </w:r>
          </w:p>
        </w:tc>
        <w:tc>
          <w:tcPr>
            <w:tcW w:w="1300" w:type="dxa"/>
            <w:tcBorders>
              <w:top w:val="single" w:sz="4" w:space="0" w:color="auto"/>
              <w:left w:val="nil"/>
              <w:bottom w:val="single" w:sz="4" w:space="0" w:color="auto"/>
              <w:right w:val="nil"/>
            </w:tcBorders>
            <w:vAlign w:val="center"/>
          </w:tcPr>
          <w:p w14:paraId="44A33565" w14:textId="0418E4B0"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Father’s SEI Missing</w:t>
            </w:r>
          </w:p>
        </w:tc>
      </w:tr>
      <w:tr w:rsidR="002D6A87" w:rsidRPr="0004264F" w14:paraId="139F9413" w14:textId="77777777" w:rsidTr="00060936">
        <w:trPr>
          <w:jc w:val="center"/>
        </w:trPr>
        <w:tc>
          <w:tcPr>
            <w:tcW w:w="2108" w:type="dxa"/>
            <w:tcBorders>
              <w:left w:val="nil"/>
              <w:bottom w:val="single" w:sz="4" w:space="0" w:color="auto"/>
              <w:right w:val="nil"/>
            </w:tcBorders>
          </w:tcPr>
          <w:p w14:paraId="7D5C2AD6" w14:textId="77777777"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w:t>
            </w:r>
          </w:p>
        </w:tc>
        <w:tc>
          <w:tcPr>
            <w:tcW w:w="1250" w:type="dxa"/>
            <w:tcBorders>
              <w:top w:val="single" w:sz="4" w:space="0" w:color="auto"/>
              <w:left w:val="nil"/>
              <w:bottom w:val="single" w:sz="4" w:space="0" w:color="auto"/>
              <w:right w:val="nil"/>
            </w:tcBorders>
          </w:tcPr>
          <w:p w14:paraId="53E4487B" w14:textId="67F54996"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(1)</w:t>
            </w:r>
          </w:p>
        </w:tc>
        <w:tc>
          <w:tcPr>
            <w:tcW w:w="1300" w:type="dxa"/>
            <w:tcBorders>
              <w:top w:val="single" w:sz="4" w:space="0" w:color="auto"/>
              <w:left w:val="nil"/>
              <w:bottom w:val="single" w:sz="4" w:space="0" w:color="auto"/>
              <w:right w:val="nil"/>
            </w:tcBorders>
          </w:tcPr>
          <w:p w14:paraId="77BD7085" w14:textId="6401D69E"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(2)</w:t>
            </w:r>
          </w:p>
        </w:tc>
        <w:tc>
          <w:tcPr>
            <w:tcW w:w="1300" w:type="dxa"/>
            <w:tcBorders>
              <w:top w:val="single" w:sz="4" w:space="0" w:color="auto"/>
              <w:left w:val="nil"/>
              <w:bottom w:val="single" w:sz="4" w:space="0" w:color="auto"/>
              <w:right w:val="nil"/>
            </w:tcBorders>
          </w:tcPr>
          <w:p w14:paraId="3992965A" w14:textId="6F3E3689"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(3)</w:t>
            </w:r>
          </w:p>
        </w:tc>
        <w:tc>
          <w:tcPr>
            <w:tcW w:w="1300" w:type="dxa"/>
            <w:tcBorders>
              <w:top w:val="single" w:sz="4" w:space="0" w:color="auto"/>
              <w:left w:val="nil"/>
              <w:bottom w:val="single" w:sz="4" w:space="0" w:color="auto"/>
              <w:right w:val="nil"/>
            </w:tcBorders>
          </w:tcPr>
          <w:p w14:paraId="479ED43C" w14:textId="5FB840DC"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(4)</w:t>
            </w:r>
          </w:p>
        </w:tc>
        <w:tc>
          <w:tcPr>
            <w:tcW w:w="1300" w:type="dxa"/>
            <w:tcBorders>
              <w:top w:val="single" w:sz="4" w:space="0" w:color="auto"/>
              <w:left w:val="nil"/>
              <w:bottom w:val="single" w:sz="4" w:space="0" w:color="auto"/>
              <w:right w:val="nil"/>
            </w:tcBorders>
          </w:tcPr>
          <w:p w14:paraId="3340DDF6" w14:textId="3BAFFE9C"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(5)</w:t>
            </w:r>
          </w:p>
        </w:tc>
        <w:tc>
          <w:tcPr>
            <w:tcW w:w="1300" w:type="dxa"/>
            <w:tcBorders>
              <w:top w:val="single" w:sz="4" w:space="0" w:color="auto"/>
              <w:left w:val="nil"/>
              <w:bottom w:val="single" w:sz="4" w:space="0" w:color="auto"/>
              <w:right w:val="nil"/>
            </w:tcBorders>
          </w:tcPr>
          <w:p w14:paraId="5A8FE9E0" w14:textId="2401C5A1"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(6)</w:t>
            </w:r>
          </w:p>
        </w:tc>
        <w:tc>
          <w:tcPr>
            <w:tcW w:w="1300" w:type="dxa"/>
            <w:tcBorders>
              <w:top w:val="single" w:sz="4" w:space="0" w:color="auto"/>
              <w:left w:val="nil"/>
              <w:bottom w:val="single" w:sz="4" w:space="0" w:color="auto"/>
              <w:right w:val="nil"/>
            </w:tcBorders>
          </w:tcPr>
          <w:p w14:paraId="5E0C2977" w14:textId="7F1D995D" w:rsidR="002D6A87" w:rsidRPr="0004264F" w:rsidRDefault="002D6A87" w:rsidP="002D6A87">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(7)</w:t>
            </w:r>
          </w:p>
        </w:tc>
      </w:tr>
      <w:tr w:rsidR="00015CEF" w:rsidRPr="0004264F" w14:paraId="6A4F119E" w14:textId="77777777" w:rsidTr="00581F11">
        <w:trPr>
          <w:jc w:val="center"/>
        </w:trPr>
        <w:tc>
          <w:tcPr>
            <w:tcW w:w="2108" w:type="dxa"/>
            <w:vMerge w:val="restart"/>
            <w:tcBorders>
              <w:top w:val="single" w:sz="4" w:space="0" w:color="auto"/>
              <w:left w:val="nil"/>
              <w:right w:val="nil"/>
            </w:tcBorders>
            <w:vAlign w:val="center"/>
          </w:tcPr>
          <w:p w14:paraId="6C004835" w14:textId="36CAD08B" w:rsidR="00015CEF" w:rsidRPr="0004264F" w:rsidRDefault="00015CEF" w:rsidP="00015CEF">
            <w:pPr>
              <w:widowControl w:val="0"/>
              <w:autoSpaceDE w:val="0"/>
              <w:autoSpaceDN w:val="0"/>
              <w:adjustRightInd w:val="0"/>
              <w:spacing w:after="0"/>
              <w:rPr>
                <w:rFonts w:cstheme="majorBidi"/>
                <w:sz w:val="18"/>
                <w:szCs w:val="18"/>
              </w:rPr>
            </w:pPr>
            <w:r w:rsidRPr="0004264F">
              <w:rPr>
                <w:rFonts w:cstheme="majorBidi"/>
                <w:sz w:val="18"/>
                <w:szCs w:val="18"/>
              </w:rPr>
              <w:t xml:space="preserve">Deposits per Capita (STD)  </w:t>
            </w:r>
          </w:p>
        </w:tc>
        <w:tc>
          <w:tcPr>
            <w:tcW w:w="1250" w:type="dxa"/>
            <w:tcBorders>
              <w:top w:val="single" w:sz="4" w:space="0" w:color="auto"/>
              <w:left w:val="nil"/>
              <w:bottom w:val="nil"/>
              <w:right w:val="nil"/>
            </w:tcBorders>
          </w:tcPr>
          <w:p w14:paraId="61DF1901" w14:textId="3A5B552F"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-.00254</w:t>
            </w:r>
          </w:p>
        </w:tc>
        <w:tc>
          <w:tcPr>
            <w:tcW w:w="1300" w:type="dxa"/>
            <w:tcBorders>
              <w:top w:val="single" w:sz="4" w:space="0" w:color="auto"/>
              <w:left w:val="nil"/>
              <w:bottom w:val="nil"/>
              <w:right w:val="nil"/>
            </w:tcBorders>
          </w:tcPr>
          <w:p w14:paraId="46CF3007" w14:textId="5CDFC397"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.012</w:t>
            </w:r>
          </w:p>
        </w:tc>
        <w:tc>
          <w:tcPr>
            <w:tcW w:w="1300" w:type="dxa"/>
            <w:tcBorders>
              <w:top w:val="single" w:sz="4" w:space="0" w:color="auto"/>
              <w:left w:val="nil"/>
              <w:bottom w:val="nil"/>
              <w:right w:val="nil"/>
            </w:tcBorders>
          </w:tcPr>
          <w:p w14:paraId="15724F44" w14:textId="0F5F57B1"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.00072</w:t>
            </w:r>
          </w:p>
        </w:tc>
        <w:tc>
          <w:tcPr>
            <w:tcW w:w="1300" w:type="dxa"/>
            <w:tcBorders>
              <w:top w:val="single" w:sz="4" w:space="0" w:color="auto"/>
              <w:left w:val="nil"/>
              <w:bottom w:val="nil"/>
              <w:right w:val="nil"/>
            </w:tcBorders>
          </w:tcPr>
          <w:p w14:paraId="5D57AB8F" w14:textId="57B3E0FD"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.00918</w:t>
            </w:r>
          </w:p>
        </w:tc>
        <w:tc>
          <w:tcPr>
            <w:tcW w:w="1300" w:type="dxa"/>
            <w:tcBorders>
              <w:top w:val="single" w:sz="4" w:space="0" w:color="auto"/>
              <w:left w:val="nil"/>
              <w:bottom w:val="nil"/>
              <w:right w:val="nil"/>
            </w:tcBorders>
          </w:tcPr>
          <w:p w14:paraId="075D6E36" w14:textId="2ACB32E3"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.002***</w:t>
            </w:r>
          </w:p>
        </w:tc>
        <w:tc>
          <w:tcPr>
            <w:tcW w:w="1300" w:type="dxa"/>
            <w:tcBorders>
              <w:top w:val="single" w:sz="4" w:space="0" w:color="auto"/>
              <w:left w:val="nil"/>
              <w:bottom w:val="nil"/>
              <w:right w:val="nil"/>
            </w:tcBorders>
          </w:tcPr>
          <w:p w14:paraId="2659B841" w14:textId="506BF44C"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-.10234</w:t>
            </w:r>
          </w:p>
        </w:tc>
        <w:tc>
          <w:tcPr>
            <w:tcW w:w="1300" w:type="dxa"/>
            <w:tcBorders>
              <w:top w:val="single" w:sz="4" w:space="0" w:color="auto"/>
              <w:left w:val="nil"/>
              <w:bottom w:val="nil"/>
              <w:right w:val="nil"/>
            </w:tcBorders>
          </w:tcPr>
          <w:p w14:paraId="5AFE56A6" w14:textId="5887EC89"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.00237**</w:t>
            </w:r>
          </w:p>
        </w:tc>
      </w:tr>
      <w:tr w:rsidR="00015CEF" w:rsidRPr="0004264F" w14:paraId="4E077555" w14:textId="77777777" w:rsidTr="00581F11">
        <w:trPr>
          <w:jc w:val="center"/>
        </w:trPr>
        <w:tc>
          <w:tcPr>
            <w:tcW w:w="2108" w:type="dxa"/>
            <w:vMerge/>
            <w:tcBorders>
              <w:left w:val="nil"/>
              <w:bottom w:val="nil"/>
              <w:right w:val="nil"/>
            </w:tcBorders>
          </w:tcPr>
          <w:p w14:paraId="7663C924" w14:textId="58E4E370" w:rsidR="00015CEF" w:rsidRPr="0004264F" w:rsidRDefault="00015CEF" w:rsidP="00015CEF">
            <w:pPr>
              <w:widowControl w:val="0"/>
              <w:autoSpaceDE w:val="0"/>
              <w:autoSpaceDN w:val="0"/>
              <w:adjustRightInd w:val="0"/>
              <w:spacing w:after="0"/>
              <w:rPr>
                <w:rFonts w:cstheme="majorBidi"/>
                <w:sz w:val="18"/>
                <w:szCs w:val="18"/>
              </w:rPr>
            </w:pPr>
          </w:p>
        </w:tc>
        <w:tc>
          <w:tcPr>
            <w:tcW w:w="1250" w:type="dxa"/>
            <w:tcBorders>
              <w:top w:val="nil"/>
              <w:left w:val="nil"/>
              <w:bottom w:val="nil"/>
              <w:right w:val="nil"/>
            </w:tcBorders>
          </w:tcPr>
          <w:p w14:paraId="6D2855BF" w14:textId="718A374E"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(.00161)</w:t>
            </w:r>
          </w:p>
        </w:tc>
        <w:tc>
          <w:tcPr>
            <w:tcW w:w="1300" w:type="dxa"/>
            <w:tcBorders>
              <w:top w:val="nil"/>
              <w:left w:val="nil"/>
              <w:bottom w:val="nil"/>
              <w:right w:val="nil"/>
            </w:tcBorders>
          </w:tcPr>
          <w:p w14:paraId="3F6E8157" w14:textId="5E78AEFC"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(.01309)</w:t>
            </w:r>
          </w:p>
        </w:tc>
        <w:tc>
          <w:tcPr>
            <w:tcW w:w="1300" w:type="dxa"/>
            <w:tcBorders>
              <w:top w:val="nil"/>
              <w:left w:val="nil"/>
              <w:bottom w:val="nil"/>
              <w:right w:val="nil"/>
            </w:tcBorders>
          </w:tcPr>
          <w:p w14:paraId="0D64B150" w14:textId="56DDD8EE"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(.00132)</w:t>
            </w:r>
          </w:p>
        </w:tc>
        <w:tc>
          <w:tcPr>
            <w:tcW w:w="1300" w:type="dxa"/>
            <w:tcBorders>
              <w:top w:val="nil"/>
              <w:left w:val="nil"/>
              <w:bottom w:val="nil"/>
              <w:right w:val="nil"/>
            </w:tcBorders>
          </w:tcPr>
          <w:p w14:paraId="6AF30135" w14:textId="17D80512"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(.01603)</w:t>
            </w:r>
          </w:p>
        </w:tc>
        <w:tc>
          <w:tcPr>
            <w:tcW w:w="1300" w:type="dxa"/>
            <w:tcBorders>
              <w:top w:val="nil"/>
              <w:left w:val="nil"/>
              <w:bottom w:val="nil"/>
              <w:right w:val="nil"/>
            </w:tcBorders>
          </w:tcPr>
          <w:p w14:paraId="07824279" w14:textId="55473883"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(.00068)</w:t>
            </w:r>
          </w:p>
        </w:tc>
        <w:tc>
          <w:tcPr>
            <w:tcW w:w="1300" w:type="dxa"/>
            <w:tcBorders>
              <w:top w:val="nil"/>
              <w:left w:val="nil"/>
              <w:bottom w:val="nil"/>
              <w:right w:val="nil"/>
            </w:tcBorders>
          </w:tcPr>
          <w:p w14:paraId="2B3CC4F2" w14:textId="284FE38A"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(.07191)</w:t>
            </w:r>
          </w:p>
        </w:tc>
        <w:tc>
          <w:tcPr>
            <w:tcW w:w="1300" w:type="dxa"/>
            <w:tcBorders>
              <w:top w:val="nil"/>
              <w:left w:val="nil"/>
              <w:bottom w:val="nil"/>
              <w:right w:val="nil"/>
            </w:tcBorders>
          </w:tcPr>
          <w:p w14:paraId="555C391A" w14:textId="1BD8F8D5"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(.00098)</w:t>
            </w:r>
          </w:p>
        </w:tc>
      </w:tr>
      <w:tr w:rsidR="00015CEF" w:rsidRPr="0004264F" w14:paraId="21B5A30E" w14:textId="77777777" w:rsidTr="00060936">
        <w:trPr>
          <w:jc w:val="center"/>
        </w:trPr>
        <w:tc>
          <w:tcPr>
            <w:tcW w:w="2108" w:type="dxa"/>
            <w:tcBorders>
              <w:top w:val="nil"/>
              <w:left w:val="nil"/>
              <w:bottom w:val="nil"/>
              <w:right w:val="nil"/>
            </w:tcBorders>
          </w:tcPr>
          <w:p w14:paraId="0F2D2462" w14:textId="382212E5" w:rsidR="00015CEF" w:rsidRPr="0004264F" w:rsidRDefault="00015CEF" w:rsidP="00015CEF">
            <w:pPr>
              <w:widowControl w:val="0"/>
              <w:autoSpaceDE w:val="0"/>
              <w:autoSpaceDN w:val="0"/>
              <w:adjustRightInd w:val="0"/>
              <w:spacing w:after="0"/>
              <w:rPr>
                <w:rFonts w:cstheme="majorBidi"/>
                <w:sz w:val="18"/>
                <w:szCs w:val="18"/>
              </w:rPr>
            </w:pPr>
            <w:r w:rsidRPr="0004264F">
              <w:rPr>
                <w:rFonts w:cstheme="majorBidi"/>
                <w:sz w:val="18"/>
                <w:szCs w:val="18"/>
              </w:rPr>
              <w:t>Observations</w:t>
            </w:r>
          </w:p>
        </w:tc>
        <w:tc>
          <w:tcPr>
            <w:tcW w:w="1250" w:type="dxa"/>
            <w:tcBorders>
              <w:top w:val="nil"/>
              <w:left w:val="nil"/>
              <w:bottom w:val="nil"/>
              <w:right w:val="nil"/>
            </w:tcBorders>
          </w:tcPr>
          <w:p w14:paraId="51D989A9" w14:textId="6DCEB2BB"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1221113</w:t>
            </w:r>
          </w:p>
        </w:tc>
        <w:tc>
          <w:tcPr>
            <w:tcW w:w="1300" w:type="dxa"/>
            <w:tcBorders>
              <w:top w:val="nil"/>
              <w:left w:val="nil"/>
              <w:bottom w:val="nil"/>
              <w:right w:val="nil"/>
            </w:tcBorders>
          </w:tcPr>
          <w:p w14:paraId="2182EBDE" w14:textId="2DABA858"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1133633</w:t>
            </w:r>
          </w:p>
        </w:tc>
        <w:tc>
          <w:tcPr>
            <w:tcW w:w="1300" w:type="dxa"/>
            <w:tcBorders>
              <w:top w:val="nil"/>
              <w:left w:val="nil"/>
              <w:bottom w:val="nil"/>
              <w:right w:val="nil"/>
            </w:tcBorders>
          </w:tcPr>
          <w:p w14:paraId="369F6476" w14:textId="2D660DEA"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1221113</w:t>
            </w:r>
          </w:p>
        </w:tc>
        <w:tc>
          <w:tcPr>
            <w:tcW w:w="1300" w:type="dxa"/>
            <w:tcBorders>
              <w:top w:val="nil"/>
              <w:left w:val="nil"/>
              <w:bottom w:val="nil"/>
              <w:right w:val="nil"/>
            </w:tcBorders>
          </w:tcPr>
          <w:p w14:paraId="1BDDE148" w14:textId="3F308A99"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1068262</w:t>
            </w:r>
          </w:p>
        </w:tc>
        <w:tc>
          <w:tcPr>
            <w:tcW w:w="1300" w:type="dxa"/>
            <w:tcBorders>
              <w:top w:val="nil"/>
              <w:left w:val="nil"/>
              <w:bottom w:val="nil"/>
              <w:right w:val="nil"/>
            </w:tcBorders>
          </w:tcPr>
          <w:p w14:paraId="2A18358A" w14:textId="4441D916"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1221113</w:t>
            </w:r>
          </w:p>
        </w:tc>
        <w:tc>
          <w:tcPr>
            <w:tcW w:w="1300" w:type="dxa"/>
            <w:tcBorders>
              <w:top w:val="nil"/>
              <w:left w:val="nil"/>
              <w:bottom w:val="nil"/>
              <w:right w:val="nil"/>
            </w:tcBorders>
          </w:tcPr>
          <w:p w14:paraId="7DCAB350" w14:textId="2D32021A"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1040576</w:t>
            </w:r>
          </w:p>
        </w:tc>
        <w:tc>
          <w:tcPr>
            <w:tcW w:w="1300" w:type="dxa"/>
            <w:tcBorders>
              <w:top w:val="nil"/>
              <w:left w:val="nil"/>
              <w:bottom w:val="nil"/>
              <w:right w:val="nil"/>
            </w:tcBorders>
          </w:tcPr>
          <w:p w14:paraId="644E0F81" w14:textId="72876281"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1221113</w:t>
            </w:r>
          </w:p>
        </w:tc>
      </w:tr>
      <w:tr w:rsidR="00015CEF" w:rsidRPr="0004264F" w14:paraId="4F018A20" w14:textId="77777777" w:rsidTr="00060936">
        <w:trPr>
          <w:jc w:val="center"/>
        </w:trPr>
        <w:tc>
          <w:tcPr>
            <w:tcW w:w="2108" w:type="dxa"/>
            <w:tcBorders>
              <w:top w:val="nil"/>
              <w:left w:val="nil"/>
              <w:bottom w:val="nil"/>
              <w:right w:val="nil"/>
            </w:tcBorders>
          </w:tcPr>
          <w:p w14:paraId="503D05BC" w14:textId="75E2FC7A" w:rsidR="00015CEF" w:rsidRPr="0004264F" w:rsidRDefault="00015CEF" w:rsidP="00015CEF">
            <w:pPr>
              <w:widowControl w:val="0"/>
              <w:autoSpaceDE w:val="0"/>
              <w:autoSpaceDN w:val="0"/>
              <w:adjustRightInd w:val="0"/>
              <w:spacing w:after="0"/>
              <w:rPr>
                <w:rFonts w:cstheme="majorBidi"/>
                <w:sz w:val="18"/>
                <w:szCs w:val="18"/>
              </w:rPr>
            </w:pPr>
            <w:r w:rsidRPr="0004264F">
              <w:rPr>
                <w:rFonts w:cstheme="majorBidi"/>
                <w:sz w:val="18"/>
                <w:szCs w:val="18"/>
              </w:rPr>
              <w:t>R-squared</w:t>
            </w:r>
          </w:p>
        </w:tc>
        <w:tc>
          <w:tcPr>
            <w:tcW w:w="1250" w:type="dxa"/>
            <w:tcBorders>
              <w:top w:val="nil"/>
              <w:left w:val="nil"/>
              <w:bottom w:val="nil"/>
              <w:right w:val="nil"/>
            </w:tcBorders>
          </w:tcPr>
          <w:p w14:paraId="5011D93C" w14:textId="4EDADE82"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.11896</w:t>
            </w:r>
          </w:p>
        </w:tc>
        <w:tc>
          <w:tcPr>
            <w:tcW w:w="1300" w:type="dxa"/>
            <w:tcBorders>
              <w:top w:val="nil"/>
              <w:left w:val="nil"/>
              <w:bottom w:val="nil"/>
              <w:right w:val="nil"/>
            </w:tcBorders>
          </w:tcPr>
          <w:p w14:paraId="57C7A7C4" w14:textId="3D96ED94"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.08817</w:t>
            </w:r>
          </w:p>
        </w:tc>
        <w:tc>
          <w:tcPr>
            <w:tcW w:w="1300" w:type="dxa"/>
            <w:tcBorders>
              <w:top w:val="nil"/>
              <w:left w:val="nil"/>
              <w:bottom w:val="nil"/>
              <w:right w:val="nil"/>
            </w:tcBorders>
          </w:tcPr>
          <w:p w14:paraId="217BE34C" w14:textId="62252420"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.04105</w:t>
            </w:r>
          </w:p>
        </w:tc>
        <w:tc>
          <w:tcPr>
            <w:tcW w:w="1300" w:type="dxa"/>
            <w:tcBorders>
              <w:top w:val="nil"/>
              <w:left w:val="nil"/>
              <w:bottom w:val="nil"/>
              <w:right w:val="nil"/>
            </w:tcBorders>
          </w:tcPr>
          <w:p w14:paraId="28CB8CF7" w14:textId="45E7C5E7"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.07459</w:t>
            </w:r>
          </w:p>
        </w:tc>
        <w:tc>
          <w:tcPr>
            <w:tcW w:w="1300" w:type="dxa"/>
            <w:tcBorders>
              <w:top w:val="nil"/>
              <w:left w:val="nil"/>
              <w:bottom w:val="nil"/>
              <w:right w:val="nil"/>
            </w:tcBorders>
          </w:tcPr>
          <w:p w14:paraId="23EB959B" w14:textId="67A0066F"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.04562</w:t>
            </w:r>
          </w:p>
        </w:tc>
        <w:tc>
          <w:tcPr>
            <w:tcW w:w="1300" w:type="dxa"/>
            <w:tcBorders>
              <w:top w:val="nil"/>
              <w:left w:val="nil"/>
              <w:bottom w:val="nil"/>
              <w:right w:val="nil"/>
            </w:tcBorders>
          </w:tcPr>
          <w:p w14:paraId="1FD725CA" w14:textId="0123B029"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.0515</w:t>
            </w:r>
          </w:p>
        </w:tc>
        <w:tc>
          <w:tcPr>
            <w:tcW w:w="1300" w:type="dxa"/>
            <w:tcBorders>
              <w:top w:val="nil"/>
              <w:left w:val="nil"/>
              <w:bottom w:val="nil"/>
              <w:right w:val="nil"/>
            </w:tcBorders>
          </w:tcPr>
          <w:p w14:paraId="1BD17EFE" w14:textId="5129D495"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.02668</w:t>
            </w:r>
          </w:p>
        </w:tc>
      </w:tr>
      <w:tr w:rsidR="00015CEF" w:rsidRPr="0004264F" w14:paraId="4BC64FE5" w14:textId="77777777" w:rsidTr="00060936">
        <w:trPr>
          <w:jc w:val="center"/>
        </w:trPr>
        <w:tc>
          <w:tcPr>
            <w:tcW w:w="2108" w:type="dxa"/>
            <w:tcBorders>
              <w:top w:val="nil"/>
              <w:left w:val="nil"/>
              <w:bottom w:val="nil"/>
              <w:right w:val="nil"/>
            </w:tcBorders>
          </w:tcPr>
          <w:p w14:paraId="091CBBC7" w14:textId="41BF8703" w:rsidR="00015CEF" w:rsidRPr="0004264F" w:rsidRDefault="00015CEF" w:rsidP="00015CEF">
            <w:pPr>
              <w:widowControl w:val="0"/>
              <w:autoSpaceDE w:val="0"/>
              <w:autoSpaceDN w:val="0"/>
              <w:adjustRightInd w:val="0"/>
              <w:spacing w:after="0"/>
              <w:rPr>
                <w:rFonts w:cstheme="majorBidi"/>
                <w:sz w:val="18"/>
                <w:szCs w:val="18"/>
              </w:rPr>
            </w:pPr>
            <w:r w:rsidRPr="0004264F">
              <w:rPr>
                <w:rFonts w:cstheme="majorBidi"/>
                <w:sz w:val="18"/>
                <w:szCs w:val="18"/>
              </w:rPr>
              <w:t>Mean DV</w:t>
            </w:r>
          </w:p>
        </w:tc>
        <w:tc>
          <w:tcPr>
            <w:tcW w:w="1250" w:type="dxa"/>
            <w:tcBorders>
              <w:top w:val="nil"/>
              <w:left w:val="nil"/>
              <w:bottom w:val="nil"/>
              <w:right w:val="nil"/>
            </w:tcBorders>
          </w:tcPr>
          <w:p w14:paraId="2E5C8614" w14:textId="4CCD411B"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0.944</w:t>
            </w:r>
          </w:p>
        </w:tc>
        <w:tc>
          <w:tcPr>
            <w:tcW w:w="1300" w:type="dxa"/>
            <w:tcBorders>
              <w:top w:val="nil"/>
              <w:left w:val="nil"/>
              <w:bottom w:val="nil"/>
              <w:right w:val="nil"/>
            </w:tcBorders>
          </w:tcPr>
          <w:p w14:paraId="2E907D5E" w14:textId="79477A1A"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8.125</w:t>
            </w:r>
          </w:p>
        </w:tc>
        <w:tc>
          <w:tcPr>
            <w:tcW w:w="1300" w:type="dxa"/>
            <w:tcBorders>
              <w:top w:val="nil"/>
              <w:left w:val="nil"/>
              <w:bottom w:val="nil"/>
              <w:right w:val="nil"/>
            </w:tcBorders>
          </w:tcPr>
          <w:p w14:paraId="7826394A" w14:textId="46243AB8"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0.063</w:t>
            </w:r>
          </w:p>
        </w:tc>
        <w:tc>
          <w:tcPr>
            <w:tcW w:w="1300" w:type="dxa"/>
            <w:tcBorders>
              <w:top w:val="nil"/>
              <w:left w:val="nil"/>
              <w:bottom w:val="nil"/>
              <w:right w:val="nil"/>
            </w:tcBorders>
          </w:tcPr>
          <w:p w14:paraId="6D70CA49" w14:textId="76ED87AC"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8.083</w:t>
            </w:r>
          </w:p>
        </w:tc>
        <w:tc>
          <w:tcPr>
            <w:tcW w:w="1300" w:type="dxa"/>
            <w:tcBorders>
              <w:top w:val="nil"/>
              <w:left w:val="nil"/>
              <w:bottom w:val="nil"/>
              <w:right w:val="nil"/>
            </w:tcBorders>
          </w:tcPr>
          <w:p w14:paraId="1B0D3CD8" w14:textId="117AC1BB"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0.016</w:t>
            </w:r>
          </w:p>
        </w:tc>
        <w:tc>
          <w:tcPr>
            <w:tcW w:w="1300" w:type="dxa"/>
            <w:tcBorders>
              <w:top w:val="nil"/>
              <w:left w:val="nil"/>
              <w:bottom w:val="nil"/>
              <w:right w:val="nil"/>
            </w:tcBorders>
          </w:tcPr>
          <w:p w14:paraId="65E3FAB7" w14:textId="2D66DA4F"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32.052</w:t>
            </w:r>
          </w:p>
        </w:tc>
        <w:tc>
          <w:tcPr>
            <w:tcW w:w="1300" w:type="dxa"/>
            <w:tcBorders>
              <w:top w:val="nil"/>
              <w:left w:val="nil"/>
              <w:bottom w:val="nil"/>
              <w:right w:val="nil"/>
            </w:tcBorders>
          </w:tcPr>
          <w:p w14:paraId="76162CEC" w14:textId="5DD1C517"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0.043</w:t>
            </w:r>
          </w:p>
        </w:tc>
      </w:tr>
      <w:tr w:rsidR="00015CEF" w:rsidRPr="0004264F" w14:paraId="07FE9CF6" w14:textId="77777777" w:rsidTr="00060936">
        <w:trPr>
          <w:jc w:val="center"/>
        </w:trPr>
        <w:tc>
          <w:tcPr>
            <w:tcW w:w="2108" w:type="dxa"/>
            <w:tcBorders>
              <w:top w:val="nil"/>
              <w:left w:val="nil"/>
              <w:bottom w:val="single" w:sz="4" w:space="0" w:color="auto"/>
              <w:right w:val="nil"/>
            </w:tcBorders>
          </w:tcPr>
          <w:p w14:paraId="11F3EF44" w14:textId="24315B7A" w:rsidR="00015CEF" w:rsidRPr="0004264F" w:rsidRDefault="00015CEF" w:rsidP="00015CEF">
            <w:pPr>
              <w:widowControl w:val="0"/>
              <w:autoSpaceDE w:val="0"/>
              <w:autoSpaceDN w:val="0"/>
              <w:adjustRightInd w:val="0"/>
              <w:spacing w:after="0"/>
              <w:rPr>
                <w:rFonts w:cstheme="majorBidi"/>
                <w:sz w:val="18"/>
                <w:szCs w:val="18"/>
              </w:rPr>
            </w:pPr>
            <w:r w:rsidRPr="0004264F">
              <w:rPr>
                <w:rFonts w:cstheme="majorBidi"/>
                <w:sz w:val="18"/>
                <w:szCs w:val="18"/>
              </w:rPr>
              <w:t>%Change</w:t>
            </w:r>
          </w:p>
        </w:tc>
        <w:tc>
          <w:tcPr>
            <w:tcW w:w="1250" w:type="dxa"/>
            <w:tcBorders>
              <w:top w:val="nil"/>
              <w:left w:val="nil"/>
              <w:bottom w:val="single" w:sz="4" w:space="0" w:color="auto"/>
              <w:right w:val="nil"/>
            </w:tcBorders>
          </w:tcPr>
          <w:p w14:paraId="562ECCD5" w14:textId="5382ECA1"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-0.270</w:t>
            </w:r>
          </w:p>
        </w:tc>
        <w:tc>
          <w:tcPr>
            <w:tcW w:w="1300" w:type="dxa"/>
            <w:tcBorders>
              <w:top w:val="nil"/>
              <w:left w:val="nil"/>
              <w:bottom w:val="single" w:sz="4" w:space="0" w:color="auto"/>
              <w:right w:val="nil"/>
            </w:tcBorders>
          </w:tcPr>
          <w:p w14:paraId="5C74EC02" w14:textId="60BCBE31"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0.148</w:t>
            </w:r>
          </w:p>
        </w:tc>
        <w:tc>
          <w:tcPr>
            <w:tcW w:w="1300" w:type="dxa"/>
            <w:tcBorders>
              <w:top w:val="nil"/>
              <w:left w:val="nil"/>
              <w:bottom w:val="single" w:sz="4" w:space="0" w:color="auto"/>
              <w:right w:val="nil"/>
            </w:tcBorders>
          </w:tcPr>
          <w:p w14:paraId="0C8EE065" w14:textId="43D9589C"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1.138</w:t>
            </w:r>
          </w:p>
        </w:tc>
        <w:tc>
          <w:tcPr>
            <w:tcW w:w="1300" w:type="dxa"/>
            <w:tcBorders>
              <w:top w:val="nil"/>
              <w:left w:val="nil"/>
              <w:bottom w:val="single" w:sz="4" w:space="0" w:color="auto"/>
              <w:right w:val="nil"/>
            </w:tcBorders>
          </w:tcPr>
          <w:p w14:paraId="60434A19" w14:textId="0429275A"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0.114</w:t>
            </w:r>
          </w:p>
        </w:tc>
        <w:tc>
          <w:tcPr>
            <w:tcW w:w="1300" w:type="dxa"/>
            <w:tcBorders>
              <w:top w:val="nil"/>
              <w:left w:val="nil"/>
              <w:bottom w:val="single" w:sz="4" w:space="0" w:color="auto"/>
              <w:right w:val="nil"/>
            </w:tcBorders>
          </w:tcPr>
          <w:p w14:paraId="107E7EE5" w14:textId="39D75088"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12.513</w:t>
            </w:r>
          </w:p>
        </w:tc>
        <w:tc>
          <w:tcPr>
            <w:tcW w:w="1300" w:type="dxa"/>
            <w:tcBorders>
              <w:top w:val="nil"/>
              <w:left w:val="nil"/>
              <w:bottom w:val="single" w:sz="4" w:space="0" w:color="auto"/>
              <w:right w:val="nil"/>
            </w:tcBorders>
          </w:tcPr>
          <w:p w14:paraId="5FD6DA8D" w14:textId="14394B06"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-0.319</w:t>
            </w:r>
          </w:p>
        </w:tc>
        <w:tc>
          <w:tcPr>
            <w:tcW w:w="1300" w:type="dxa"/>
            <w:tcBorders>
              <w:top w:val="nil"/>
              <w:left w:val="nil"/>
              <w:bottom w:val="single" w:sz="4" w:space="0" w:color="auto"/>
              <w:right w:val="nil"/>
            </w:tcBorders>
          </w:tcPr>
          <w:p w14:paraId="508B3860" w14:textId="74FFE1F2"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5.504</w:t>
            </w:r>
          </w:p>
        </w:tc>
      </w:tr>
      <w:tr w:rsidR="00015CEF" w:rsidRPr="0004264F" w14:paraId="57CAC8C3" w14:textId="77777777" w:rsidTr="009B5DB5">
        <w:trPr>
          <w:jc w:val="center"/>
        </w:trPr>
        <w:tc>
          <w:tcPr>
            <w:tcW w:w="2108" w:type="dxa"/>
            <w:tcBorders>
              <w:top w:val="single" w:sz="4" w:space="0" w:color="auto"/>
              <w:left w:val="nil"/>
              <w:bottom w:val="nil"/>
              <w:right w:val="nil"/>
            </w:tcBorders>
          </w:tcPr>
          <w:p w14:paraId="747A533E" w14:textId="0051789B" w:rsidR="00015CEF" w:rsidRPr="0004264F" w:rsidRDefault="00015CEF" w:rsidP="00015CEF">
            <w:pPr>
              <w:widowControl w:val="0"/>
              <w:autoSpaceDE w:val="0"/>
              <w:autoSpaceDN w:val="0"/>
              <w:adjustRightInd w:val="0"/>
              <w:spacing w:after="0"/>
              <w:rPr>
                <w:rFonts w:cstheme="majorBidi"/>
                <w:sz w:val="18"/>
                <w:szCs w:val="18"/>
              </w:rPr>
            </w:pPr>
            <w:r w:rsidRPr="0004264F">
              <w:rPr>
                <w:rFonts w:cstheme="majorBidi"/>
                <w:sz w:val="18"/>
                <w:szCs w:val="18"/>
              </w:rPr>
              <w:t>County FE</w:t>
            </w:r>
          </w:p>
        </w:tc>
        <w:tc>
          <w:tcPr>
            <w:tcW w:w="1250" w:type="dxa"/>
            <w:tcBorders>
              <w:top w:val="single" w:sz="4" w:space="0" w:color="auto"/>
              <w:left w:val="nil"/>
              <w:bottom w:val="nil"/>
              <w:right w:val="nil"/>
            </w:tcBorders>
            <w:vAlign w:val="center"/>
          </w:tcPr>
          <w:p w14:paraId="13D87AA5" w14:textId="178BE6AB"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single" w:sz="4" w:space="0" w:color="auto"/>
              <w:left w:val="nil"/>
              <w:bottom w:val="nil"/>
              <w:right w:val="nil"/>
            </w:tcBorders>
            <w:vAlign w:val="center"/>
          </w:tcPr>
          <w:p w14:paraId="72E5CF00" w14:textId="6D1CFB5F"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single" w:sz="4" w:space="0" w:color="auto"/>
              <w:left w:val="nil"/>
              <w:bottom w:val="nil"/>
              <w:right w:val="nil"/>
            </w:tcBorders>
            <w:vAlign w:val="center"/>
          </w:tcPr>
          <w:p w14:paraId="754322A4" w14:textId="0BE44FC5"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single" w:sz="4" w:space="0" w:color="auto"/>
              <w:left w:val="nil"/>
              <w:bottom w:val="nil"/>
              <w:right w:val="nil"/>
            </w:tcBorders>
            <w:vAlign w:val="center"/>
          </w:tcPr>
          <w:p w14:paraId="2B94E04B" w14:textId="50D4ED8A"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single" w:sz="4" w:space="0" w:color="auto"/>
              <w:left w:val="nil"/>
              <w:bottom w:val="nil"/>
              <w:right w:val="nil"/>
            </w:tcBorders>
            <w:vAlign w:val="center"/>
          </w:tcPr>
          <w:p w14:paraId="096D7AAF" w14:textId="13A9B116"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single" w:sz="4" w:space="0" w:color="auto"/>
              <w:left w:val="nil"/>
              <w:bottom w:val="nil"/>
              <w:right w:val="nil"/>
            </w:tcBorders>
            <w:vAlign w:val="center"/>
          </w:tcPr>
          <w:p w14:paraId="48085275" w14:textId="6FFB4652"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single" w:sz="4" w:space="0" w:color="auto"/>
              <w:left w:val="nil"/>
              <w:bottom w:val="nil"/>
              <w:right w:val="nil"/>
            </w:tcBorders>
            <w:vAlign w:val="center"/>
          </w:tcPr>
          <w:p w14:paraId="025025E7" w14:textId="15C5B3E0"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015CEF" w:rsidRPr="0004264F" w14:paraId="7E697BCB" w14:textId="77777777" w:rsidTr="009B5DB5">
        <w:trPr>
          <w:jc w:val="center"/>
        </w:trPr>
        <w:tc>
          <w:tcPr>
            <w:tcW w:w="2108" w:type="dxa"/>
            <w:tcBorders>
              <w:top w:val="nil"/>
              <w:left w:val="nil"/>
              <w:bottom w:val="nil"/>
              <w:right w:val="nil"/>
            </w:tcBorders>
          </w:tcPr>
          <w:p w14:paraId="1984C360" w14:textId="5C92440F" w:rsidR="00015CEF" w:rsidRPr="0004264F" w:rsidRDefault="001D4E8E" w:rsidP="00015CEF">
            <w:pPr>
              <w:widowControl w:val="0"/>
              <w:autoSpaceDE w:val="0"/>
              <w:autoSpaceDN w:val="0"/>
              <w:adjustRightInd w:val="0"/>
              <w:spacing w:after="0"/>
              <w:rPr>
                <w:rFonts w:cstheme="majorBidi"/>
                <w:sz w:val="18"/>
                <w:szCs w:val="18"/>
              </w:rPr>
            </w:pPr>
            <w:r w:rsidRPr="0004264F">
              <w:rPr>
                <w:rFonts w:cstheme="majorBidi"/>
                <w:sz w:val="18"/>
                <w:szCs w:val="18"/>
              </w:rPr>
              <w:t>SEA</w:t>
            </w:r>
            <w:r w:rsidR="00015CEF" w:rsidRPr="0004264F">
              <w:rPr>
                <w:rFonts w:cstheme="majorBidi"/>
                <w:sz w:val="18"/>
                <w:szCs w:val="18"/>
              </w:rPr>
              <w:t>-by-Birth-Year FE</w:t>
            </w:r>
          </w:p>
        </w:tc>
        <w:tc>
          <w:tcPr>
            <w:tcW w:w="1250" w:type="dxa"/>
            <w:tcBorders>
              <w:top w:val="nil"/>
              <w:left w:val="nil"/>
              <w:bottom w:val="nil"/>
              <w:right w:val="nil"/>
            </w:tcBorders>
            <w:vAlign w:val="center"/>
          </w:tcPr>
          <w:p w14:paraId="1547FEE3" w14:textId="7249C950"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nil"/>
              <w:left w:val="nil"/>
              <w:bottom w:val="nil"/>
              <w:right w:val="nil"/>
            </w:tcBorders>
            <w:vAlign w:val="center"/>
          </w:tcPr>
          <w:p w14:paraId="060A091C" w14:textId="13BD0869"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nil"/>
              <w:left w:val="nil"/>
              <w:bottom w:val="nil"/>
              <w:right w:val="nil"/>
            </w:tcBorders>
            <w:vAlign w:val="center"/>
          </w:tcPr>
          <w:p w14:paraId="4A0C24F4" w14:textId="55F871D8"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nil"/>
              <w:left w:val="nil"/>
              <w:bottom w:val="nil"/>
              <w:right w:val="nil"/>
            </w:tcBorders>
            <w:vAlign w:val="center"/>
          </w:tcPr>
          <w:p w14:paraId="4EF27DCE" w14:textId="3734532C"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nil"/>
              <w:left w:val="nil"/>
              <w:bottom w:val="nil"/>
              <w:right w:val="nil"/>
            </w:tcBorders>
            <w:vAlign w:val="center"/>
          </w:tcPr>
          <w:p w14:paraId="47D12785" w14:textId="6D678171"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nil"/>
              <w:left w:val="nil"/>
              <w:bottom w:val="nil"/>
              <w:right w:val="nil"/>
            </w:tcBorders>
            <w:vAlign w:val="center"/>
          </w:tcPr>
          <w:p w14:paraId="3DE5F16F" w14:textId="36DDD0AD"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300" w:type="dxa"/>
            <w:tcBorders>
              <w:top w:val="nil"/>
              <w:left w:val="nil"/>
              <w:bottom w:val="nil"/>
              <w:right w:val="nil"/>
            </w:tcBorders>
            <w:vAlign w:val="center"/>
          </w:tcPr>
          <w:p w14:paraId="396BFA2E" w14:textId="769B43CD" w:rsidR="00015CEF" w:rsidRPr="0004264F" w:rsidRDefault="00015CEF" w:rsidP="00015CEF">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015CEF" w:rsidRPr="0004264F" w14:paraId="7A4CEB87" w14:textId="77777777" w:rsidTr="00060936">
        <w:trPr>
          <w:trHeight w:val="465"/>
          <w:jc w:val="center"/>
        </w:trPr>
        <w:tc>
          <w:tcPr>
            <w:tcW w:w="11158" w:type="dxa"/>
            <w:gridSpan w:val="8"/>
            <w:tcBorders>
              <w:top w:val="single" w:sz="6" w:space="0" w:color="auto"/>
              <w:left w:val="nil"/>
              <w:right w:val="nil"/>
            </w:tcBorders>
          </w:tcPr>
          <w:p w14:paraId="765397B0" w14:textId="3B5EA7FC" w:rsidR="00015CEF" w:rsidRPr="0004264F" w:rsidRDefault="00015CEF" w:rsidP="00015CEF">
            <w:pPr>
              <w:widowControl w:val="0"/>
              <w:autoSpaceDE w:val="0"/>
              <w:autoSpaceDN w:val="0"/>
              <w:adjustRightInd w:val="0"/>
              <w:jc w:val="both"/>
              <w:rPr>
                <w:rFonts w:cstheme="majorBidi"/>
                <w:sz w:val="18"/>
                <w:szCs w:val="18"/>
              </w:rPr>
            </w:pPr>
            <w:r w:rsidRPr="0004264F">
              <w:rPr>
                <w:rFonts w:cstheme="majorBidi"/>
                <w:sz w:val="18"/>
                <w:szCs w:val="18"/>
              </w:rPr>
              <w:t xml:space="preserve">Notes. Standard errors, clustered at the county-level, are in parentheses. The regressions are weighted using county-level mean of population over the sample period. The “%Change” values are calculated using the estimated marginal effects of row 1 divided by the mean of dependent variables reported in row 4. </w:t>
            </w:r>
          </w:p>
          <w:p w14:paraId="468029B3" w14:textId="3CCE151C" w:rsidR="00015CEF" w:rsidRPr="0004264F" w:rsidRDefault="00015CEF" w:rsidP="00015CEF">
            <w:pPr>
              <w:widowControl w:val="0"/>
              <w:autoSpaceDE w:val="0"/>
              <w:autoSpaceDN w:val="0"/>
              <w:adjustRightInd w:val="0"/>
              <w:jc w:val="both"/>
              <w:rPr>
                <w:rFonts w:cstheme="majorBidi"/>
                <w:i/>
                <w:iCs/>
                <w:sz w:val="18"/>
                <w:szCs w:val="18"/>
              </w:rPr>
            </w:pPr>
            <w:r w:rsidRPr="0004264F">
              <w:rPr>
                <w:rFonts w:cstheme="majorBidi"/>
                <w:sz w:val="18"/>
                <w:szCs w:val="18"/>
              </w:rPr>
              <w:t>*** p&lt;0.01, ** p&lt;0.05, * p&lt;0.1</w:t>
            </w:r>
          </w:p>
          <w:p w14:paraId="4DD833ED" w14:textId="551CA203" w:rsidR="00015CEF" w:rsidRPr="0004264F" w:rsidRDefault="00015CEF" w:rsidP="00015CEF">
            <w:pPr>
              <w:widowControl w:val="0"/>
              <w:autoSpaceDE w:val="0"/>
              <w:autoSpaceDN w:val="0"/>
              <w:adjustRightInd w:val="0"/>
              <w:jc w:val="both"/>
              <w:rPr>
                <w:rFonts w:cstheme="majorBidi"/>
                <w:i/>
                <w:iCs/>
                <w:sz w:val="18"/>
                <w:szCs w:val="18"/>
              </w:rPr>
            </w:pPr>
          </w:p>
        </w:tc>
      </w:tr>
      <w:tr w:rsidR="00015CEF" w:rsidRPr="0004264F" w14:paraId="231182C3" w14:textId="77777777" w:rsidTr="00060936">
        <w:trPr>
          <w:jc w:val="center"/>
        </w:trPr>
        <w:tc>
          <w:tcPr>
            <w:tcW w:w="11158" w:type="dxa"/>
            <w:gridSpan w:val="8"/>
            <w:tcBorders>
              <w:top w:val="nil"/>
              <w:left w:val="nil"/>
              <w:bottom w:val="nil"/>
              <w:right w:val="nil"/>
            </w:tcBorders>
          </w:tcPr>
          <w:p w14:paraId="609A85F2" w14:textId="77777777" w:rsidR="00015CEF" w:rsidRPr="0004264F" w:rsidRDefault="00015CEF" w:rsidP="00015CEF">
            <w:pPr>
              <w:widowControl w:val="0"/>
              <w:autoSpaceDE w:val="0"/>
              <w:autoSpaceDN w:val="0"/>
              <w:adjustRightInd w:val="0"/>
              <w:spacing w:after="0"/>
              <w:rPr>
                <w:rFonts w:cstheme="majorBidi"/>
                <w:sz w:val="18"/>
                <w:szCs w:val="18"/>
              </w:rPr>
            </w:pPr>
          </w:p>
        </w:tc>
      </w:tr>
    </w:tbl>
    <w:p w14:paraId="3B48BC79" w14:textId="77777777" w:rsidR="003814E8" w:rsidRPr="0004264F" w:rsidRDefault="003814E8" w:rsidP="00F32C69">
      <w:pPr>
        <w:rPr>
          <w:rFonts w:cstheme="majorBidi"/>
          <w:b/>
          <w:bCs/>
          <w:sz w:val="20"/>
          <w:szCs w:val="20"/>
        </w:rPr>
        <w:sectPr w:rsidR="003814E8" w:rsidRPr="0004264F" w:rsidSect="002C1AE9">
          <w:pgSz w:w="15840" w:h="12240" w:orient="landscape" w:code="1"/>
          <w:pgMar w:top="1440" w:right="1440" w:bottom="1440" w:left="1440" w:header="720" w:footer="720" w:gutter="0"/>
          <w:cols w:space="720"/>
          <w:docGrid w:linePitch="360"/>
        </w:sectPr>
      </w:pPr>
    </w:p>
    <w:p w14:paraId="0CCFD562" w14:textId="132DFB39" w:rsidR="00204C5C" w:rsidRPr="0004264F" w:rsidRDefault="00204C5C" w:rsidP="00F32C69">
      <w:pPr>
        <w:rPr>
          <w:rFonts w:cstheme="majorBidi"/>
          <w:b/>
          <w:bCs/>
          <w:sz w:val="20"/>
          <w:szCs w:val="20"/>
        </w:rPr>
      </w:pPr>
    </w:p>
    <w:p w14:paraId="660B859B" w14:textId="7FB1EFAE" w:rsidR="003814E8" w:rsidRPr="0004264F" w:rsidRDefault="003814E8" w:rsidP="00F32C69">
      <w:pPr>
        <w:rPr>
          <w:rFonts w:cstheme="majorBidi"/>
          <w:b/>
          <w:bCs/>
          <w:sz w:val="20"/>
          <w:szCs w:val="20"/>
        </w:rPr>
      </w:pPr>
    </w:p>
    <w:p w14:paraId="6844E80F" w14:textId="481F7207" w:rsidR="003814E8" w:rsidRPr="0004264F" w:rsidRDefault="003814E8" w:rsidP="00F32C69">
      <w:pPr>
        <w:rPr>
          <w:rFonts w:cstheme="majorBidi"/>
          <w:b/>
          <w:bCs/>
          <w:sz w:val="20"/>
          <w:szCs w:val="20"/>
        </w:rPr>
      </w:pPr>
    </w:p>
    <w:p w14:paraId="3010D259" w14:textId="433AA8B0" w:rsidR="00A40567" w:rsidRPr="0004264F" w:rsidRDefault="00A40567" w:rsidP="00A40567">
      <w:pPr>
        <w:pStyle w:val="Caption"/>
        <w:keepNext/>
        <w:bidi w:val="0"/>
        <w:rPr>
          <w:rFonts w:cstheme="majorBidi"/>
        </w:rPr>
      </w:pPr>
    </w:p>
    <w:p w14:paraId="4A81D572" w14:textId="31069BD9" w:rsidR="009A0366" w:rsidRPr="0004264F" w:rsidRDefault="009A0366" w:rsidP="009A0366">
      <w:pPr>
        <w:pStyle w:val="Caption"/>
        <w:keepNext/>
        <w:bidi w:val="0"/>
        <w:rPr>
          <w:rFonts w:cstheme="majorBidi"/>
        </w:rPr>
      </w:pPr>
      <w:bookmarkStart w:id="13" w:name="_Ref111244115"/>
      <w:r w:rsidRPr="0004264F">
        <w:rPr>
          <w:rFonts w:cstheme="majorBidi"/>
        </w:rPr>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3</w:t>
      </w:r>
      <w:r w:rsidRPr="0004264F">
        <w:rPr>
          <w:rFonts w:cstheme="majorBidi"/>
          <w:noProof/>
        </w:rPr>
        <w:fldChar w:fldCharType="end"/>
      </w:r>
      <w:bookmarkEnd w:id="13"/>
      <w:r w:rsidRPr="0004264F">
        <w:rPr>
          <w:rFonts w:cstheme="majorBidi"/>
        </w:rPr>
        <w:t xml:space="preserve"> - The Correlation between Successful Merging of DMF-Census data and Per Capita Deposits</w:t>
      </w:r>
    </w:p>
    <w:tbl>
      <w:tblPr>
        <w:tblStyle w:val="TableGrid"/>
        <w:tblW w:w="9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816"/>
        <w:gridCol w:w="1816"/>
        <w:gridCol w:w="1816"/>
        <w:gridCol w:w="1803"/>
      </w:tblGrid>
      <w:tr w:rsidR="00845539" w:rsidRPr="0004264F" w14:paraId="10F3B73D" w14:textId="36C91D7F" w:rsidTr="001D4E8E">
        <w:trPr>
          <w:trHeight w:val="245"/>
          <w:jc w:val="center"/>
        </w:trPr>
        <w:tc>
          <w:tcPr>
            <w:tcW w:w="1776" w:type="dxa"/>
            <w:tcBorders>
              <w:top w:val="single" w:sz="4" w:space="0" w:color="auto"/>
            </w:tcBorders>
            <w:vAlign w:val="center"/>
          </w:tcPr>
          <w:p w14:paraId="204221AB" w14:textId="77777777" w:rsidR="00845539" w:rsidRPr="0004264F" w:rsidRDefault="00845539" w:rsidP="00A40567">
            <w:pPr>
              <w:rPr>
                <w:rFonts w:cstheme="majorBidi"/>
                <w:sz w:val="20"/>
                <w:szCs w:val="20"/>
              </w:rPr>
            </w:pPr>
          </w:p>
        </w:tc>
        <w:tc>
          <w:tcPr>
            <w:tcW w:w="7251" w:type="dxa"/>
            <w:gridSpan w:val="4"/>
            <w:tcBorders>
              <w:top w:val="single" w:sz="4" w:space="0" w:color="auto"/>
              <w:bottom w:val="single" w:sz="4" w:space="0" w:color="auto"/>
            </w:tcBorders>
            <w:vAlign w:val="center"/>
          </w:tcPr>
          <w:p w14:paraId="5C7D56AB" w14:textId="52322ADC" w:rsidR="00845539" w:rsidRPr="0004264F" w:rsidRDefault="00845539" w:rsidP="00A40567">
            <w:pPr>
              <w:jc w:val="center"/>
              <w:rPr>
                <w:rFonts w:cstheme="majorBidi"/>
                <w:b/>
                <w:bCs/>
                <w:i/>
                <w:iCs/>
                <w:sz w:val="20"/>
                <w:szCs w:val="20"/>
              </w:rPr>
            </w:pPr>
            <w:r w:rsidRPr="0004264F">
              <w:rPr>
                <w:rFonts w:cstheme="majorBidi"/>
                <w:b/>
                <w:bCs/>
                <w:i/>
                <w:iCs/>
                <w:sz w:val="20"/>
                <w:szCs w:val="20"/>
              </w:rPr>
              <w:t xml:space="preserve">Outcome: Successful </w:t>
            </w:r>
            <w:r w:rsidR="00991D54" w:rsidRPr="0004264F">
              <w:rPr>
                <w:rFonts w:cstheme="majorBidi"/>
                <w:b/>
                <w:bCs/>
                <w:i/>
                <w:iCs/>
                <w:sz w:val="20"/>
                <w:szCs w:val="20"/>
              </w:rPr>
              <w:t>DMF</w:t>
            </w:r>
            <w:r w:rsidRPr="0004264F">
              <w:rPr>
                <w:rFonts w:cstheme="majorBidi"/>
                <w:b/>
                <w:bCs/>
                <w:i/>
                <w:iCs/>
                <w:sz w:val="20"/>
                <w:szCs w:val="20"/>
              </w:rPr>
              <w:t>-1940-Census Merging; Subsamples:</w:t>
            </w:r>
          </w:p>
        </w:tc>
      </w:tr>
      <w:tr w:rsidR="00845539" w:rsidRPr="0004264F" w14:paraId="64E7B9F5" w14:textId="4F72CD8A" w:rsidTr="001D4E8E">
        <w:trPr>
          <w:trHeight w:val="245"/>
          <w:jc w:val="center"/>
        </w:trPr>
        <w:tc>
          <w:tcPr>
            <w:tcW w:w="1776" w:type="dxa"/>
            <w:vAlign w:val="center"/>
          </w:tcPr>
          <w:p w14:paraId="70C967D7" w14:textId="77777777" w:rsidR="00845539" w:rsidRPr="0004264F" w:rsidRDefault="00845539" w:rsidP="00A40567">
            <w:pPr>
              <w:rPr>
                <w:rFonts w:cstheme="majorBidi"/>
                <w:sz w:val="20"/>
                <w:szCs w:val="20"/>
              </w:rPr>
            </w:pPr>
          </w:p>
        </w:tc>
        <w:tc>
          <w:tcPr>
            <w:tcW w:w="1816" w:type="dxa"/>
            <w:tcBorders>
              <w:top w:val="single" w:sz="4" w:space="0" w:color="auto"/>
              <w:bottom w:val="single" w:sz="4" w:space="0" w:color="auto"/>
            </w:tcBorders>
            <w:vAlign w:val="center"/>
          </w:tcPr>
          <w:p w14:paraId="79A18449" w14:textId="302B1C24" w:rsidR="00845539" w:rsidRPr="0004264F" w:rsidRDefault="00845539" w:rsidP="00A40567">
            <w:pPr>
              <w:jc w:val="center"/>
              <w:rPr>
                <w:rFonts w:cstheme="majorBidi"/>
                <w:sz w:val="20"/>
                <w:szCs w:val="20"/>
              </w:rPr>
            </w:pPr>
            <w:r w:rsidRPr="0004264F">
              <w:rPr>
                <w:rFonts w:cstheme="majorBidi"/>
                <w:sz w:val="20"/>
                <w:szCs w:val="20"/>
              </w:rPr>
              <w:t>Full Sample</w:t>
            </w:r>
          </w:p>
        </w:tc>
        <w:tc>
          <w:tcPr>
            <w:tcW w:w="1816" w:type="dxa"/>
            <w:tcBorders>
              <w:top w:val="single" w:sz="4" w:space="0" w:color="auto"/>
              <w:bottom w:val="single" w:sz="4" w:space="0" w:color="auto"/>
            </w:tcBorders>
            <w:vAlign w:val="center"/>
          </w:tcPr>
          <w:p w14:paraId="445CD4FD" w14:textId="34626A5F" w:rsidR="00845539" w:rsidRPr="0004264F" w:rsidRDefault="00845539" w:rsidP="00A40567">
            <w:pPr>
              <w:jc w:val="center"/>
              <w:rPr>
                <w:rFonts w:cstheme="majorBidi"/>
                <w:sz w:val="20"/>
                <w:szCs w:val="20"/>
              </w:rPr>
            </w:pPr>
            <w:r w:rsidRPr="0004264F">
              <w:rPr>
                <w:rFonts w:cstheme="majorBidi"/>
                <w:sz w:val="20"/>
                <w:szCs w:val="20"/>
              </w:rPr>
              <w:t>Whites</w:t>
            </w:r>
          </w:p>
        </w:tc>
        <w:tc>
          <w:tcPr>
            <w:tcW w:w="1816" w:type="dxa"/>
            <w:tcBorders>
              <w:top w:val="single" w:sz="4" w:space="0" w:color="auto"/>
              <w:bottom w:val="single" w:sz="4" w:space="0" w:color="auto"/>
            </w:tcBorders>
            <w:vAlign w:val="center"/>
          </w:tcPr>
          <w:p w14:paraId="3863BA1D" w14:textId="69A31375" w:rsidR="00845539" w:rsidRPr="0004264F" w:rsidRDefault="00845539" w:rsidP="00A40567">
            <w:pPr>
              <w:jc w:val="center"/>
              <w:rPr>
                <w:rFonts w:cstheme="majorBidi"/>
                <w:sz w:val="20"/>
                <w:szCs w:val="20"/>
              </w:rPr>
            </w:pPr>
            <w:r w:rsidRPr="0004264F">
              <w:rPr>
                <w:rFonts w:cstheme="majorBidi"/>
                <w:sz w:val="20"/>
                <w:szCs w:val="20"/>
              </w:rPr>
              <w:t>Mother Education less than High School</w:t>
            </w:r>
          </w:p>
        </w:tc>
        <w:tc>
          <w:tcPr>
            <w:tcW w:w="1803" w:type="dxa"/>
            <w:tcBorders>
              <w:top w:val="single" w:sz="4" w:space="0" w:color="auto"/>
              <w:bottom w:val="single" w:sz="4" w:space="0" w:color="auto"/>
            </w:tcBorders>
          </w:tcPr>
          <w:p w14:paraId="024404CC" w14:textId="7AF30C6F" w:rsidR="00845539" w:rsidRPr="0004264F" w:rsidRDefault="00845539" w:rsidP="00A40567">
            <w:pPr>
              <w:jc w:val="center"/>
              <w:rPr>
                <w:rFonts w:cstheme="majorBidi"/>
                <w:sz w:val="20"/>
                <w:szCs w:val="20"/>
              </w:rPr>
            </w:pPr>
            <w:r w:rsidRPr="0004264F">
              <w:rPr>
                <w:rFonts w:cstheme="majorBidi"/>
                <w:sz w:val="20"/>
                <w:szCs w:val="20"/>
              </w:rPr>
              <w:t>Father’s SEI below Median</w:t>
            </w:r>
          </w:p>
        </w:tc>
      </w:tr>
      <w:tr w:rsidR="00845539" w:rsidRPr="0004264F" w14:paraId="05DCEDE3" w14:textId="0678BB89" w:rsidTr="001D4E8E">
        <w:trPr>
          <w:trHeight w:val="245"/>
          <w:jc w:val="center"/>
        </w:trPr>
        <w:tc>
          <w:tcPr>
            <w:tcW w:w="1776" w:type="dxa"/>
            <w:tcBorders>
              <w:bottom w:val="single" w:sz="4" w:space="0" w:color="auto"/>
            </w:tcBorders>
            <w:vAlign w:val="center"/>
          </w:tcPr>
          <w:p w14:paraId="28D5DA86" w14:textId="77777777" w:rsidR="00845539" w:rsidRPr="0004264F" w:rsidRDefault="00845539" w:rsidP="00A40567">
            <w:pPr>
              <w:rPr>
                <w:rFonts w:cstheme="majorBidi"/>
                <w:sz w:val="20"/>
                <w:szCs w:val="20"/>
              </w:rPr>
            </w:pPr>
          </w:p>
        </w:tc>
        <w:tc>
          <w:tcPr>
            <w:tcW w:w="1816" w:type="dxa"/>
            <w:tcBorders>
              <w:top w:val="single" w:sz="4" w:space="0" w:color="auto"/>
              <w:bottom w:val="single" w:sz="4" w:space="0" w:color="auto"/>
            </w:tcBorders>
            <w:vAlign w:val="center"/>
          </w:tcPr>
          <w:p w14:paraId="2F2D1D73" w14:textId="7CB76219" w:rsidR="00845539" w:rsidRPr="0004264F" w:rsidRDefault="00845539" w:rsidP="00A40567">
            <w:pPr>
              <w:jc w:val="center"/>
              <w:rPr>
                <w:rFonts w:cstheme="majorBidi"/>
                <w:sz w:val="20"/>
                <w:szCs w:val="20"/>
              </w:rPr>
            </w:pPr>
            <w:r w:rsidRPr="0004264F">
              <w:rPr>
                <w:rFonts w:cstheme="majorBidi"/>
                <w:sz w:val="20"/>
                <w:szCs w:val="20"/>
              </w:rPr>
              <w:t>(1)</w:t>
            </w:r>
          </w:p>
        </w:tc>
        <w:tc>
          <w:tcPr>
            <w:tcW w:w="1816" w:type="dxa"/>
            <w:tcBorders>
              <w:top w:val="single" w:sz="4" w:space="0" w:color="auto"/>
              <w:bottom w:val="single" w:sz="4" w:space="0" w:color="auto"/>
            </w:tcBorders>
            <w:vAlign w:val="center"/>
          </w:tcPr>
          <w:p w14:paraId="70CF854A" w14:textId="223B5936" w:rsidR="00845539" w:rsidRPr="0004264F" w:rsidRDefault="00845539" w:rsidP="00A40567">
            <w:pPr>
              <w:jc w:val="center"/>
              <w:rPr>
                <w:rFonts w:cstheme="majorBidi"/>
                <w:sz w:val="20"/>
                <w:szCs w:val="20"/>
              </w:rPr>
            </w:pPr>
            <w:r w:rsidRPr="0004264F">
              <w:rPr>
                <w:rFonts w:cstheme="majorBidi"/>
                <w:sz w:val="20"/>
                <w:szCs w:val="20"/>
              </w:rPr>
              <w:t>(2)</w:t>
            </w:r>
          </w:p>
        </w:tc>
        <w:tc>
          <w:tcPr>
            <w:tcW w:w="1816" w:type="dxa"/>
            <w:tcBorders>
              <w:top w:val="single" w:sz="4" w:space="0" w:color="auto"/>
              <w:bottom w:val="single" w:sz="4" w:space="0" w:color="auto"/>
            </w:tcBorders>
            <w:vAlign w:val="center"/>
          </w:tcPr>
          <w:p w14:paraId="643950C8" w14:textId="59DA42DC" w:rsidR="00845539" w:rsidRPr="0004264F" w:rsidRDefault="00845539" w:rsidP="00A40567">
            <w:pPr>
              <w:jc w:val="center"/>
              <w:rPr>
                <w:rFonts w:cstheme="majorBidi"/>
                <w:sz w:val="20"/>
                <w:szCs w:val="20"/>
              </w:rPr>
            </w:pPr>
            <w:r w:rsidRPr="0004264F">
              <w:rPr>
                <w:rFonts w:cstheme="majorBidi"/>
                <w:sz w:val="20"/>
                <w:szCs w:val="20"/>
              </w:rPr>
              <w:t>(3)</w:t>
            </w:r>
          </w:p>
        </w:tc>
        <w:tc>
          <w:tcPr>
            <w:tcW w:w="1803" w:type="dxa"/>
            <w:tcBorders>
              <w:top w:val="single" w:sz="4" w:space="0" w:color="auto"/>
              <w:bottom w:val="single" w:sz="4" w:space="0" w:color="auto"/>
            </w:tcBorders>
          </w:tcPr>
          <w:p w14:paraId="60BF3DCD" w14:textId="4F4BE66C" w:rsidR="00845539" w:rsidRPr="0004264F" w:rsidRDefault="00845539" w:rsidP="00A40567">
            <w:pPr>
              <w:jc w:val="center"/>
              <w:rPr>
                <w:rFonts w:cstheme="majorBidi"/>
                <w:sz w:val="20"/>
                <w:szCs w:val="20"/>
              </w:rPr>
            </w:pPr>
            <w:r w:rsidRPr="0004264F">
              <w:rPr>
                <w:rFonts w:cstheme="majorBidi"/>
                <w:sz w:val="20"/>
                <w:szCs w:val="20"/>
              </w:rPr>
              <w:t>(4)</w:t>
            </w:r>
          </w:p>
        </w:tc>
      </w:tr>
      <w:tr w:rsidR="00B62A43" w:rsidRPr="0004264F" w14:paraId="2F38A25C" w14:textId="23B2D9CD" w:rsidTr="009B5DB5">
        <w:trPr>
          <w:trHeight w:val="245"/>
          <w:jc w:val="center"/>
        </w:trPr>
        <w:tc>
          <w:tcPr>
            <w:tcW w:w="1776" w:type="dxa"/>
            <w:vMerge w:val="restart"/>
            <w:tcBorders>
              <w:top w:val="single" w:sz="4" w:space="0" w:color="auto"/>
            </w:tcBorders>
            <w:vAlign w:val="center"/>
          </w:tcPr>
          <w:p w14:paraId="079EE028" w14:textId="67DB80E8" w:rsidR="00B62A43" w:rsidRPr="0004264F" w:rsidRDefault="00B62A43" w:rsidP="00B62A43">
            <w:pPr>
              <w:widowControl w:val="0"/>
              <w:autoSpaceDE w:val="0"/>
              <w:autoSpaceDN w:val="0"/>
              <w:adjustRightInd w:val="0"/>
              <w:rPr>
                <w:rFonts w:cstheme="majorBidi"/>
                <w:sz w:val="20"/>
                <w:szCs w:val="20"/>
              </w:rPr>
            </w:pPr>
            <w:r w:rsidRPr="0004264F">
              <w:rPr>
                <w:rFonts w:cstheme="majorBidi"/>
                <w:sz w:val="20"/>
                <w:szCs w:val="20"/>
              </w:rPr>
              <w:t>Deposits per Capita (STD)</w:t>
            </w:r>
          </w:p>
        </w:tc>
        <w:tc>
          <w:tcPr>
            <w:tcW w:w="1816" w:type="dxa"/>
            <w:tcBorders>
              <w:top w:val="single" w:sz="4" w:space="0" w:color="auto"/>
            </w:tcBorders>
          </w:tcPr>
          <w:p w14:paraId="750A04F7" w14:textId="2F8E86BA" w:rsidR="00B62A43" w:rsidRPr="0004264F" w:rsidRDefault="00B62A43" w:rsidP="00B62A43">
            <w:pPr>
              <w:jc w:val="center"/>
              <w:rPr>
                <w:rFonts w:cstheme="majorBidi"/>
                <w:sz w:val="20"/>
                <w:szCs w:val="20"/>
              </w:rPr>
            </w:pPr>
            <w:r w:rsidRPr="0004264F">
              <w:rPr>
                <w:rFonts w:cstheme="majorBidi"/>
                <w:sz w:val="20"/>
                <w:szCs w:val="20"/>
              </w:rPr>
              <w:t>.00008</w:t>
            </w:r>
          </w:p>
        </w:tc>
        <w:tc>
          <w:tcPr>
            <w:tcW w:w="1816" w:type="dxa"/>
            <w:tcBorders>
              <w:top w:val="single" w:sz="4" w:space="0" w:color="auto"/>
            </w:tcBorders>
          </w:tcPr>
          <w:p w14:paraId="1C6D7EE7" w14:textId="09D36A09" w:rsidR="00B62A43" w:rsidRPr="0004264F" w:rsidRDefault="00B62A43" w:rsidP="00B62A43">
            <w:pPr>
              <w:jc w:val="center"/>
              <w:rPr>
                <w:rFonts w:cstheme="majorBidi"/>
                <w:sz w:val="20"/>
                <w:szCs w:val="20"/>
              </w:rPr>
            </w:pPr>
            <w:r w:rsidRPr="0004264F">
              <w:rPr>
                <w:rFonts w:cstheme="majorBidi"/>
                <w:sz w:val="20"/>
                <w:szCs w:val="20"/>
              </w:rPr>
              <w:t>.00007</w:t>
            </w:r>
          </w:p>
        </w:tc>
        <w:tc>
          <w:tcPr>
            <w:tcW w:w="1816" w:type="dxa"/>
            <w:tcBorders>
              <w:top w:val="single" w:sz="4" w:space="0" w:color="auto"/>
            </w:tcBorders>
          </w:tcPr>
          <w:p w14:paraId="2FAA3178" w14:textId="0E97944B" w:rsidR="00B62A43" w:rsidRPr="0004264F" w:rsidRDefault="00B62A43" w:rsidP="00B62A43">
            <w:pPr>
              <w:jc w:val="center"/>
              <w:rPr>
                <w:rFonts w:cstheme="majorBidi"/>
                <w:sz w:val="20"/>
                <w:szCs w:val="20"/>
              </w:rPr>
            </w:pPr>
            <w:r w:rsidRPr="0004264F">
              <w:rPr>
                <w:rFonts w:cstheme="majorBidi"/>
                <w:sz w:val="20"/>
                <w:szCs w:val="20"/>
              </w:rPr>
              <w:t>-.00006</w:t>
            </w:r>
          </w:p>
        </w:tc>
        <w:tc>
          <w:tcPr>
            <w:tcW w:w="1803" w:type="dxa"/>
            <w:tcBorders>
              <w:top w:val="single" w:sz="4" w:space="0" w:color="auto"/>
            </w:tcBorders>
          </w:tcPr>
          <w:p w14:paraId="1F5A4D17" w14:textId="6820BD7C" w:rsidR="00B62A43" w:rsidRPr="0004264F" w:rsidRDefault="00B62A43" w:rsidP="00B62A43">
            <w:pPr>
              <w:jc w:val="center"/>
              <w:rPr>
                <w:rFonts w:cstheme="majorBidi"/>
                <w:sz w:val="20"/>
                <w:szCs w:val="20"/>
              </w:rPr>
            </w:pPr>
            <w:r w:rsidRPr="0004264F">
              <w:rPr>
                <w:rFonts w:cstheme="majorBidi"/>
                <w:sz w:val="20"/>
                <w:szCs w:val="20"/>
              </w:rPr>
              <w:t>.00011</w:t>
            </w:r>
          </w:p>
        </w:tc>
      </w:tr>
      <w:tr w:rsidR="00B62A43" w:rsidRPr="0004264F" w14:paraId="7A1F96DB" w14:textId="664C26FF" w:rsidTr="001D4E8E">
        <w:trPr>
          <w:trHeight w:val="260"/>
          <w:jc w:val="center"/>
        </w:trPr>
        <w:tc>
          <w:tcPr>
            <w:tcW w:w="1776" w:type="dxa"/>
            <w:vMerge/>
            <w:vAlign w:val="center"/>
          </w:tcPr>
          <w:p w14:paraId="2AB96E21" w14:textId="77777777" w:rsidR="00B62A43" w:rsidRPr="0004264F" w:rsidRDefault="00B62A43" w:rsidP="00B62A43">
            <w:pPr>
              <w:rPr>
                <w:rFonts w:cstheme="majorBidi"/>
                <w:sz w:val="20"/>
                <w:szCs w:val="20"/>
              </w:rPr>
            </w:pPr>
          </w:p>
        </w:tc>
        <w:tc>
          <w:tcPr>
            <w:tcW w:w="1816" w:type="dxa"/>
          </w:tcPr>
          <w:p w14:paraId="26C29F23" w14:textId="4B123FBF" w:rsidR="00B62A43" w:rsidRPr="0004264F" w:rsidRDefault="00B62A43" w:rsidP="00B62A43">
            <w:pPr>
              <w:jc w:val="center"/>
              <w:rPr>
                <w:rFonts w:cstheme="majorBidi"/>
                <w:sz w:val="20"/>
                <w:szCs w:val="20"/>
              </w:rPr>
            </w:pPr>
            <w:r w:rsidRPr="0004264F">
              <w:rPr>
                <w:rFonts w:cstheme="majorBidi"/>
                <w:sz w:val="20"/>
                <w:szCs w:val="20"/>
              </w:rPr>
              <w:t>(.00009)</w:t>
            </w:r>
          </w:p>
        </w:tc>
        <w:tc>
          <w:tcPr>
            <w:tcW w:w="1816" w:type="dxa"/>
          </w:tcPr>
          <w:p w14:paraId="135FCF92" w14:textId="16246C57" w:rsidR="00B62A43" w:rsidRPr="0004264F" w:rsidRDefault="00B62A43" w:rsidP="00B62A43">
            <w:pPr>
              <w:jc w:val="center"/>
              <w:rPr>
                <w:rFonts w:cstheme="majorBidi"/>
                <w:sz w:val="20"/>
                <w:szCs w:val="20"/>
              </w:rPr>
            </w:pPr>
            <w:r w:rsidRPr="0004264F">
              <w:rPr>
                <w:rFonts w:cstheme="majorBidi"/>
                <w:sz w:val="20"/>
                <w:szCs w:val="20"/>
              </w:rPr>
              <w:t>(.00009)</w:t>
            </w:r>
          </w:p>
        </w:tc>
        <w:tc>
          <w:tcPr>
            <w:tcW w:w="1816" w:type="dxa"/>
          </w:tcPr>
          <w:p w14:paraId="5DAABCF3" w14:textId="0E5CF2F1" w:rsidR="00B62A43" w:rsidRPr="0004264F" w:rsidRDefault="00B62A43" w:rsidP="00B62A43">
            <w:pPr>
              <w:jc w:val="center"/>
              <w:rPr>
                <w:rFonts w:cstheme="majorBidi"/>
                <w:sz w:val="20"/>
                <w:szCs w:val="20"/>
              </w:rPr>
            </w:pPr>
            <w:r w:rsidRPr="0004264F">
              <w:rPr>
                <w:rFonts w:cstheme="majorBidi"/>
                <w:sz w:val="20"/>
                <w:szCs w:val="20"/>
              </w:rPr>
              <w:t>(.00013)</w:t>
            </w:r>
          </w:p>
        </w:tc>
        <w:tc>
          <w:tcPr>
            <w:tcW w:w="1803" w:type="dxa"/>
          </w:tcPr>
          <w:p w14:paraId="1280F4F5" w14:textId="1EE0B6E8" w:rsidR="00B62A43" w:rsidRPr="0004264F" w:rsidRDefault="00B62A43" w:rsidP="00B62A43">
            <w:pPr>
              <w:jc w:val="center"/>
              <w:rPr>
                <w:rFonts w:cstheme="majorBidi"/>
                <w:sz w:val="20"/>
                <w:szCs w:val="20"/>
              </w:rPr>
            </w:pPr>
            <w:r w:rsidRPr="0004264F">
              <w:rPr>
                <w:rFonts w:cstheme="majorBidi"/>
                <w:sz w:val="20"/>
                <w:szCs w:val="20"/>
              </w:rPr>
              <w:t>(.00009)</w:t>
            </w:r>
          </w:p>
        </w:tc>
      </w:tr>
      <w:tr w:rsidR="00B62A43" w:rsidRPr="0004264F" w14:paraId="20C1EE5C" w14:textId="78421931" w:rsidTr="001D4E8E">
        <w:trPr>
          <w:trHeight w:val="245"/>
          <w:jc w:val="center"/>
        </w:trPr>
        <w:tc>
          <w:tcPr>
            <w:tcW w:w="1776" w:type="dxa"/>
            <w:vAlign w:val="center"/>
          </w:tcPr>
          <w:p w14:paraId="28EB54EF" w14:textId="5ACE3506" w:rsidR="00B62A43" w:rsidRPr="0004264F" w:rsidRDefault="00B62A43" w:rsidP="00B62A43">
            <w:pPr>
              <w:rPr>
                <w:rFonts w:cstheme="majorBidi"/>
                <w:sz w:val="20"/>
                <w:szCs w:val="20"/>
              </w:rPr>
            </w:pPr>
            <w:r w:rsidRPr="0004264F">
              <w:rPr>
                <w:rFonts w:cstheme="majorBidi"/>
                <w:sz w:val="20"/>
                <w:szCs w:val="20"/>
              </w:rPr>
              <w:t>Observations</w:t>
            </w:r>
          </w:p>
        </w:tc>
        <w:tc>
          <w:tcPr>
            <w:tcW w:w="1816" w:type="dxa"/>
          </w:tcPr>
          <w:p w14:paraId="67261496" w14:textId="2DD5B454" w:rsidR="00B62A43" w:rsidRPr="0004264F" w:rsidRDefault="00B62A43" w:rsidP="00B62A43">
            <w:pPr>
              <w:jc w:val="center"/>
              <w:rPr>
                <w:rFonts w:cstheme="majorBidi"/>
                <w:sz w:val="20"/>
                <w:szCs w:val="20"/>
              </w:rPr>
            </w:pPr>
            <w:r w:rsidRPr="0004264F">
              <w:rPr>
                <w:rFonts w:cstheme="majorBidi"/>
                <w:sz w:val="20"/>
                <w:szCs w:val="20"/>
              </w:rPr>
              <w:t>22285131</w:t>
            </w:r>
          </w:p>
        </w:tc>
        <w:tc>
          <w:tcPr>
            <w:tcW w:w="1816" w:type="dxa"/>
          </w:tcPr>
          <w:p w14:paraId="3AF0AE70" w14:textId="7A73D061" w:rsidR="00B62A43" w:rsidRPr="0004264F" w:rsidRDefault="00B62A43" w:rsidP="00B62A43">
            <w:pPr>
              <w:jc w:val="center"/>
              <w:rPr>
                <w:rFonts w:cstheme="majorBidi"/>
                <w:sz w:val="20"/>
                <w:szCs w:val="20"/>
              </w:rPr>
            </w:pPr>
            <w:r w:rsidRPr="0004264F">
              <w:rPr>
                <w:rFonts w:cstheme="majorBidi"/>
                <w:sz w:val="20"/>
                <w:szCs w:val="20"/>
              </w:rPr>
              <w:t>19603408</w:t>
            </w:r>
          </w:p>
        </w:tc>
        <w:tc>
          <w:tcPr>
            <w:tcW w:w="1816" w:type="dxa"/>
          </w:tcPr>
          <w:p w14:paraId="3E60C066" w14:textId="480E1F96" w:rsidR="00B62A43" w:rsidRPr="0004264F" w:rsidRDefault="00B62A43" w:rsidP="00B62A43">
            <w:pPr>
              <w:jc w:val="center"/>
              <w:rPr>
                <w:rFonts w:cstheme="majorBidi"/>
                <w:sz w:val="20"/>
                <w:szCs w:val="20"/>
              </w:rPr>
            </w:pPr>
            <w:r w:rsidRPr="0004264F">
              <w:rPr>
                <w:rFonts w:cstheme="majorBidi"/>
                <w:sz w:val="20"/>
                <w:szCs w:val="20"/>
              </w:rPr>
              <w:t>12940827</w:t>
            </w:r>
          </w:p>
        </w:tc>
        <w:tc>
          <w:tcPr>
            <w:tcW w:w="1803" w:type="dxa"/>
          </w:tcPr>
          <w:p w14:paraId="1ACD63DD" w14:textId="60DE8B31" w:rsidR="00B62A43" w:rsidRPr="0004264F" w:rsidRDefault="00B62A43" w:rsidP="00B62A43">
            <w:pPr>
              <w:jc w:val="center"/>
              <w:rPr>
                <w:rFonts w:cstheme="majorBidi"/>
                <w:sz w:val="20"/>
                <w:szCs w:val="20"/>
              </w:rPr>
            </w:pPr>
            <w:r w:rsidRPr="0004264F">
              <w:rPr>
                <w:rFonts w:cstheme="majorBidi"/>
                <w:sz w:val="20"/>
                <w:szCs w:val="20"/>
              </w:rPr>
              <w:t>10365020</w:t>
            </w:r>
          </w:p>
        </w:tc>
      </w:tr>
      <w:tr w:rsidR="00B62A43" w:rsidRPr="0004264F" w14:paraId="353F2BB2" w14:textId="547CE0E3" w:rsidTr="001D4E8E">
        <w:trPr>
          <w:trHeight w:val="245"/>
          <w:jc w:val="center"/>
        </w:trPr>
        <w:tc>
          <w:tcPr>
            <w:tcW w:w="1776" w:type="dxa"/>
            <w:vAlign w:val="center"/>
          </w:tcPr>
          <w:p w14:paraId="4AE20913" w14:textId="33D5078A" w:rsidR="00B62A43" w:rsidRPr="0004264F" w:rsidRDefault="00B62A43" w:rsidP="00B62A43">
            <w:pPr>
              <w:rPr>
                <w:rFonts w:cstheme="majorBidi"/>
                <w:sz w:val="20"/>
                <w:szCs w:val="20"/>
              </w:rPr>
            </w:pPr>
            <w:r w:rsidRPr="0004264F">
              <w:rPr>
                <w:rFonts w:cstheme="majorBidi"/>
                <w:sz w:val="20"/>
                <w:szCs w:val="20"/>
              </w:rPr>
              <w:t>R-squared</w:t>
            </w:r>
          </w:p>
        </w:tc>
        <w:tc>
          <w:tcPr>
            <w:tcW w:w="1816" w:type="dxa"/>
          </w:tcPr>
          <w:p w14:paraId="5C830CF2" w14:textId="548EBE80" w:rsidR="00B62A43" w:rsidRPr="0004264F" w:rsidRDefault="00B62A43" w:rsidP="00B62A43">
            <w:pPr>
              <w:jc w:val="center"/>
              <w:rPr>
                <w:rFonts w:cstheme="majorBidi"/>
                <w:sz w:val="20"/>
                <w:szCs w:val="20"/>
              </w:rPr>
            </w:pPr>
            <w:r w:rsidRPr="0004264F">
              <w:rPr>
                <w:rFonts w:cstheme="majorBidi"/>
                <w:sz w:val="20"/>
                <w:szCs w:val="20"/>
              </w:rPr>
              <w:t>.06454</w:t>
            </w:r>
          </w:p>
        </w:tc>
        <w:tc>
          <w:tcPr>
            <w:tcW w:w="1816" w:type="dxa"/>
          </w:tcPr>
          <w:p w14:paraId="2A948119" w14:textId="032F1D54" w:rsidR="00B62A43" w:rsidRPr="0004264F" w:rsidRDefault="00B62A43" w:rsidP="00B62A43">
            <w:pPr>
              <w:jc w:val="center"/>
              <w:rPr>
                <w:rFonts w:cstheme="majorBidi"/>
                <w:sz w:val="20"/>
                <w:szCs w:val="20"/>
              </w:rPr>
            </w:pPr>
            <w:r w:rsidRPr="0004264F">
              <w:rPr>
                <w:rFonts w:cstheme="majorBidi"/>
                <w:sz w:val="20"/>
                <w:szCs w:val="20"/>
              </w:rPr>
              <w:t>.06571</w:t>
            </w:r>
          </w:p>
        </w:tc>
        <w:tc>
          <w:tcPr>
            <w:tcW w:w="1816" w:type="dxa"/>
          </w:tcPr>
          <w:p w14:paraId="1E29661D" w14:textId="4184D76A" w:rsidR="00B62A43" w:rsidRPr="0004264F" w:rsidRDefault="00B62A43" w:rsidP="00B62A43">
            <w:pPr>
              <w:jc w:val="center"/>
              <w:rPr>
                <w:rFonts w:cstheme="majorBidi"/>
                <w:sz w:val="20"/>
                <w:szCs w:val="20"/>
              </w:rPr>
            </w:pPr>
            <w:r w:rsidRPr="0004264F">
              <w:rPr>
                <w:rFonts w:cstheme="majorBidi"/>
                <w:sz w:val="20"/>
                <w:szCs w:val="20"/>
              </w:rPr>
              <w:t>.06851</w:t>
            </w:r>
          </w:p>
        </w:tc>
        <w:tc>
          <w:tcPr>
            <w:tcW w:w="1803" w:type="dxa"/>
          </w:tcPr>
          <w:p w14:paraId="55CC48DE" w14:textId="2048C452" w:rsidR="00B62A43" w:rsidRPr="0004264F" w:rsidRDefault="00B62A43" w:rsidP="00B62A43">
            <w:pPr>
              <w:jc w:val="center"/>
              <w:rPr>
                <w:rFonts w:cstheme="majorBidi"/>
                <w:sz w:val="20"/>
                <w:szCs w:val="20"/>
              </w:rPr>
            </w:pPr>
            <w:r w:rsidRPr="0004264F">
              <w:rPr>
                <w:rFonts w:cstheme="majorBidi"/>
                <w:sz w:val="20"/>
                <w:szCs w:val="20"/>
              </w:rPr>
              <w:t>.06721</w:t>
            </w:r>
          </w:p>
        </w:tc>
      </w:tr>
      <w:tr w:rsidR="00B62A43" w:rsidRPr="0004264F" w14:paraId="2F30EBB4" w14:textId="191455C7" w:rsidTr="001D4E8E">
        <w:trPr>
          <w:trHeight w:val="232"/>
          <w:jc w:val="center"/>
        </w:trPr>
        <w:tc>
          <w:tcPr>
            <w:tcW w:w="1776" w:type="dxa"/>
            <w:vAlign w:val="center"/>
          </w:tcPr>
          <w:p w14:paraId="537C183D" w14:textId="0E8F033E" w:rsidR="00B62A43" w:rsidRPr="0004264F" w:rsidRDefault="00B62A43" w:rsidP="00B62A43">
            <w:pPr>
              <w:rPr>
                <w:rFonts w:cstheme="majorBidi"/>
                <w:sz w:val="20"/>
                <w:szCs w:val="20"/>
              </w:rPr>
            </w:pPr>
            <w:r w:rsidRPr="0004264F">
              <w:rPr>
                <w:rFonts w:cstheme="majorBidi"/>
                <w:sz w:val="20"/>
                <w:szCs w:val="20"/>
              </w:rPr>
              <w:t>Mean DV</w:t>
            </w:r>
          </w:p>
        </w:tc>
        <w:tc>
          <w:tcPr>
            <w:tcW w:w="1816" w:type="dxa"/>
          </w:tcPr>
          <w:p w14:paraId="5ABACE6D" w14:textId="22A03ADC" w:rsidR="00B62A43" w:rsidRPr="0004264F" w:rsidRDefault="00B62A43" w:rsidP="00B62A43">
            <w:pPr>
              <w:jc w:val="center"/>
              <w:rPr>
                <w:rFonts w:cstheme="majorBidi"/>
                <w:sz w:val="20"/>
                <w:szCs w:val="20"/>
              </w:rPr>
            </w:pPr>
            <w:r w:rsidRPr="0004264F">
              <w:rPr>
                <w:rFonts w:cstheme="majorBidi"/>
                <w:sz w:val="20"/>
                <w:szCs w:val="20"/>
              </w:rPr>
              <w:t>0.057</w:t>
            </w:r>
          </w:p>
        </w:tc>
        <w:tc>
          <w:tcPr>
            <w:tcW w:w="1816" w:type="dxa"/>
          </w:tcPr>
          <w:p w14:paraId="4B8E0583" w14:textId="77FEBED1" w:rsidR="00B62A43" w:rsidRPr="0004264F" w:rsidRDefault="00B62A43" w:rsidP="00B62A43">
            <w:pPr>
              <w:jc w:val="center"/>
              <w:rPr>
                <w:rFonts w:cstheme="majorBidi"/>
                <w:sz w:val="20"/>
                <w:szCs w:val="20"/>
              </w:rPr>
            </w:pPr>
            <w:r w:rsidRPr="0004264F">
              <w:rPr>
                <w:rFonts w:cstheme="majorBidi"/>
                <w:sz w:val="20"/>
                <w:szCs w:val="20"/>
              </w:rPr>
              <w:t>0.058</w:t>
            </w:r>
          </w:p>
        </w:tc>
        <w:tc>
          <w:tcPr>
            <w:tcW w:w="1816" w:type="dxa"/>
          </w:tcPr>
          <w:p w14:paraId="22764B3B" w14:textId="02EB6146" w:rsidR="00B62A43" w:rsidRPr="0004264F" w:rsidRDefault="00B62A43" w:rsidP="00B62A43">
            <w:pPr>
              <w:jc w:val="center"/>
              <w:rPr>
                <w:rFonts w:cstheme="majorBidi"/>
                <w:sz w:val="20"/>
                <w:szCs w:val="20"/>
              </w:rPr>
            </w:pPr>
            <w:r w:rsidRPr="0004264F">
              <w:rPr>
                <w:rFonts w:cstheme="majorBidi"/>
                <w:sz w:val="20"/>
                <w:szCs w:val="20"/>
              </w:rPr>
              <w:t>0.060</w:t>
            </w:r>
          </w:p>
        </w:tc>
        <w:tc>
          <w:tcPr>
            <w:tcW w:w="1803" w:type="dxa"/>
          </w:tcPr>
          <w:p w14:paraId="3C2B60B3" w14:textId="1AFF6BF6" w:rsidR="00B62A43" w:rsidRPr="0004264F" w:rsidRDefault="00B62A43" w:rsidP="00B62A43">
            <w:pPr>
              <w:jc w:val="center"/>
              <w:rPr>
                <w:rFonts w:cstheme="majorBidi"/>
                <w:sz w:val="20"/>
                <w:szCs w:val="20"/>
              </w:rPr>
            </w:pPr>
            <w:r w:rsidRPr="0004264F">
              <w:rPr>
                <w:rFonts w:cstheme="majorBidi"/>
                <w:sz w:val="20"/>
                <w:szCs w:val="20"/>
              </w:rPr>
              <w:t>0.058</w:t>
            </w:r>
          </w:p>
        </w:tc>
      </w:tr>
      <w:tr w:rsidR="00B62A43" w:rsidRPr="0004264F" w14:paraId="56C654D0" w14:textId="67298FB6" w:rsidTr="001D4E8E">
        <w:trPr>
          <w:trHeight w:val="245"/>
          <w:jc w:val="center"/>
        </w:trPr>
        <w:tc>
          <w:tcPr>
            <w:tcW w:w="1776" w:type="dxa"/>
            <w:tcBorders>
              <w:bottom w:val="single" w:sz="4" w:space="0" w:color="auto"/>
            </w:tcBorders>
            <w:vAlign w:val="center"/>
          </w:tcPr>
          <w:p w14:paraId="02CF26FF" w14:textId="1F7C074A" w:rsidR="00B62A43" w:rsidRPr="0004264F" w:rsidRDefault="00B62A43" w:rsidP="00B62A43">
            <w:pPr>
              <w:rPr>
                <w:rFonts w:cstheme="majorBidi"/>
                <w:sz w:val="20"/>
                <w:szCs w:val="20"/>
              </w:rPr>
            </w:pPr>
            <w:r w:rsidRPr="0004264F">
              <w:rPr>
                <w:rFonts w:cstheme="majorBidi"/>
                <w:sz w:val="20"/>
                <w:szCs w:val="20"/>
              </w:rPr>
              <w:t>%Change</w:t>
            </w:r>
          </w:p>
        </w:tc>
        <w:tc>
          <w:tcPr>
            <w:tcW w:w="1816" w:type="dxa"/>
            <w:tcBorders>
              <w:bottom w:val="single" w:sz="4" w:space="0" w:color="auto"/>
            </w:tcBorders>
          </w:tcPr>
          <w:p w14:paraId="6017A681" w14:textId="53DD7251" w:rsidR="00B62A43" w:rsidRPr="0004264F" w:rsidRDefault="00B62A43" w:rsidP="00B62A43">
            <w:pPr>
              <w:jc w:val="center"/>
              <w:rPr>
                <w:rFonts w:cstheme="majorBidi"/>
                <w:sz w:val="20"/>
                <w:szCs w:val="20"/>
              </w:rPr>
            </w:pPr>
            <w:r w:rsidRPr="0004264F">
              <w:rPr>
                <w:rFonts w:cstheme="majorBidi"/>
                <w:sz w:val="20"/>
                <w:szCs w:val="20"/>
              </w:rPr>
              <w:t>0.148</w:t>
            </w:r>
          </w:p>
        </w:tc>
        <w:tc>
          <w:tcPr>
            <w:tcW w:w="1816" w:type="dxa"/>
            <w:tcBorders>
              <w:bottom w:val="single" w:sz="4" w:space="0" w:color="auto"/>
            </w:tcBorders>
          </w:tcPr>
          <w:p w14:paraId="065B809B" w14:textId="717775E0" w:rsidR="00B62A43" w:rsidRPr="0004264F" w:rsidRDefault="00B62A43" w:rsidP="00B62A43">
            <w:pPr>
              <w:jc w:val="center"/>
              <w:rPr>
                <w:rFonts w:cstheme="majorBidi"/>
                <w:sz w:val="20"/>
                <w:szCs w:val="20"/>
              </w:rPr>
            </w:pPr>
            <w:r w:rsidRPr="0004264F">
              <w:rPr>
                <w:rFonts w:cstheme="majorBidi"/>
                <w:sz w:val="20"/>
                <w:szCs w:val="20"/>
              </w:rPr>
              <w:t>0.125</w:t>
            </w:r>
          </w:p>
        </w:tc>
        <w:tc>
          <w:tcPr>
            <w:tcW w:w="1816" w:type="dxa"/>
            <w:tcBorders>
              <w:bottom w:val="single" w:sz="4" w:space="0" w:color="auto"/>
            </w:tcBorders>
          </w:tcPr>
          <w:p w14:paraId="7F616756" w14:textId="0EF1F429" w:rsidR="00B62A43" w:rsidRPr="0004264F" w:rsidRDefault="00B62A43" w:rsidP="00B62A43">
            <w:pPr>
              <w:jc w:val="center"/>
              <w:rPr>
                <w:rFonts w:cstheme="majorBidi"/>
                <w:sz w:val="20"/>
                <w:szCs w:val="20"/>
              </w:rPr>
            </w:pPr>
            <w:r w:rsidRPr="0004264F">
              <w:rPr>
                <w:rFonts w:cstheme="majorBidi"/>
                <w:sz w:val="20"/>
                <w:szCs w:val="20"/>
              </w:rPr>
              <w:t>-0.107</w:t>
            </w:r>
          </w:p>
        </w:tc>
        <w:tc>
          <w:tcPr>
            <w:tcW w:w="1803" w:type="dxa"/>
            <w:tcBorders>
              <w:bottom w:val="single" w:sz="4" w:space="0" w:color="auto"/>
            </w:tcBorders>
          </w:tcPr>
          <w:p w14:paraId="407B2D68" w14:textId="73307E04" w:rsidR="00B62A43" w:rsidRPr="0004264F" w:rsidRDefault="00B62A43" w:rsidP="00B62A43">
            <w:pPr>
              <w:jc w:val="center"/>
              <w:rPr>
                <w:rFonts w:cstheme="majorBidi"/>
                <w:sz w:val="20"/>
                <w:szCs w:val="20"/>
              </w:rPr>
            </w:pPr>
            <w:r w:rsidRPr="0004264F">
              <w:rPr>
                <w:rFonts w:cstheme="majorBidi"/>
                <w:sz w:val="20"/>
                <w:szCs w:val="20"/>
              </w:rPr>
              <w:t>0.188</w:t>
            </w:r>
          </w:p>
        </w:tc>
      </w:tr>
      <w:tr w:rsidR="001D4E8E" w:rsidRPr="0004264F" w14:paraId="21FE8398" w14:textId="5089C506" w:rsidTr="009B5DB5">
        <w:trPr>
          <w:trHeight w:val="18"/>
          <w:jc w:val="center"/>
        </w:trPr>
        <w:tc>
          <w:tcPr>
            <w:tcW w:w="1776" w:type="dxa"/>
            <w:tcBorders>
              <w:top w:val="single" w:sz="4" w:space="0" w:color="auto"/>
            </w:tcBorders>
          </w:tcPr>
          <w:p w14:paraId="11B09219" w14:textId="5D1ECDF2" w:rsidR="001D4E8E" w:rsidRPr="0004264F" w:rsidRDefault="001D4E8E" w:rsidP="001D4E8E">
            <w:pPr>
              <w:rPr>
                <w:rFonts w:cstheme="majorBidi"/>
                <w:sz w:val="20"/>
                <w:szCs w:val="20"/>
              </w:rPr>
            </w:pPr>
            <w:r w:rsidRPr="0004264F">
              <w:rPr>
                <w:rFonts w:cstheme="majorBidi"/>
                <w:sz w:val="20"/>
                <w:szCs w:val="20"/>
              </w:rPr>
              <w:t>County FE</w:t>
            </w:r>
          </w:p>
        </w:tc>
        <w:tc>
          <w:tcPr>
            <w:tcW w:w="1816" w:type="dxa"/>
            <w:tcBorders>
              <w:top w:val="single" w:sz="4" w:space="0" w:color="auto"/>
            </w:tcBorders>
          </w:tcPr>
          <w:p w14:paraId="3DE17717" w14:textId="265F5757"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Borders>
              <w:top w:val="single" w:sz="4" w:space="0" w:color="auto"/>
            </w:tcBorders>
          </w:tcPr>
          <w:p w14:paraId="0DA27511" w14:textId="32A6700F"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Borders>
              <w:top w:val="single" w:sz="4" w:space="0" w:color="auto"/>
            </w:tcBorders>
          </w:tcPr>
          <w:p w14:paraId="2C71BA22" w14:textId="3625C5EB"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03" w:type="dxa"/>
            <w:tcBorders>
              <w:top w:val="single" w:sz="4" w:space="0" w:color="auto"/>
            </w:tcBorders>
          </w:tcPr>
          <w:p w14:paraId="505853A4" w14:textId="6226935F" w:rsidR="001D4E8E" w:rsidRPr="0004264F" w:rsidRDefault="001D4E8E" w:rsidP="001D4E8E">
            <w:pPr>
              <w:jc w:val="center"/>
              <w:rPr>
                <w:rFonts w:cstheme="majorBidi"/>
                <w:sz w:val="20"/>
                <w:szCs w:val="20"/>
              </w:rPr>
            </w:pPr>
            <w:r w:rsidRPr="0004264F">
              <w:rPr>
                <w:rFonts w:cstheme="majorBidi"/>
                <w:sz w:val="18"/>
                <w:szCs w:val="18"/>
              </w:rPr>
              <w:sym w:font="Wingdings" w:char="F0FC"/>
            </w:r>
          </w:p>
        </w:tc>
      </w:tr>
      <w:tr w:rsidR="001D4E8E" w:rsidRPr="0004264F" w14:paraId="55AE349E" w14:textId="678D99F6" w:rsidTr="009B5DB5">
        <w:trPr>
          <w:trHeight w:val="18"/>
          <w:jc w:val="center"/>
        </w:trPr>
        <w:tc>
          <w:tcPr>
            <w:tcW w:w="1776" w:type="dxa"/>
          </w:tcPr>
          <w:p w14:paraId="14D2E0CD" w14:textId="7CF09CE4" w:rsidR="001D4E8E" w:rsidRPr="0004264F" w:rsidRDefault="001D4E8E" w:rsidP="001D4E8E">
            <w:pPr>
              <w:rPr>
                <w:rFonts w:cstheme="majorBidi"/>
                <w:sz w:val="20"/>
                <w:szCs w:val="20"/>
              </w:rPr>
            </w:pPr>
            <w:r w:rsidRPr="0004264F">
              <w:rPr>
                <w:rFonts w:cstheme="majorBidi"/>
                <w:sz w:val="20"/>
                <w:szCs w:val="20"/>
              </w:rPr>
              <w:t>SEA-by-Birth-Year FE</w:t>
            </w:r>
          </w:p>
        </w:tc>
        <w:tc>
          <w:tcPr>
            <w:tcW w:w="1816" w:type="dxa"/>
          </w:tcPr>
          <w:p w14:paraId="7906CDE5" w14:textId="35BFE0EC"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Pr>
          <w:p w14:paraId="1515B797" w14:textId="1D248E96"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Pr>
          <w:p w14:paraId="7D30D6D2" w14:textId="1E7EC398"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03" w:type="dxa"/>
          </w:tcPr>
          <w:p w14:paraId="3E5854F9" w14:textId="0022736B" w:rsidR="001D4E8E" w:rsidRPr="0004264F" w:rsidRDefault="001D4E8E" w:rsidP="001D4E8E">
            <w:pPr>
              <w:jc w:val="center"/>
              <w:rPr>
                <w:rFonts w:cstheme="majorBidi"/>
                <w:sz w:val="20"/>
                <w:szCs w:val="20"/>
              </w:rPr>
            </w:pPr>
            <w:r w:rsidRPr="0004264F">
              <w:rPr>
                <w:rFonts w:cstheme="majorBidi"/>
                <w:sz w:val="18"/>
                <w:szCs w:val="18"/>
              </w:rPr>
              <w:sym w:font="Wingdings" w:char="F0FC"/>
            </w:r>
          </w:p>
        </w:tc>
      </w:tr>
      <w:tr w:rsidR="001D4E8E" w:rsidRPr="0004264F" w14:paraId="229215BB" w14:textId="5DC0AFCB" w:rsidTr="009B5DB5">
        <w:trPr>
          <w:trHeight w:val="18"/>
          <w:jc w:val="center"/>
        </w:trPr>
        <w:tc>
          <w:tcPr>
            <w:tcW w:w="1776" w:type="dxa"/>
            <w:vAlign w:val="center"/>
          </w:tcPr>
          <w:p w14:paraId="172574D5" w14:textId="43C5DF8F" w:rsidR="001D4E8E" w:rsidRPr="0004264F" w:rsidRDefault="001D4E8E" w:rsidP="001D4E8E">
            <w:pPr>
              <w:rPr>
                <w:rFonts w:cstheme="majorBidi"/>
                <w:sz w:val="20"/>
                <w:szCs w:val="20"/>
              </w:rPr>
            </w:pPr>
            <w:r w:rsidRPr="0004264F">
              <w:rPr>
                <w:rFonts w:cstheme="majorBidi"/>
                <w:sz w:val="20"/>
                <w:szCs w:val="20"/>
              </w:rPr>
              <w:t>Family Controls</w:t>
            </w:r>
          </w:p>
        </w:tc>
        <w:tc>
          <w:tcPr>
            <w:tcW w:w="1816" w:type="dxa"/>
          </w:tcPr>
          <w:p w14:paraId="12FFC448" w14:textId="44B27124"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Pr>
          <w:p w14:paraId="7919BAC5" w14:textId="0CAB3E6F"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Pr>
          <w:p w14:paraId="6B1F15BE" w14:textId="2086EDB6"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03" w:type="dxa"/>
          </w:tcPr>
          <w:p w14:paraId="4424E8B2" w14:textId="735A1A3C" w:rsidR="001D4E8E" w:rsidRPr="0004264F" w:rsidRDefault="001D4E8E" w:rsidP="001D4E8E">
            <w:pPr>
              <w:jc w:val="center"/>
              <w:rPr>
                <w:rFonts w:cstheme="majorBidi"/>
                <w:sz w:val="20"/>
                <w:szCs w:val="20"/>
              </w:rPr>
            </w:pPr>
            <w:r w:rsidRPr="0004264F">
              <w:rPr>
                <w:rFonts w:cstheme="majorBidi"/>
                <w:sz w:val="18"/>
                <w:szCs w:val="18"/>
              </w:rPr>
              <w:sym w:font="Wingdings" w:char="F0FC"/>
            </w:r>
          </w:p>
        </w:tc>
      </w:tr>
      <w:tr w:rsidR="001D4E8E" w:rsidRPr="0004264F" w14:paraId="5AC0E122" w14:textId="56FFC85C" w:rsidTr="009B5DB5">
        <w:trPr>
          <w:trHeight w:val="18"/>
          <w:jc w:val="center"/>
        </w:trPr>
        <w:tc>
          <w:tcPr>
            <w:tcW w:w="1776" w:type="dxa"/>
            <w:tcBorders>
              <w:bottom w:val="single" w:sz="4" w:space="0" w:color="auto"/>
            </w:tcBorders>
            <w:vAlign w:val="center"/>
          </w:tcPr>
          <w:p w14:paraId="33680A42" w14:textId="10000887" w:rsidR="001D4E8E" w:rsidRPr="0004264F" w:rsidRDefault="001D4E8E" w:rsidP="001D4E8E">
            <w:pPr>
              <w:rPr>
                <w:rFonts w:cstheme="majorBidi"/>
                <w:sz w:val="20"/>
                <w:szCs w:val="20"/>
              </w:rPr>
            </w:pPr>
            <w:r w:rsidRPr="0004264F">
              <w:rPr>
                <w:rFonts w:cstheme="majorBidi"/>
                <w:sz w:val="20"/>
                <w:szCs w:val="20"/>
              </w:rPr>
              <w:t>County Controls</w:t>
            </w:r>
          </w:p>
        </w:tc>
        <w:tc>
          <w:tcPr>
            <w:tcW w:w="1816" w:type="dxa"/>
            <w:tcBorders>
              <w:bottom w:val="single" w:sz="4" w:space="0" w:color="auto"/>
            </w:tcBorders>
          </w:tcPr>
          <w:p w14:paraId="395E5F38" w14:textId="62AD55B3"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Borders>
              <w:bottom w:val="single" w:sz="4" w:space="0" w:color="auto"/>
            </w:tcBorders>
          </w:tcPr>
          <w:p w14:paraId="7477A7A1" w14:textId="2EBD8F11"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16" w:type="dxa"/>
            <w:tcBorders>
              <w:bottom w:val="single" w:sz="4" w:space="0" w:color="auto"/>
            </w:tcBorders>
          </w:tcPr>
          <w:p w14:paraId="2D66C5D9" w14:textId="39264D40" w:rsidR="001D4E8E" w:rsidRPr="0004264F" w:rsidRDefault="001D4E8E" w:rsidP="001D4E8E">
            <w:pPr>
              <w:jc w:val="center"/>
              <w:rPr>
                <w:rFonts w:cstheme="majorBidi"/>
                <w:sz w:val="20"/>
                <w:szCs w:val="20"/>
              </w:rPr>
            </w:pPr>
            <w:r w:rsidRPr="0004264F">
              <w:rPr>
                <w:rFonts w:cstheme="majorBidi"/>
                <w:sz w:val="18"/>
                <w:szCs w:val="18"/>
              </w:rPr>
              <w:sym w:font="Wingdings" w:char="F0FC"/>
            </w:r>
          </w:p>
        </w:tc>
        <w:tc>
          <w:tcPr>
            <w:tcW w:w="1803" w:type="dxa"/>
            <w:tcBorders>
              <w:bottom w:val="single" w:sz="4" w:space="0" w:color="auto"/>
            </w:tcBorders>
          </w:tcPr>
          <w:p w14:paraId="2DB64724" w14:textId="0D6E746F" w:rsidR="001D4E8E" w:rsidRPr="0004264F" w:rsidRDefault="001D4E8E" w:rsidP="001D4E8E">
            <w:pPr>
              <w:jc w:val="center"/>
              <w:rPr>
                <w:rFonts w:cstheme="majorBidi"/>
                <w:sz w:val="20"/>
                <w:szCs w:val="20"/>
              </w:rPr>
            </w:pPr>
            <w:r w:rsidRPr="0004264F">
              <w:rPr>
                <w:rFonts w:cstheme="majorBidi"/>
                <w:sz w:val="18"/>
                <w:szCs w:val="18"/>
              </w:rPr>
              <w:sym w:font="Wingdings" w:char="F0FC"/>
            </w:r>
          </w:p>
        </w:tc>
      </w:tr>
      <w:tr w:rsidR="00B62A43" w:rsidRPr="0004264F" w14:paraId="3C58E21A" w14:textId="44D40220" w:rsidTr="00845539">
        <w:trPr>
          <w:trHeight w:val="21"/>
          <w:jc w:val="center"/>
        </w:trPr>
        <w:tc>
          <w:tcPr>
            <w:tcW w:w="9027" w:type="dxa"/>
            <w:gridSpan w:val="5"/>
            <w:tcBorders>
              <w:top w:val="single" w:sz="4" w:space="0" w:color="auto"/>
            </w:tcBorders>
            <w:vAlign w:val="center"/>
          </w:tcPr>
          <w:p w14:paraId="5B72C690" w14:textId="02F4E57D" w:rsidR="00B62A43" w:rsidRPr="0004264F" w:rsidRDefault="00B62A43" w:rsidP="00B62A43">
            <w:pPr>
              <w:widowControl w:val="0"/>
              <w:autoSpaceDE w:val="0"/>
              <w:autoSpaceDN w:val="0"/>
              <w:adjustRightInd w:val="0"/>
              <w:jc w:val="both"/>
              <w:rPr>
                <w:rFonts w:cstheme="majorBidi"/>
                <w:sz w:val="18"/>
                <w:szCs w:val="18"/>
              </w:rPr>
            </w:pPr>
            <w:r w:rsidRPr="0004264F">
              <w:rPr>
                <w:rFonts w:cstheme="majorBidi"/>
                <w:sz w:val="18"/>
                <w:szCs w:val="18"/>
              </w:rPr>
              <w:t>Notes. Standard errors, clustered at the county-level, are in parentheses. The regressions are weighted using county-level mean of population over the sample period. The “%Change” values are calculated using the estimated marginal effects of row 1 divided by the mean of dependent variables reported in row 4.</w:t>
            </w:r>
          </w:p>
          <w:p w14:paraId="5D386A3D" w14:textId="77777777" w:rsidR="00B62A43" w:rsidRPr="0004264F" w:rsidRDefault="00B62A43" w:rsidP="00B62A43">
            <w:pPr>
              <w:widowControl w:val="0"/>
              <w:autoSpaceDE w:val="0"/>
              <w:autoSpaceDN w:val="0"/>
              <w:adjustRightInd w:val="0"/>
              <w:jc w:val="both"/>
              <w:rPr>
                <w:rFonts w:cstheme="majorBidi"/>
                <w:sz w:val="18"/>
                <w:szCs w:val="18"/>
              </w:rPr>
            </w:pPr>
            <w:r w:rsidRPr="0004264F">
              <w:rPr>
                <w:rFonts w:cstheme="majorBidi"/>
                <w:sz w:val="18"/>
                <w:szCs w:val="18"/>
              </w:rPr>
              <w:t>*** p&lt;0.01, ** p&lt;0.05, * p&lt;0.1</w:t>
            </w:r>
          </w:p>
          <w:p w14:paraId="14625B7F" w14:textId="77777777" w:rsidR="00B62A43" w:rsidRPr="0004264F" w:rsidRDefault="00B62A43" w:rsidP="00B62A43">
            <w:pPr>
              <w:widowControl w:val="0"/>
              <w:autoSpaceDE w:val="0"/>
              <w:autoSpaceDN w:val="0"/>
              <w:adjustRightInd w:val="0"/>
              <w:jc w:val="both"/>
              <w:rPr>
                <w:rFonts w:cstheme="majorBidi"/>
                <w:sz w:val="18"/>
                <w:szCs w:val="18"/>
              </w:rPr>
            </w:pPr>
          </w:p>
        </w:tc>
      </w:tr>
    </w:tbl>
    <w:p w14:paraId="796655C6" w14:textId="77777777" w:rsidR="003814E8" w:rsidRPr="0004264F" w:rsidRDefault="003814E8" w:rsidP="00F32C69">
      <w:pPr>
        <w:rPr>
          <w:rFonts w:cstheme="majorBidi"/>
          <w:b/>
          <w:bCs/>
          <w:sz w:val="20"/>
          <w:szCs w:val="20"/>
        </w:rPr>
      </w:pPr>
    </w:p>
    <w:p w14:paraId="42D916A0" w14:textId="34B276D4" w:rsidR="00204C5C" w:rsidRPr="0004264F" w:rsidRDefault="00204C5C" w:rsidP="00F32C69">
      <w:pPr>
        <w:rPr>
          <w:rFonts w:cstheme="majorBidi"/>
          <w:b/>
          <w:bCs/>
          <w:sz w:val="20"/>
          <w:szCs w:val="20"/>
        </w:rPr>
      </w:pPr>
    </w:p>
    <w:p w14:paraId="3D857B48" w14:textId="6FA1D0FC" w:rsidR="00204C5C" w:rsidRPr="0004264F" w:rsidRDefault="00204C5C" w:rsidP="00F32C69">
      <w:pPr>
        <w:rPr>
          <w:rFonts w:cstheme="majorBidi"/>
          <w:b/>
          <w:bCs/>
          <w:sz w:val="20"/>
          <w:szCs w:val="20"/>
        </w:rPr>
      </w:pPr>
    </w:p>
    <w:p w14:paraId="2DDB387A" w14:textId="09D1E7A0" w:rsidR="00204C5C" w:rsidRPr="0004264F" w:rsidRDefault="00204C5C" w:rsidP="00F32C69">
      <w:pPr>
        <w:rPr>
          <w:rFonts w:cstheme="majorBidi"/>
          <w:b/>
          <w:bCs/>
          <w:sz w:val="20"/>
          <w:szCs w:val="20"/>
        </w:rPr>
      </w:pPr>
    </w:p>
    <w:p w14:paraId="54AF98F9" w14:textId="7B4B9797" w:rsidR="00204C5C" w:rsidRPr="0004264F" w:rsidRDefault="00204C5C" w:rsidP="00F32C69">
      <w:pPr>
        <w:rPr>
          <w:rFonts w:cstheme="majorBidi"/>
          <w:b/>
          <w:bCs/>
          <w:sz w:val="20"/>
          <w:szCs w:val="20"/>
        </w:rPr>
      </w:pPr>
    </w:p>
    <w:p w14:paraId="1E038773" w14:textId="5E6847F9" w:rsidR="00204C5C" w:rsidRPr="0004264F" w:rsidRDefault="00204C5C" w:rsidP="00F32C69">
      <w:pPr>
        <w:rPr>
          <w:rFonts w:cstheme="majorBidi"/>
          <w:b/>
          <w:bCs/>
          <w:sz w:val="20"/>
          <w:szCs w:val="20"/>
        </w:rPr>
      </w:pPr>
    </w:p>
    <w:p w14:paraId="619DF9F1" w14:textId="1A63A1E0" w:rsidR="00204C5C" w:rsidRPr="0004264F" w:rsidRDefault="00204C5C" w:rsidP="00F32C69">
      <w:pPr>
        <w:rPr>
          <w:rFonts w:cstheme="majorBidi"/>
          <w:b/>
          <w:bCs/>
          <w:sz w:val="20"/>
          <w:szCs w:val="20"/>
        </w:rPr>
      </w:pPr>
    </w:p>
    <w:p w14:paraId="7B45D0AF" w14:textId="1AC7CAAE" w:rsidR="00204C5C" w:rsidRPr="0004264F" w:rsidRDefault="00204C5C" w:rsidP="00F32C69">
      <w:pPr>
        <w:rPr>
          <w:rFonts w:cstheme="majorBidi"/>
          <w:b/>
          <w:bCs/>
          <w:sz w:val="20"/>
          <w:szCs w:val="20"/>
        </w:rPr>
      </w:pPr>
    </w:p>
    <w:p w14:paraId="7DB73AD1" w14:textId="32F7229B" w:rsidR="00204C5C" w:rsidRPr="0004264F" w:rsidRDefault="00204C5C" w:rsidP="00F32C69">
      <w:pPr>
        <w:rPr>
          <w:rFonts w:cstheme="majorBidi"/>
          <w:b/>
          <w:bCs/>
          <w:sz w:val="20"/>
          <w:szCs w:val="20"/>
        </w:rPr>
      </w:pPr>
    </w:p>
    <w:p w14:paraId="4DF75918" w14:textId="3E25F199" w:rsidR="00204C5C" w:rsidRPr="0004264F" w:rsidRDefault="00204C5C" w:rsidP="00F32C69">
      <w:pPr>
        <w:rPr>
          <w:rFonts w:cstheme="majorBidi"/>
          <w:b/>
          <w:bCs/>
          <w:sz w:val="20"/>
          <w:szCs w:val="20"/>
        </w:rPr>
      </w:pPr>
    </w:p>
    <w:p w14:paraId="50B24CED" w14:textId="307EE1F5" w:rsidR="00204C5C" w:rsidRPr="0004264F" w:rsidRDefault="00204C5C" w:rsidP="00F32C69">
      <w:pPr>
        <w:rPr>
          <w:rFonts w:cstheme="majorBidi"/>
          <w:b/>
          <w:bCs/>
          <w:sz w:val="20"/>
          <w:szCs w:val="20"/>
        </w:rPr>
      </w:pPr>
    </w:p>
    <w:p w14:paraId="0EAF3891" w14:textId="6C943954" w:rsidR="00204C5C" w:rsidRPr="0004264F" w:rsidRDefault="00204C5C" w:rsidP="00F32C69">
      <w:pPr>
        <w:rPr>
          <w:rFonts w:cstheme="majorBidi"/>
          <w:b/>
          <w:bCs/>
          <w:sz w:val="20"/>
          <w:szCs w:val="20"/>
        </w:rPr>
      </w:pPr>
    </w:p>
    <w:p w14:paraId="0D684D98" w14:textId="642BF863" w:rsidR="00204C5C" w:rsidRPr="0004264F" w:rsidRDefault="00204C5C" w:rsidP="00F32C69">
      <w:pPr>
        <w:rPr>
          <w:rFonts w:cstheme="majorBidi"/>
          <w:b/>
          <w:bCs/>
          <w:sz w:val="20"/>
          <w:szCs w:val="20"/>
        </w:rPr>
      </w:pPr>
    </w:p>
    <w:p w14:paraId="48A1661A" w14:textId="77777777" w:rsidR="001D5A49" w:rsidRPr="0004264F" w:rsidRDefault="001D5A49" w:rsidP="00F32C69">
      <w:pPr>
        <w:rPr>
          <w:rFonts w:cstheme="majorBidi"/>
          <w:b/>
          <w:bCs/>
          <w:sz w:val="20"/>
          <w:szCs w:val="20"/>
        </w:rPr>
        <w:sectPr w:rsidR="001D5A49" w:rsidRPr="0004264F" w:rsidSect="00847BB4">
          <w:pgSz w:w="12240" w:h="15840" w:code="1"/>
          <w:pgMar w:top="1440" w:right="1440" w:bottom="1440" w:left="1440" w:header="720" w:footer="720" w:gutter="0"/>
          <w:cols w:space="720"/>
          <w:docGrid w:linePitch="360"/>
        </w:sectPr>
      </w:pPr>
    </w:p>
    <w:p w14:paraId="47B05AA7" w14:textId="1F638992" w:rsidR="00204C5C" w:rsidRPr="0004264F" w:rsidRDefault="00204C5C" w:rsidP="00F32C69">
      <w:pPr>
        <w:rPr>
          <w:rFonts w:cstheme="majorBidi"/>
          <w:b/>
          <w:bCs/>
          <w:sz w:val="20"/>
          <w:szCs w:val="20"/>
        </w:rPr>
      </w:pPr>
    </w:p>
    <w:p w14:paraId="40B888A9" w14:textId="016B1878" w:rsidR="00204C5C" w:rsidRPr="0004264F" w:rsidRDefault="00204C5C" w:rsidP="00F32C69">
      <w:pPr>
        <w:rPr>
          <w:rFonts w:cstheme="majorBidi"/>
          <w:b/>
          <w:bCs/>
          <w:sz w:val="20"/>
          <w:szCs w:val="20"/>
        </w:rPr>
      </w:pPr>
    </w:p>
    <w:p w14:paraId="04966679" w14:textId="665B7C33" w:rsidR="00204C5C" w:rsidRPr="0004264F" w:rsidRDefault="00204C5C" w:rsidP="00F32C69">
      <w:pPr>
        <w:rPr>
          <w:rFonts w:cstheme="majorBidi"/>
          <w:b/>
          <w:bCs/>
          <w:sz w:val="20"/>
          <w:szCs w:val="20"/>
        </w:rPr>
      </w:pPr>
    </w:p>
    <w:p w14:paraId="5EB8AFD4" w14:textId="7007FDE8" w:rsidR="00204C5C" w:rsidRPr="0004264F" w:rsidRDefault="00204C5C" w:rsidP="00F32C69">
      <w:pPr>
        <w:rPr>
          <w:rFonts w:cstheme="majorBidi"/>
          <w:b/>
          <w:bCs/>
          <w:sz w:val="20"/>
          <w:szCs w:val="20"/>
        </w:rPr>
      </w:pPr>
    </w:p>
    <w:p w14:paraId="27A2A22E" w14:textId="25188E34" w:rsidR="006F09DE" w:rsidRPr="0004264F" w:rsidRDefault="006F09DE" w:rsidP="006F09DE">
      <w:pPr>
        <w:pStyle w:val="Caption"/>
        <w:keepNext/>
        <w:bidi w:val="0"/>
        <w:rPr>
          <w:rFonts w:cstheme="majorBidi"/>
        </w:rPr>
      </w:pPr>
    </w:p>
    <w:p w14:paraId="6B764545" w14:textId="6E0C2671" w:rsidR="00B5515A" w:rsidRPr="0004264F" w:rsidRDefault="00B5515A" w:rsidP="00B5515A">
      <w:pPr>
        <w:pStyle w:val="Caption"/>
        <w:keepNext/>
        <w:bidi w:val="0"/>
        <w:rPr>
          <w:rFonts w:cstheme="majorBidi"/>
        </w:rPr>
      </w:pPr>
      <w:bookmarkStart w:id="14" w:name="_Ref111322750"/>
      <w:r w:rsidRPr="0004264F">
        <w:rPr>
          <w:rFonts w:cstheme="majorBidi"/>
        </w:rPr>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4</w:t>
      </w:r>
      <w:r w:rsidRPr="0004264F">
        <w:rPr>
          <w:rFonts w:cstheme="majorBidi"/>
          <w:noProof/>
        </w:rPr>
        <w:fldChar w:fldCharType="end"/>
      </w:r>
      <w:bookmarkEnd w:id="14"/>
      <w:r w:rsidRPr="0004264F">
        <w:rPr>
          <w:rFonts w:cstheme="majorBidi"/>
        </w:rPr>
        <w:t xml:space="preserve"> - Main Results: </w:t>
      </w:r>
      <w:r w:rsidR="00060936" w:rsidRPr="0004264F">
        <w:rPr>
          <w:rFonts w:cstheme="majorBidi"/>
        </w:rPr>
        <w:t>The</w:t>
      </w:r>
      <w:r w:rsidRPr="0004264F">
        <w:rPr>
          <w:rFonts w:cstheme="majorBidi"/>
        </w:rPr>
        <w:t xml:space="preserve"> Association between in-Utero Bank Deposits and Old-Age Longevity</w:t>
      </w:r>
    </w:p>
    <w:tbl>
      <w:tblPr>
        <w:tblW w:w="8997" w:type="dxa"/>
        <w:jc w:val="center"/>
        <w:tblLayout w:type="fixed"/>
        <w:tblLook w:val="0000" w:firstRow="0" w:lastRow="0" w:firstColumn="0" w:lastColumn="0" w:noHBand="0" w:noVBand="0"/>
      </w:tblPr>
      <w:tblGrid>
        <w:gridCol w:w="2613"/>
        <w:gridCol w:w="1549"/>
        <w:gridCol w:w="1611"/>
        <w:gridCol w:w="1611"/>
        <w:gridCol w:w="1613"/>
      </w:tblGrid>
      <w:tr w:rsidR="003B0635" w:rsidRPr="0004264F" w14:paraId="54403A85" w14:textId="77777777" w:rsidTr="004463FA">
        <w:trPr>
          <w:trHeight w:val="211"/>
          <w:jc w:val="center"/>
        </w:trPr>
        <w:tc>
          <w:tcPr>
            <w:tcW w:w="2613" w:type="dxa"/>
            <w:tcBorders>
              <w:top w:val="single" w:sz="4" w:space="0" w:color="auto"/>
            </w:tcBorders>
            <w:vAlign w:val="center"/>
          </w:tcPr>
          <w:p w14:paraId="368A2417" w14:textId="77777777" w:rsidR="003B0635" w:rsidRPr="0004264F" w:rsidRDefault="003B0635" w:rsidP="00A40567">
            <w:pPr>
              <w:widowControl w:val="0"/>
              <w:autoSpaceDE w:val="0"/>
              <w:autoSpaceDN w:val="0"/>
              <w:adjustRightInd w:val="0"/>
              <w:spacing w:after="0"/>
              <w:rPr>
                <w:rFonts w:cstheme="majorBidi"/>
                <w:sz w:val="20"/>
                <w:szCs w:val="20"/>
              </w:rPr>
            </w:pPr>
          </w:p>
        </w:tc>
        <w:tc>
          <w:tcPr>
            <w:tcW w:w="6384" w:type="dxa"/>
            <w:gridSpan w:val="4"/>
            <w:tcBorders>
              <w:top w:val="single" w:sz="4" w:space="0" w:color="auto"/>
              <w:bottom w:val="single" w:sz="4" w:space="0" w:color="auto"/>
            </w:tcBorders>
            <w:vAlign w:val="center"/>
          </w:tcPr>
          <w:p w14:paraId="4E5CAC06" w14:textId="70A92A24" w:rsidR="003B0635" w:rsidRPr="0004264F" w:rsidRDefault="003B0635" w:rsidP="00A40567">
            <w:pPr>
              <w:widowControl w:val="0"/>
              <w:autoSpaceDE w:val="0"/>
              <w:autoSpaceDN w:val="0"/>
              <w:adjustRightInd w:val="0"/>
              <w:spacing w:after="0"/>
              <w:jc w:val="center"/>
              <w:rPr>
                <w:rFonts w:cstheme="majorBidi"/>
                <w:b/>
                <w:bCs/>
                <w:i/>
                <w:iCs/>
                <w:sz w:val="20"/>
                <w:szCs w:val="20"/>
              </w:rPr>
            </w:pPr>
            <w:r w:rsidRPr="0004264F">
              <w:rPr>
                <w:rFonts w:cstheme="majorBidi"/>
                <w:b/>
                <w:bCs/>
                <w:i/>
                <w:iCs/>
                <w:sz w:val="20"/>
                <w:szCs w:val="20"/>
              </w:rPr>
              <w:t>Outcome: Death Age (Months)</w:t>
            </w:r>
          </w:p>
        </w:tc>
      </w:tr>
      <w:tr w:rsidR="003B0635" w:rsidRPr="0004264F" w14:paraId="1B297B86" w14:textId="77777777" w:rsidTr="004463FA">
        <w:trPr>
          <w:trHeight w:val="226"/>
          <w:jc w:val="center"/>
        </w:trPr>
        <w:tc>
          <w:tcPr>
            <w:tcW w:w="2613" w:type="dxa"/>
            <w:tcBorders>
              <w:bottom w:val="single" w:sz="4" w:space="0" w:color="auto"/>
            </w:tcBorders>
            <w:vAlign w:val="center"/>
          </w:tcPr>
          <w:p w14:paraId="47E1AA59" w14:textId="707A18A7" w:rsidR="003B0635" w:rsidRPr="0004264F" w:rsidRDefault="003B0635" w:rsidP="00A40567">
            <w:pPr>
              <w:widowControl w:val="0"/>
              <w:autoSpaceDE w:val="0"/>
              <w:autoSpaceDN w:val="0"/>
              <w:adjustRightInd w:val="0"/>
              <w:spacing w:after="0"/>
              <w:rPr>
                <w:rFonts w:cstheme="majorBidi"/>
                <w:sz w:val="20"/>
                <w:szCs w:val="20"/>
              </w:rPr>
            </w:pPr>
          </w:p>
        </w:tc>
        <w:tc>
          <w:tcPr>
            <w:tcW w:w="1549" w:type="dxa"/>
            <w:tcBorders>
              <w:top w:val="single" w:sz="4" w:space="0" w:color="auto"/>
              <w:bottom w:val="single" w:sz="4" w:space="0" w:color="auto"/>
            </w:tcBorders>
            <w:vAlign w:val="center"/>
          </w:tcPr>
          <w:p w14:paraId="3750F877" w14:textId="1710A612" w:rsidR="003B0635" w:rsidRPr="0004264F" w:rsidRDefault="003B0635" w:rsidP="00A40567">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c>
          <w:tcPr>
            <w:tcW w:w="1611" w:type="dxa"/>
            <w:tcBorders>
              <w:top w:val="single" w:sz="4" w:space="0" w:color="auto"/>
              <w:bottom w:val="single" w:sz="4" w:space="0" w:color="auto"/>
            </w:tcBorders>
            <w:vAlign w:val="center"/>
          </w:tcPr>
          <w:p w14:paraId="3858C8CB" w14:textId="74BFCD7D" w:rsidR="003B0635" w:rsidRPr="0004264F" w:rsidRDefault="003B0635" w:rsidP="00A40567">
            <w:pPr>
              <w:widowControl w:val="0"/>
              <w:autoSpaceDE w:val="0"/>
              <w:autoSpaceDN w:val="0"/>
              <w:adjustRightInd w:val="0"/>
              <w:spacing w:after="0"/>
              <w:jc w:val="center"/>
              <w:rPr>
                <w:rFonts w:cstheme="majorBidi"/>
                <w:sz w:val="20"/>
                <w:szCs w:val="20"/>
              </w:rPr>
            </w:pPr>
            <w:r w:rsidRPr="0004264F">
              <w:rPr>
                <w:rFonts w:cstheme="majorBidi"/>
                <w:sz w:val="20"/>
                <w:szCs w:val="20"/>
              </w:rPr>
              <w:t>(2)</w:t>
            </w:r>
          </w:p>
        </w:tc>
        <w:tc>
          <w:tcPr>
            <w:tcW w:w="1611" w:type="dxa"/>
            <w:tcBorders>
              <w:top w:val="single" w:sz="4" w:space="0" w:color="auto"/>
              <w:bottom w:val="single" w:sz="4" w:space="0" w:color="auto"/>
            </w:tcBorders>
            <w:vAlign w:val="center"/>
          </w:tcPr>
          <w:p w14:paraId="411BEC3D" w14:textId="7D3B2327" w:rsidR="003B0635" w:rsidRPr="0004264F" w:rsidRDefault="003B0635" w:rsidP="00A40567">
            <w:pPr>
              <w:widowControl w:val="0"/>
              <w:autoSpaceDE w:val="0"/>
              <w:autoSpaceDN w:val="0"/>
              <w:adjustRightInd w:val="0"/>
              <w:spacing w:after="0"/>
              <w:jc w:val="center"/>
              <w:rPr>
                <w:rFonts w:cstheme="majorBidi"/>
                <w:sz w:val="20"/>
                <w:szCs w:val="20"/>
              </w:rPr>
            </w:pPr>
            <w:r w:rsidRPr="0004264F">
              <w:rPr>
                <w:rFonts w:cstheme="majorBidi"/>
                <w:sz w:val="20"/>
                <w:szCs w:val="20"/>
              </w:rPr>
              <w:t>(3)</w:t>
            </w:r>
          </w:p>
        </w:tc>
        <w:tc>
          <w:tcPr>
            <w:tcW w:w="1613" w:type="dxa"/>
            <w:tcBorders>
              <w:top w:val="single" w:sz="4" w:space="0" w:color="auto"/>
              <w:bottom w:val="single" w:sz="4" w:space="0" w:color="auto"/>
            </w:tcBorders>
            <w:vAlign w:val="center"/>
          </w:tcPr>
          <w:p w14:paraId="6742A77D" w14:textId="60C07AFD" w:rsidR="003B0635" w:rsidRPr="0004264F" w:rsidRDefault="003B0635" w:rsidP="00A40567">
            <w:pPr>
              <w:widowControl w:val="0"/>
              <w:autoSpaceDE w:val="0"/>
              <w:autoSpaceDN w:val="0"/>
              <w:adjustRightInd w:val="0"/>
              <w:spacing w:after="0"/>
              <w:jc w:val="center"/>
              <w:rPr>
                <w:rFonts w:cstheme="majorBidi"/>
                <w:sz w:val="20"/>
                <w:szCs w:val="20"/>
              </w:rPr>
            </w:pPr>
            <w:r w:rsidRPr="0004264F">
              <w:rPr>
                <w:rFonts w:cstheme="majorBidi"/>
                <w:sz w:val="20"/>
                <w:szCs w:val="20"/>
              </w:rPr>
              <w:t>(4)</w:t>
            </w:r>
          </w:p>
        </w:tc>
      </w:tr>
      <w:tr w:rsidR="00015CEF" w:rsidRPr="0004264F" w14:paraId="145FA997" w14:textId="77777777" w:rsidTr="004463FA">
        <w:trPr>
          <w:trHeight w:val="211"/>
          <w:jc w:val="center"/>
        </w:trPr>
        <w:tc>
          <w:tcPr>
            <w:tcW w:w="2613" w:type="dxa"/>
            <w:vMerge w:val="restart"/>
            <w:tcBorders>
              <w:top w:val="single" w:sz="4" w:space="0" w:color="auto"/>
            </w:tcBorders>
            <w:vAlign w:val="center"/>
          </w:tcPr>
          <w:p w14:paraId="7DC9EC1E" w14:textId="296F239D" w:rsidR="00015CEF" w:rsidRPr="0004264F" w:rsidRDefault="00015CEF" w:rsidP="00015CEF">
            <w:pPr>
              <w:widowControl w:val="0"/>
              <w:autoSpaceDE w:val="0"/>
              <w:autoSpaceDN w:val="0"/>
              <w:adjustRightInd w:val="0"/>
              <w:spacing w:after="0"/>
              <w:rPr>
                <w:rFonts w:cstheme="majorBidi"/>
                <w:sz w:val="20"/>
                <w:szCs w:val="20"/>
              </w:rPr>
            </w:pPr>
            <w:r w:rsidRPr="0004264F">
              <w:rPr>
                <w:rFonts w:cstheme="majorBidi"/>
                <w:sz w:val="20"/>
                <w:szCs w:val="20"/>
              </w:rPr>
              <w:t>Deposits per Capita (STD)</w:t>
            </w:r>
          </w:p>
        </w:tc>
        <w:tc>
          <w:tcPr>
            <w:tcW w:w="1549" w:type="dxa"/>
            <w:tcBorders>
              <w:top w:val="single" w:sz="4" w:space="0" w:color="auto"/>
            </w:tcBorders>
          </w:tcPr>
          <w:p w14:paraId="467437A7" w14:textId="3688A399"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1.55965***</w:t>
            </w:r>
          </w:p>
        </w:tc>
        <w:tc>
          <w:tcPr>
            <w:tcW w:w="1611" w:type="dxa"/>
            <w:tcBorders>
              <w:top w:val="single" w:sz="4" w:space="0" w:color="auto"/>
            </w:tcBorders>
          </w:tcPr>
          <w:p w14:paraId="7387EC23" w14:textId="32F8F8E1"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1.58676***</w:t>
            </w:r>
          </w:p>
        </w:tc>
        <w:tc>
          <w:tcPr>
            <w:tcW w:w="1611" w:type="dxa"/>
            <w:tcBorders>
              <w:top w:val="single" w:sz="4" w:space="0" w:color="auto"/>
            </w:tcBorders>
          </w:tcPr>
          <w:p w14:paraId="407AFF30" w14:textId="1470907B"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1.59411***</w:t>
            </w:r>
          </w:p>
        </w:tc>
        <w:tc>
          <w:tcPr>
            <w:tcW w:w="1613" w:type="dxa"/>
            <w:tcBorders>
              <w:top w:val="single" w:sz="4" w:space="0" w:color="auto"/>
            </w:tcBorders>
          </w:tcPr>
          <w:p w14:paraId="499CB3AC" w14:textId="3D636FC3"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1.72552**</w:t>
            </w:r>
          </w:p>
        </w:tc>
      </w:tr>
      <w:tr w:rsidR="00015CEF" w:rsidRPr="0004264F" w14:paraId="157D6EB3" w14:textId="77777777" w:rsidTr="004463FA">
        <w:trPr>
          <w:trHeight w:val="226"/>
          <w:jc w:val="center"/>
        </w:trPr>
        <w:tc>
          <w:tcPr>
            <w:tcW w:w="2613" w:type="dxa"/>
            <w:vMerge/>
            <w:vAlign w:val="center"/>
          </w:tcPr>
          <w:p w14:paraId="34F9BA3B" w14:textId="42D4A74B" w:rsidR="00015CEF" w:rsidRPr="0004264F" w:rsidRDefault="00015CEF" w:rsidP="00015CEF">
            <w:pPr>
              <w:widowControl w:val="0"/>
              <w:autoSpaceDE w:val="0"/>
              <w:autoSpaceDN w:val="0"/>
              <w:adjustRightInd w:val="0"/>
              <w:spacing w:after="0"/>
              <w:rPr>
                <w:rFonts w:cstheme="majorBidi"/>
                <w:sz w:val="20"/>
                <w:szCs w:val="20"/>
              </w:rPr>
            </w:pPr>
          </w:p>
        </w:tc>
        <w:tc>
          <w:tcPr>
            <w:tcW w:w="1549" w:type="dxa"/>
          </w:tcPr>
          <w:p w14:paraId="6B6A41FF" w14:textId="2AC364B5"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(.57764)</w:t>
            </w:r>
          </w:p>
        </w:tc>
        <w:tc>
          <w:tcPr>
            <w:tcW w:w="1611" w:type="dxa"/>
          </w:tcPr>
          <w:p w14:paraId="6672C84C" w14:textId="24FB3791"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(.59254)</w:t>
            </w:r>
          </w:p>
        </w:tc>
        <w:tc>
          <w:tcPr>
            <w:tcW w:w="1611" w:type="dxa"/>
          </w:tcPr>
          <w:p w14:paraId="5C7B04C4" w14:textId="548F77E9"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(.585)</w:t>
            </w:r>
          </w:p>
        </w:tc>
        <w:tc>
          <w:tcPr>
            <w:tcW w:w="1613" w:type="dxa"/>
          </w:tcPr>
          <w:p w14:paraId="7672C863" w14:textId="1EF8155D"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(.72026)</w:t>
            </w:r>
          </w:p>
        </w:tc>
      </w:tr>
      <w:tr w:rsidR="00015CEF" w:rsidRPr="0004264F" w14:paraId="357EF438" w14:textId="77777777" w:rsidTr="004463FA">
        <w:trPr>
          <w:trHeight w:val="226"/>
          <w:jc w:val="center"/>
        </w:trPr>
        <w:tc>
          <w:tcPr>
            <w:tcW w:w="2613" w:type="dxa"/>
            <w:vAlign w:val="center"/>
          </w:tcPr>
          <w:p w14:paraId="080C7D42" w14:textId="0EEF218C" w:rsidR="00015CEF" w:rsidRPr="0004264F" w:rsidRDefault="00015CEF" w:rsidP="00015CEF">
            <w:pPr>
              <w:widowControl w:val="0"/>
              <w:autoSpaceDE w:val="0"/>
              <w:autoSpaceDN w:val="0"/>
              <w:adjustRightInd w:val="0"/>
              <w:spacing w:after="0"/>
              <w:rPr>
                <w:rFonts w:cstheme="majorBidi"/>
                <w:sz w:val="20"/>
                <w:szCs w:val="20"/>
              </w:rPr>
            </w:pPr>
            <w:r w:rsidRPr="0004264F">
              <w:rPr>
                <w:rFonts w:cstheme="majorBidi"/>
                <w:sz w:val="20"/>
                <w:szCs w:val="20"/>
              </w:rPr>
              <w:t>Observations</w:t>
            </w:r>
          </w:p>
        </w:tc>
        <w:tc>
          <w:tcPr>
            <w:tcW w:w="1549" w:type="dxa"/>
          </w:tcPr>
          <w:p w14:paraId="622DF13D" w14:textId="2E5863F5"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611" w:type="dxa"/>
          </w:tcPr>
          <w:p w14:paraId="178CAE12" w14:textId="0FFF794F"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611" w:type="dxa"/>
          </w:tcPr>
          <w:p w14:paraId="0AFE9427" w14:textId="56DD943B"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c>
          <w:tcPr>
            <w:tcW w:w="1613" w:type="dxa"/>
          </w:tcPr>
          <w:p w14:paraId="638644B4" w14:textId="0D8C6EAF"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1221113</w:t>
            </w:r>
          </w:p>
        </w:tc>
      </w:tr>
      <w:tr w:rsidR="00015CEF" w:rsidRPr="0004264F" w14:paraId="1D3064F4" w14:textId="77777777" w:rsidTr="004463FA">
        <w:trPr>
          <w:trHeight w:val="211"/>
          <w:jc w:val="center"/>
        </w:trPr>
        <w:tc>
          <w:tcPr>
            <w:tcW w:w="2613" w:type="dxa"/>
            <w:vAlign w:val="center"/>
          </w:tcPr>
          <w:p w14:paraId="626BE388" w14:textId="5B36778C" w:rsidR="00015CEF" w:rsidRPr="0004264F" w:rsidRDefault="00015CEF" w:rsidP="00015CEF">
            <w:pPr>
              <w:widowControl w:val="0"/>
              <w:autoSpaceDE w:val="0"/>
              <w:autoSpaceDN w:val="0"/>
              <w:adjustRightInd w:val="0"/>
              <w:spacing w:after="0"/>
              <w:rPr>
                <w:rFonts w:cstheme="majorBidi"/>
                <w:sz w:val="20"/>
                <w:szCs w:val="20"/>
              </w:rPr>
            </w:pPr>
            <w:r w:rsidRPr="0004264F">
              <w:rPr>
                <w:rFonts w:cstheme="majorBidi"/>
                <w:sz w:val="20"/>
                <w:szCs w:val="20"/>
              </w:rPr>
              <w:t>R-squared</w:t>
            </w:r>
          </w:p>
        </w:tc>
        <w:tc>
          <w:tcPr>
            <w:tcW w:w="1549" w:type="dxa"/>
          </w:tcPr>
          <w:p w14:paraId="6004B46B" w14:textId="5F7EDB7B"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.10219</w:t>
            </w:r>
          </w:p>
        </w:tc>
        <w:tc>
          <w:tcPr>
            <w:tcW w:w="1611" w:type="dxa"/>
          </w:tcPr>
          <w:p w14:paraId="2F8A48CF" w14:textId="20B6E875"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.10312</w:t>
            </w:r>
          </w:p>
        </w:tc>
        <w:tc>
          <w:tcPr>
            <w:tcW w:w="1611" w:type="dxa"/>
          </w:tcPr>
          <w:p w14:paraId="6718022A" w14:textId="2400A420"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.1036</w:t>
            </w:r>
          </w:p>
        </w:tc>
        <w:tc>
          <w:tcPr>
            <w:tcW w:w="1613" w:type="dxa"/>
          </w:tcPr>
          <w:p w14:paraId="1F1804B7" w14:textId="47A52E60"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.1036</w:t>
            </w:r>
          </w:p>
        </w:tc>
      </w:tr>
      <w:tr w:rsidR="00015CEF" w:rsidRPr="0004264F" w14:paraId="0DC53809" w14:textId="77777777" w:rsidTr="004463FA">
        <w:trPr>
          <w:trHeight w:val="211"/>
          <w:jc w:val="center"/>
        </w:trPr>
        <w:tc>
          <w:tcPr>
            <w:tcW w:w="2613" w:type="dxa"/>
            <w:vAlign w:val="center"/>
          </w:tcPr>
          <w:p w14:paraId="649DB436" w14:textId="196795AA" w:rsidR="00015CEF" w:rsidRPr="0004264F" w:rsidRDefault="00015CEF" w:rsidP="00015CEF">
            <w:pPr>
              <w:widowControl w:val="0"/>
              <w:autoSpaceDE w:val="0"/>
              <w:autoSpaceDN w:val="0"/>
              <w:adjustRightInd w:val="0"/>
              <w:spacing w:after="0"/>
              <w:rPr>
                <w:rFonts w:cstheme="majorBidi"/>
                <w:sz w:val="20"/>
                <w:szCs w:val="20"/>
              </w:rPr>
            </w:pPr>
            <w:r w:rsidRPr="0004264F">
              <w:rPr>
                <w:rFonts w:cstheme="majorBidi"/>
                <w:sz w:val="20"/>
                <w:szCs w:val="20"/>
              </w:rPr>
              <w:t>Mean DV</w:t>
            </w:r>
          </w:p>
        </w:tc>
        <w:tc>
          <w:tcPr>
            <w:tcW w:w="1549" w:type="dxa"/>
          </w:tcPr>
          <w:p w14:paraId="11177814" w14:textId="26F0EF0B"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772.939</w:t>
            </w:r>
          </w:p>
        </w:tc>
        <w:tc>
          <w:tcPr>
            <w:tcW w:w="1611" w:type="dxa"/>
          </w:tcPr>
          <w:p w14:paraId="4C663F6D" w14:textId="040F4E7E"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772.939</w:t>
            </w:r>
          </w:p>
        </w:tc>
        <w:tc>
          <w:tcPr>
            <w:tcW w:w="1611" w:type="dxa"/>
          </w:tcPr>
          <w:p w14:paraId="099C203A" w14:textId="5A42F4EA"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772.939</w:t>
            </w:r>
          </w:p>
        </w:tc>
        <w:tc>
          <w:tcPr>
            <w:tcW w:w="1613" w:type="dxa"/>
          </w:tcPr>
          <w:p w14:paraId="458D0C90" w14:textId="55BA973D"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772.939</w:t>
            </w:r>
          </w:p>
        </w:tc>
      </w:tr>
      <w:tr w:rsidR="00015CEF" w:rsidRPr="0004264F" w14:paraId="75DDDC88" w14:textId="77777777" w:rsidTr="004463FA">
        <w:trPr>
          <w:trHeight w:val="226"/>
          <w:jc w:val="center"/>
        </w:trPr>
        <w:tc>
          <w:tcPr>
            <w:tcW w:w="2613" w:type="dxa"/>
            <w:tcBorders>
              <w:bottom w:val="single" w:sz="4" w:space="0" w:color="auto"/>
            </w:tcBorders>
            <w:vAlign w:val="center"/>
          </w:tcPr>
          <w:p w14:paraId="62035D7A" w14:textId="3CE25856" w:rsidR="00015CEF" w:rsidRPr="0004264F" w:rsidRDefault="00015CEF" w:rsidP="00015CEF">
            <w:pPr>
              <w:widowControl w:val="0"/>
              <w:autoSpaceDE w:val="0"/>
              <w:autoSpaceDN w:val="0"/>
              <w:adjustRightInd w:val="0"/>
              <w:spacing w:after="0"/>
              <w:rPr>
                <w:rFonts w:cstheme="majorBidi"/>
                <w:sz w:val="20"/>
                <w:szCs w:val="20"/>
              </w:rPr>
            </w:pPr>
            <w:r w:rsidRPr="0004264F">
              <w:rPr>
                <w:rFonts w:cstheme="majorBidi"/>
                <w:sz w:val="20"/>
                <w:szCs w:val="20"/>
              </w:rPr>
              <w:t>%Change</w:t>
            </w:r>
          </w:p>
        </w:tc>
        <w:tc>
          <w:tcPr>
            <w:tcW w:w="1549" w:type="dxa"/>
            <w:tcBorders>
              <w:bottom w:val="single" w:sz="4" w:space="0" w:color="auto"/>
            </w:tcBorders>
          </w:tcPr>
          <w:p w14:paraId="3625F19B" w14:textId="7248DE04"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0.202</w:t>
            </w:r>
          </w:p>
        </w:tc>
        <w:tc>
          <w:tcPr>
            <w:tcW w:w="1611" w:type="dxa"/>
            <w:tcBorders>
              <w:bottom w:val="single" w:sz="4" w:space="0" w:color="auto"/>
            </w:tcBorders>
          </w:tcPr>
          <w:p w14:paraId="68B28A71" w14:textId="707A3E01"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0.205</w:t>
            </w:r>
          </w:p>
        </w:tc>
        <w:tc>
          <w:tcPr>
            <w:tcW w:w="1611" w:type="dxa"/>
            <w:tcBorders>
              <w:bottom w:val="single" w:sz="4" w:space="0" w:color="auto"/>
            </w:tcBorders>
          </w:tcPr>
          <w:p w14:paraId="247607AA" w14:textId="1CA9A4A0"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0.206</w:t>
            </w:r>
          </w:p>
        </w:tc>
        <w:tc>
          <w:tcPr>
            <w:tcW w:w="1613" w:type="dxa"/>
            <w:tcBorders>
              <w:bottom w:val="single" w:sz="4" w:space="0" w:color="auto"/>
            </w:tcBorders>
          </w:tcPr>
          <w:p w14:paraId="5F10CCD6" w14:textId="331D5622" w:rsidR="00015CEF" w:rsidRPr="0004264F" w:rsidRDefault="00015CEF" w:rsidP="00015CEF">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0.223</w:t>
            </w:r>
          </w:p>
        </w:tc>
      </w:tr>
      <w:tr w:rsidR="001D4E8E" w:rsidRPr="0004264F" w14:paraId="1E0F89F6" w14:textId="77777777" w:rsidTr="009B5DB5">
        <w:trPr>
          <w:trHeight w:val="211"/>
          <w:jc w:val="center"/>
        </w:trPr>
        <w:tc>
          <w:tcPr>
            <w:tcW w:w="2613" w:type="dxa"/>
            <w:tcBorders>
              <w:top w:val="single" w:sz="4" w:space="0" w:color="auto"/>
            </w:tcBorders>
          </w:tcPr>
          <w:p w14:paraId="3B57CEAB" w14:textId="5DEA03EA" w:rsidR="001D4E8E" w:rsidRPr="0004264F" w:rsidRDefault="001D4E8E" w:rsidP="001D4E8E">
            <w:pPr>
              <w:widowControl w:val="0"/>
              <w:autoSpaceDE w:val="0"/>
              <w:autoSpaceDN w:val="0"/>
              <w:adjustRightInd w:val="0"/>
              <w:spacing w:after="0"/>
              <w:rPr>
                <w:rFonts w:cstheme="majorBidi"/>
                <w:sz w:val="20"/>
                <w:szCs w:val="20"/>
              </w:rPr>
            </w:pPr>
            <w:r w:rsidRPr="0004264F">
              <w:rPr>
                <w:rFonts w:cstheme="majorBidi"/>
                <w:sz w:val="20"/>
                <w:szCs w:val="20"/>
              </w:rPr>
              <w:t>County FE</w:t>
            </w:r>
          </w:p>
        </w:tc>
        <w:tc>
          <w:tcPr>
            <w:tcW w:w="1549" w:type="dxa"/>
            <w:tcBorders>
              <w:top w:val="single" w:sz="4" w:space="0" w:color="auto"/>
            </w:tcBorders>
          </w:tcPr>
          <w:p w14:paraId="32A05907" w14:textId="077E1F30"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1" w:type="dxa"/>
            <w:tcBorders>
              <w:top w:val="single" w:sz="4" w:space="0" w:color="auto"/>
            </w:tcBorders>
          </w:tcPr>
          <w:p w14:paraId="4C843264" w14:textId="0C7F16D5"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1" w:type="dxa"/>
            <w:tcBorders>
              <w:top w:val="single" w:sz="4" w:space="0" w:color="auto"/>
            </w:tcBorders>
          </w:tcPr>
          <w:p w14:paraId="068DFFCC" w14:textId="029BAB2C"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3" w:type="dxa"/>
            <w:tcBorders>
              <w:top w:val="single" w:sz="4" w:space="0" w:color="auto"/>
            </w:tcBorders>
          </w:tcPr>
          <w:p w14:paraId="109AE3F1" w14:textId="29025688"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1D4E8E" w:rsidRPr="0004264F" w14:paraId="4B5A5B48" w14:textId="77777777" w:rsidTr="009B5DB5">
        <w:trPr>
          <w:trHeight w:val="144"/>
          <w:jc w:val="center"/>
        </w:trPr>
        <w:tc>
          <w:tcPr>
            <w:tcW w:w="2613" w:type="dxa"/>
          </w:tcPr>
          <w:p w14:paraId="552C626E" w14:textId="59BE64F1" w:rsidR="001D4E8E" w:rsidRPr="0004264F" w:rsidRDefault="001D4E8E" w:rsidP="001D4E8E">
            <w:pPr>
              <w:widowControl w:val="0"/>
              <w:autoSpaceDE w:val="0"/>
              <w:autoSpaceDN w:val="0"/>
              <w:adjustRightInd w:val="0"/>
              <w:spacing w:after="0"/>
              <w:rPr>
                <w:rFonts w:cstheme="majorBidi"/>
                <w:sz w:val="20"/>
                <w:szCs w:val="20"/>
              </w:rPr>
            </w:pPr>
            <w:r w:rsidRPr="0004264F">
              <w:rPr>
                <w:rFonts w:cstheme="majorBidi"/>
                <w:sz w:val="20"/>
                <w:szCs w:val="20"/>
              </w:rPr>
              <w:t>SEA-by-Birth-Year FE</w:t>
            </w:r>
          </w:p>
        </w:tc>
        <w:tc>
          <w:tcPr>
            <w:tcW w:w="1549" w:type="dxa"/>
          </w:tcPr>
          <w:p w14:paraId="22C8FB6A" w14:textId="7833519B"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1" w:type="dxa"/>
          </w:tcPr>
          <w:p w14:paraId="1361E91A" w14:textId="63CEA244"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1" w:type="dxa"/>
          </w:tcPr>
          <w:p w14:paraId="2E384AE3" w14:textId="0933E765"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3" w:type="dxa"/>
          </w:tcPr>
          <w:p w14:paraId="409DA208" w14:textId="2740B541"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1D4E8E" w:rsidRPr="0004264F" w14:paraId="5CCB8619" w14:textId="77777777" w:rsidTr="009B5DB5">
        <w:trPr>
          <w:trHeight w:val="211"/>
          <w:jc w:val="center"/>
        </w:trPr>
        <w:tc>
          <w:tcPr>
            <w:tcW w:w="2613" w:type="dxa"/>
            <w:vAlign w:val="center"/>
          </w:tcPr>
          <w:p w14:paraId="646CAF2D" w14:textId="6C1A33D0" w:rsidR="001D4E8E" w:rsidRPr="0004264F" w:rsidRDefault="001D4E8E" w:rsidP="001D4E8E">
            <w:pPr>
              <w:widowControl w:val="0"/>
              <w:autoSpaceDE w:val="0"/>
              <w:autoSpaceDN w:val="0"/>
              <w:adjustRightInd w:val="0"/>
              <w:spacing w:after="0"/>
              <w:rPr>
                <w:rFonts w:cstheme="majorBidi"/>
                <w:sz w:val="20"/>
                <w:szCs w:val="20"/>
              </w:rPr>
            </w:pPr>
            <w:r w:rsidRPr="0004264F">
              <w:rPr>
                <w:rFonts w:cstheme="majorBidi"/>
                <w:sz w:val="20"/>
                <w:szCs w:val="20"/>
              </w:rPr>
              <w:t>Individual Controls</w:t>
            </w:r>
          </w:p>
        </w:tc>
        <w:tc>
          <w:tcPr>
            <w:tcW w:w="1549" w:type="dxa"/>
            <w:vAlign w:val="center"/>
          </w:tcPr>
          <w:p w14:paraId="38892FE8" w14:textId="787654DA" w:rsidR="001D4E8E" w:rsidRPr="0004264F" w:rsidRDefault="001D4E8E" w:rsidP="001D4E8E">
            <w:pPr>
              <w:widowControl w:val="0"/>
              <w:autoSpaceDE w:val="0"/>
              <w:autoSpaceDN w:val="0"/>
              <w:adjustRightInd w:val="0"/>
              <w:spacing w:after="0"/>
              <w:jc w:val="center"/>
              <w:rPr>
                <w:rFonts w:cstheme="majorBidi"/>
                <w:sz w:val="20"/>
                <w:szCs w:val="20"/>
              </w:rPr>
            </w:pPr>
          </w:p>
        </w:tc>
        <w:tc>
          <w:tcPr>
            <w:tcW w:w="1611" w:type="dxa"/>
          </w:tcPr>
          <w:p w14:paraId="01FFB9F7" w14:textId="6EA23205"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1" w:type="dxa"/>
          </w:tcPr>
          <w:p w14:paraId="4A8DF4AC" w14:textId="5F65C959"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3" w:type="dxa"/>
          </w:tcPr>
          <w:p w14:paraId="42F05050" w14:textId="5EEA4BF3"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1D4E8E" w:rsidRPr="0004264F" w14:paraId="7A530FC6" w14:textId="77777777" w:rsidTr="009B5DB5">
        <w:trPr>
          <w:trHeight w:val="226"/>
          <w:jc w:val="center"/>
        </w:trPr>
        <w:tc>
          <w:tcPr>
            <w:tcW w:w="2613" w:type="dxa"/>
            <w:vAlign w:val="center"/>
          </w:tcPr>
          <w:p w14:paraId="06E444C0" w14:textId="09CEF9E6" w:rsidR="001D4E8E" w:rsidRPr="0004264F" w:rsidRDefault="001D4E8E" w:rsidP="001D4E8E">
            <w:pPr>
              <w:widowControl w:val="0"/>
              <w:autoSpaceDE w:val="0"/>
              <w:autoSpaceDN w:val="0"/>
              <w:adjustRightInd w:val="0"/>
              <w:spacing w:after="0"/>
              <w:rPr>
                <w:rFonts w:cstheme="majorBidi"/>
                <w:sz w:val="20"/>
                <w:szCs w:val="20"/>
              </w:rPr>
            </w:pPr>
            <w:r w:rsidRPr="0004264F">
              <w:rPr>
                <w:rFonts w:cstheme="majorBidi"/>
                <w:sz w:val="20"/>
                <w:szCs w:val="20"/>
              </w:rPr>
              <w:t>Family Controls</w:t>
            </w:r>
          </w:p>
        </w:tc>
        <w:tc>
          <w:tcPr>
            <w:tcW w:w="1549" w:type="dxa"/>
          </w:tcPr>
          <w:p w14:paraId="7E2E4127" w14:textId="5D708357" w:rsidR="001D4E8E" w:rsidRPr="0004264F" w:rsidRDefault="001D4E8E" w:rsidP="001D4E8E">
            <w:pPr>
              <w:widowControl w:val="0"/>
              <w:autoSpaceDE w:val="0"/>
              <w:autoSpaceDN w:val="0"/>
              <w:adjustRightInd w:val="0"/>
              <w:spacing w:after="0"/>
              <w:jc w:val="center"/>
              <w:rPr>
                <w:rFonts w:cstheme="majorBidi"/>
                <w:sz w:val="20"/>
                <w:szCs w:val="20"/>
              </w:rPr>
            </w:pPr>
          </w:p>
        </w:tc>
        <w:tc>
          <w:tcPr>
            <w:tcW w:w="1611" w:type="dxa"/>
          </w:tcPr>
          <w:p w14:paraId="4F867957" w14:textId="406B872F" w:rsidR="001D4E8E" w:rsidRPr="0004264F" w:rsidRDefault="001D4E8E" w:rsidP="001D4E8E">
            <w:pPr>
              <w:widowControl w:val="0"/>
              <w:autoSpaceDE w:val="0"/>
              <w:autoSpaceDN w:val="0"/>
              <w:adjustRightInd w:val="0"/>
              <w:spacing w:after="0"/>
              <w:jc w:val="center"/>
              <w:rPr>
                <w:rFonts w:cstheme="majorBidi"/>
                <w:sz w:val="20"/>
                <w:szCs w:val="20"/>
              </w:rPr>
            </w:pPr>
          </w:p>
        </w:tc>
        <w:tc>
          <w:tcPr>
            <w:tcW w:w="1611" w:type="dxa"/>
          </w:tcPr>
          <w:p w14:paraId="74E9E854" w14:textId="782DE319"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13" w:type="dxa"/>
          </w:tcPr>
          <w:p w14:paraId="4C82C3AB" w14:textId="136E2BCC"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1D4E8E" w:rsidRPr="0004264F" w14:paraId="1CE5F293" w14:textId="77777777" w:rsidTr="009B5DB5">
        <w:trPr>
          <w:trHeight w:val="211"/>
          <w:jc w:val="center"/>
        </w:trPr>
        <w:tc>
          <w:tcPr>
            <w:tcW w:w="2613" w:type="dxa"/>
            <w:tcBorders>
              <w:bottom w:val="single" w:sz="4" w:space="0" w:color="auto"/>
            </w:tcBorders>
            <w:vAlign w:val="center"/>
          </w:tcPr>
          <w:p w14:paraId="5F91171D" w14:textId="6455AF04" w:rsidR="001D4E8E" w:rsidRPr="0004264F" w:rsidRDefault="001D4E8E" w:rsidP="001D4E8E">
            <w:pPr>
              <w:widowControl w:val="0"/>
              <w:autoSpaceDE w:val="0"/>
              <w:autoSpaceDN w:val="0"/>
              <w:adjustRightInd w:val="0"/>
              <w:spacing w:after="0"/>
              <w:rPr>
                <w:rFonts w:cstheme="majorBidi"/>
                <w:sz w:val="20"/>
                <w:szCs w:val="20"/>
              </w:rPr>
            </w:pPr>
            <w:r w:rsidRPr="0004264F">
              <w:rPr>
                <w:rFonts w:cstheme="majorBidi"/>
                <w:sz w:val="20"/>
                <w:szCs w:val="20"/>
              </w:rPr>
              <w:t>County Controls</w:t>
            </w:r>
          </w:p>
        </w:tc>
        <w:tc>
          <w:tcPr>
            <w:tcW w:w="1549" w:type="dxa"/>
            <w:tcBorders>
              <w:bottom w:val="single" w:sz="4" w:space="0" w:color="auto"/>
            </w:tcBorders>
          </w:tcPr>
          <w:p w14:paraId="5C309ADC" w14:textId="0492F260" w:rsidR="001D4E8E" w:rsidRPr="0004264F" w:rsidRDefault="001D4E8E" w:rsidP="001D4E8E">
            <w:pPr>
              <w:widowControl w:val="0"/>
              <w:autoSpaceDE w:val="0"/>
              <w:autoSpaceDN w:val="0"/>
              <w:adjustRightInd w:val="0"/>
              <w:spacing w:after="0"/>
              <w:jc w:val="center"/>
              <w:rPr>
                <w:rFonts w:cstheme="majorBidi"/>
                <w:sz w:val="20"/>
                <w:szCs w:val="20"/>
              </w:rPr>
            </w:pPr>
          </w:p>
        </w:tc>
        <w:tc>
          <w:tcPr>
            <w:tcW w:w="1611" w:type="dxa"/>
            <w:tcBorders>
              <w:bottom w:val="single" w:sz="4" w:space="0" w:color="auto"/>
            </w:tcBorders>
          </w:tcPr>
          <w:p w14:paraId="4FB1D644" w14:textId="1469085F" w:rsidR="001D4E8E" w:rsidRPr="0004264F" w:rsidRDefault="001D4E8E" w:rsidP="001D4E8E">
            <w:pPr>
              <w:widowControl w:val="0"/>
              <w:autoSpaceDE w:val="0"/>
              <w:autoSpaceDN w:val="0"/>
              <w:adjustRightInd w:val="0"/>
              <w:spacing w:after="0"/>
              <w:jc w:val="center"/>
              <w:rPr>
                <w:rFonts w:cstheme="majorBidi"/>
                <w:sz w:val="20"/>
                <w:szCs w:val="20"/>
              </w:rPr>
            </w:pPr>
          </w:p>
        </w:tc>
        <w:tc>
          <w:tcPr>
            <w:tcW w:w="1611" w:type="dxa"/>
            <w:tcBorders>
              <w:bottom w:val="single" w:sz="4" w:space="0" w:color="auto"/>
            </w:tcBorders>
          </w:tcPr>
          <w:p w14:paraId="7475E191" w14:textId="1C72E088" w:rsidR="001D4E8E" w:rsidRPr="0004264F" w:rsidRDefault="001D4E8E" w:rsidP="001D4E8E">
            <w:pPr>
              <w:widowControl w:val="0"/>
              <w:autoSpaceDE w:val="0"/>
              <w:autoSpaceDN w:val="0"/>
              <w:adjustRightInd w:val="0"/>
              <w:spacing w:after="0"/>
              <w:jc w:val="center"/>
              <w:rPr>
                <w:rFonts w:cstheme="majorBidi"/>
                <w:sz w:val="20"/>
                <w:szCs w:val="20"/>
              </w:rPr>
            </w:pPr>
          </w:p>
        </w:tc>
        <w:tc>
          <w:tcPr>
            <w:tcW w:w="1613" w:type="dxa"/>
            <w:tcBorders>
              <w:bottom w:val="single" w:sz="4" w:space="0" w:color="auto"/>
            </w:tcBorders>
          </w:tcPr>
          <w:p w14:paraId="695B62F9" w14:textId="7E1C87D6" w:rsidR="001D4E8E" w:rsidRPr="0004264F" w:rsidRDefault="001D4E8E" w:rsidP="001D4E8E">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015CEF" w:rsidRPr="0004264F" w14:paraId="300E631D" w14:textId="77777777" w:rsidTr="004463FA">
        <w:trPr>
          <w:trHeight w:val="1542"/>
          <w:jc w:val="center"/>
        </w:trPr>
        <w:tc>
          <w:tcPr>
            <w:tcW w:w="8997" w:type="dxa"/>
            <w:gridSpan w:val="5"/>
            <w:tcBorders>
              <w:top w:val="single" w:sz="4" w:space="0" w:color="auto"/>
            </w:tcBorders>
            <w:vAlign w:val="center"/>
          </w:tcPr>
          <w:p w14:paraId="51B9A7E8" w14:textId="2A30C1BB" w:rsidR="00015CEF" w:rsidRPr="0004264F" w:rsidRDefault="00015CEF" w:rsidP="00015CEF">
            <w:pPr>
              <w:widowControl w:val="0"/>
              <w:autoSpaceDE w:val="0"/>
              <w:autoSpaceDN w:val="0"/>
              <w:adjustRightInd w:val="0"/>
              <w:spacing w:after="0"/>
              <w:jc w:val="both"/>
              <w:rPr>
                <w:rFonts w:cstheme="majorBidi"/>
                <w:sz w:val="20"/>
                <w:szCs w:val="20"/>
              </w:rPr>
            </w:pPr>
            <w:r w:rsidRPr="0004264F">
              <w:rPr>
                <w:rFonts w:cstheme="majorBidi"/>
                <w:sz w:val="20"/>
                <w:szCs w:val="20"/>
              </w:rPr>
              <w:t>Notes. Standard errors, clustered at the county-level, are in parentheses.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 The “%Change” values are calculated using the estimated marginal effects of row 1 divided by the mean of dependent variables reported in row 4.</w:t>
            </w:r>
          </w:p>
          <w:p w14:paraId="5A6B4FF0" w14:textId="77777777" w:rsidR="00015CEF" w:rsidRPr="0004264F" w:rsidRDefault="00015CEF" w:rsidP="00015CEF">
            <w:pPr>
              <w:widowControl w:val="0"/>
              <w:autoSpaceDE w:val="0"/>
              <w:autoSpaceDN w:val="0"/>
              <w:adjustRightInd w:val="0"/>
              <w:spacing w:after="0"/>
              <w:jc w:val="both"/>
              <w:rPr>
                <w:rFonts w:cstheme="majorBidi"/>
                <w:sz w:val="20"/>
                <w:szCs w:val="20"/>
              </w:rPr>
            </w:pPr>
            <w:r w:rsidRPr="0004264F">
              <w:rPr>
                <w:rFonts w:cstheme="majorBidi"/>
                <w:sz w:val="20"/>
                <w:szCs w:val="20"/>
              </w:rPr>
              <w:t>*** p&lt;0.01, ** p&lt;0.05, * p&lt;0.1</w:t>
            </w:r>
          </w:p>
          <w:p w14:paraId="0974AC71" w14:textId="19FB1DF9" w:rsidR="00015CEF" w:rsidRPr="0004264F" w:rsidRDefault="00015CEF" w:rsidP="00015CEF">
            <w:pPr>
              <w:widowControl w:val="0"/>
              <w:autoSpaceDE w:val="0"/>
              <w:autoSpaceDN w:val="0"/>
              <w:adjustRightInd w:val="0"/>
              <w:spacing w:after="0"/>
              <w:jc w:val="center"/>
              <w:rPr>
                <w:rFonts w:cstheme="majorBidi"/>
                <w:sz w:val="20"/>
                <w:szCs w:val="20"/>
              </w:rPr>
            </w:pPr>
          </w:p>
        </w:tc>
      </w:tr>
    </w:tbl>
    <w:p w14:paraId="7DA49940" w14:textId="08B4C1E9" w:rsidR="00204C5C" w:rsidRPr="0004264F" w:rsidRDefault="00204C5C" w:rsidP="00F32C69">
      <w:pPr>
        <w:rPr>
          <w:rFonts w:cstheme="majorBidi"/>
          <w:b/>
          <w:bCs/>
          <w:sz w:val="20"/>
          <w:szCs w:val="20"/>
        </w:rPr>
      </w:pPr>
    </w:p>
    <w:p w14:paraId="197FAA30" w14:textId="1ED26F54" w:rsidR="00204C5C" w:rsidRPr="0004264F" w:rsidRDefault="00204C5C" w:rsidP="00F32C69">
      <w:pPr>
        <w:rPr>
          <w:rFonts w:cstheme="majorBidi"/>
          <w:b/>
          <w:bCs/>
          <w:sz w:val="20"/>
          <w:szCs w:val="20"/>
        </w:rPr>
      </w:pPr>
    </w:p>
    <w:p w14:paraId="0A05BC9D" w14:textId="37799F53" w:rsidR="00204C5C" w:rsidRPr="0004264F" w:rsidRDefault="00204C5C" w:rsidP="00F32C69">
      <w:pPr>
        <w:rPr>
          <w:rFonts w:cstheme="majorBidi"/>
          <w:b/>
          <w:bCs/>
          <w:sz w:val="20"/>
          <w:szCs w:val="20"/>
        </w:rPr>
      </w:pPr>
    </w:p>
    <w:p w14:paraId="4FE1F1DE" w14:textId="209983F9" w:rsidR="00204C5C" w:rsidRPr="0004264F" w:rsidRDefault="00204C5C" w:rsidP="00F32C69">
      <w:pPr>
        <w:rPr>
          <w:rFonts w:cstheme="majorBidi"/>
          <w:b/>
          <w:bCs/>
          <w:sz w:val="20"/>
          <w:szCs w:val="20"/>
        </w:rPr>
      </w:pPr>
    </w:p>
    <w:p w14:paraId="3C689D8E" w14:textId="14C8A232" w:rsidR="00204C5C" w:rsidRPr="0004264F" w:rsidRDefault="00204C5C" w:rsidP="00F32C69">
      <w:pPr>
        <w:rPr>
          <w:rFonts w:cstheme="majorBidi"/>
          <w:b/>
          <w:bCs/>
          <w:sz w:val="20"/>
          <w:szCs w:val="20"/>
        </w:rPr>
      </w:pPr>
    </w:p>
    <w:p w14:paraId="700325A3" w14:textId="4715B30A" w:rsidR="0000727D" w:rsidRPr="0004264F" w:rsidRDefault="0000727D" w:rsidP="00F32C69">
      <w:pPr>
        <w:rPr>
          <w:rFonts w:cstheme="majorBidi"/>
          <w:b/>
          <w:bCs/>
          <w:sz w:val="20"/>
          <w:szCs w:val="20"/>
        </w:rPr>
      </w:pPr>
    </w:p>
    <w:p w14:paraId="26825A8E" w14:textId="6D3C7392" w:rsidR="0000727D" w:rsidRPr="0004264F" w:rsidRDefault="0000727D" w:rsidP="00F32C69">
      <w:pPr>
        <w:rPr>
          <w:rFonts w:cstheme="majorBidi"/>
          <w:b/>
          <w:bCs/>
          <w:sz w:val="20"/>
          <w:szCs w:val="20"/>
        </w:rPr>
      </w:pPr>
    </w:p>
    <w:p w14:paraId="432A9E0D" w14:textId="4477446C" w:rsidR="0000727D" w:rsidRPr="0004264F" w:rsidRDefault="0000727D" w:rsidP="00F32C69">
      <w:pPr>
        <w:rPr>
          <w:rFonts w:cstheme="majorBidi"/>
          <w:b/>
          <w:bCs/>
          <w:sz w:val="20"/>
          <w:szCs w:val="20"/>
        </w:rPr>
      </w:pPr>
    </w:p>
    <w:p w14:paraId="2E88AA1E" w14:textId="5A0C7F7F" w:rsidR="0000727D" w:rsidRPr="0004264F" w:rsidRDefault="0000727D" w:rsidP="00F32C69">
      <w:pPr>
        <w:rPr>
          <w:rFonts w:cstheme="majorBidi"/>
          <w:b/>
          <w:bCs/>
          <w:sz w:val="20"/>
          <w:szCs w:val="20"/>
        </w:rPr>
      </w:pPr>
    </w:p>
    <w:p w14:paraId="2C84196F" w14:textId="183861C8" w:rsidR="0000727D" w:rsidRPr="0004264F" w:rsidRDefault="0000727D" w:rsidP="00F32C69">
      <w:pPr>
        <w:rPr>
          <w:rFonts w:cstheme="majorBidi"/>
          <w:b/>
          <w:bCs/>
          <w:sz w:val="20"/>
          <w:szCs w:val="20"/>
        </w:rPr>
      </w:pPr>
    </w:p>
    <w:p w14:paraId="460BF8B8" w14:textId="5451741F" w:rsidR="0000727D" w:rsidRPr="0004264F" w:rsidRDefault="0000727D" w:rsidP="00F32C69">
      <w:pPr>
        <w:rPr>
          <w:rFonts w:cstheme="majorBidi"/>
          <w:b/>
          <w:bCs/>
          <w:sz w:val="20"/>
          <w:szCs w:val="20"/>
        </w:rPr>
      </w:pPr>
    </w:p>
    <w:p w14:paraId="53E0BBD4" w14:textId="6F928370" w:rsidR="0000727D" w:rsidRPr="0004264F" w:rsidRDefault="0000727D" w:rsidP="00F32C69">
      <w:pPr>
        <w:rPr>
          <w:rFonts w:cstheme="majorBidi"/>
          <w:b/>
          <w:bCs/>
          <w:sz w:val="20"/>
          <w:szCs w:val="20"/>
        </w:rPr>
      </w:pPr>
    </w:p>
    <w:p w14:paraId="62C94E34" w14:textId="5FCA1E18" w:rsidR="0000727D" w:rsidRPr="0004264F" w:rsidRDefault="0000727D" w:rsidP="00F32C69">
      <w:pPr>
        <w:rPr>
          <w:rFonts w:cstheme="majorBidi"/>
          <w:b/>
          <w:bCs/>
          <w:sz w:val="20"/>
          <w:szCs w:val="20"/>
        </w:rPr>
      </w:pPr>
    </w:p>
    <w:p w14:paraId="67F16C90" w14:textId="33DEB518" w:rsidR="0000727D" w:rsidRPr="0004264F" w:rsidRDefault="0000727D" w:rsidP="00F32C69">
      <w:pPr>
        <w:rPr>
          <w:rFonts w:cstheme="majorBidi"/>
          <w:b/>
          <w:bCs/>
          <w:sz w:val="20"/>
          <w:szCs w:val="20"/>
        </w:rPr>
      </w:pPr>
    </w:p>
    <w:p w14:paraId="01D618F6" w14:textId="0D885489" w:rsidR="0000727D" w:rsidRPr="0004264F" w:rsidRDefault="0000727D" w:rsidP="00F32C69">
      <w:pPr>
        <w:rPr>
          <w:rFonts w:cstheme="majorBidi"/>
          <w:b/>
          <w:bCs/>
          <w:sz w:val="20"/>
          <w:szCs w:val="20"/>
        </w:rPr>
      </w:pPr>
    </w:p>
    <w:p w14:paraId="421FC3F8" w14:textId="57ADD46A" w:rsidR="0000727D" w:rsidRPr="0004264F" w:rsidRDefault="0000727D" w:rsidP="00F32C69">
      <w:pPr>
        <w:rPr>
          <w:rFonts w:cstheme="majorBidi"/>
          <w:b/>
          <w:bCs/>
          <w:sz w:val="20"/>
          <w:szCs w:val="20"/>
        </w:rPr>
      </w:pPr>
    </w:p>
    <w:p w14:paraId="42BABFBF" w14:textId="115AE90B" w:rsidR="0000727D" w:rsidRPr="0004264F" w:rsidRDefault="0000727D" w:rsidP="00F32C69">
      <w:pPr>
        <w:rPr>
          <w:rFonts w:cstheme="majorBidi"/>
          <w:b/>
          <w:bCs/>
          <w:sz w:val="20"/>
          <w:szCs w:val="20"/>
        </w:rPr>
      </w:pPr>
    </w:p>
    <w:p w14:paraId="67AAF8A0" w14:textId="75880C19" w:rsidR="0000727D" w:rsidRPr="0004264F" w:rsidRDefault="0000727D" w:rsidP="00F32C69">
      <w:pPr>
        <w:rPr>
          <w:rFonts w:cstheme="majorBidi"/>
          <w:b/>
          <w:bCs/>
          <w:sz w:val="20"/>
          <w:szCs w:val="20"/>
        </w:rPr>
      </w:pPr>
    </w:p>
    <w:p w14:paraId="7F451450" w14:textId="0F1332E9" w:rsidR="0000727D" w:rsidRPr="0004264F" w:rsidRDefault="0000727D" w:rsidP="00F32C69">
      <w:pPr>
        <w:rPr>
          <w:rFonts w:cstheme="majorBidi"/>
          <w:b/>
          <w:bCs/>
          <w:sz w:val="20"/>
          <w:szCs w:val="20"/>
        </w:rPr>
      </w:pPr>
    </w:p>
    <w:p w14:paraId="6E94D395" w14:textId="019058D9" w:rsidR="0000727D" w:rsidRPr="0004264F" w:rsidRDefault="0000727D" w:rsidP="00F32C69">
      <w:pPr>
        <w:rPr>
          <w:rFonts w:cstheme="majorBidi"/>
          <w:b/>
          <w:bCs/>
          <w:sz w:val="20"/>
          <w:szCs w:val="20"/>
        </w:rPr>
      </w:pPr>
    </w:p>
    <w:p w14:paraId="19AD3781" w14:textId="48638545" w:rsidR="0000727D" w:rsidRPr="0004264F" w:rsidRDefault="0000727D" w:rsidP="00F32C69">
      <w:pPr>
        <w:rPr>
          <w:rFonts w:cstheme="majorBidi"/>
          <w:b/>
          <w:bCs/>
          <w:sz w:val="20"/>
          <w:szCs w:val="20"/>
        </w:rPr>
      </w:pPr>
    </w:p>
    <w:p w14:paraId="2CFC8EB9" w14:textId="66BC5519" w:rsidR="0000727D" w:rsidRPr="0004264F" w:rsidRDefault="0000727D" w:rsidP="00F32C69">
      <w:pPr>
        <w:rPr>
          <w:rFonts w:cstheme="majorBidi"/>
          <w:b/>
          <w:bCs/>
          <w:sz w:val="20"/>
          <w:szCs w:val="20"/>
        </w:rPr>
      </w:pPr>
    </w:p>
    <w:p w14:paraId="62198ADA" w14:textId="1C12D75C" w:rsidR="0000727D" w:rsidRPr="0004264F" w:rsidRDefault="0000727D" w:rsidP="00F32C69">
      <w:pPr>
        <w:rPr>
          <w:rFonts w:cstheme="majorBidi"/>
          <w:b/>
          <w:bCs/>
          <w:sz w:val="20"/>
          <w:szCs w:val="20"/>
        </w:rPr>
      </w:pPr>
    </w:p>
    <w:p w14:paraId="19DCAEE7" w14:textId="7A159EC6" w:rsidR="0000727D" w:rsidRPr="0004264F" w:rsidRDefault="0000727D" w:rsidP="00F32C69">
      <w:pPr>
        <w:rPr>
          <w:rFonts w:cstheme="majorBidi"/>
          <w:b/>
          <w:bCs/>
          <w:sz w:val="20"/>
          <w:szCs w:val="20"/>
        </w:rPr>
      </w:pPr>
    </w:p>
    <w:p w14:paraId="2A7901E0" w14:textId="6422B63E" w:rsidR="0000727D" w:rsidRPr="0004264F" w:rsidRDefault="0000727D" w:rsidP="00F32C69">
      <w:pPr>
        <w:rPr>
          <w:rFonts w:cstheme="majorBidi"/>
          <w:b/>
          <w:bCs/>
          <w:sz w:val="20"/>
          <w:szCs w:val="20"/>
        </w:rPr>
      </w:pPr>
    </w:p>
    <w:p w14:paraId="22B65F36" w14:textId="7EA85EC3" w:rsidR="0000727D" w:rsidRPr="0004264F" w:rsidRDefault="0000727D" w:rsidP="00F32C69">
      <w:pPr>
        <w:rPr>
          <w:rFonts w:cstheme="majorBidi"/>
          <w:b/>
          <w:bCs/>
          <w:sz w:val="20"/>
          <w:szCs w:val="20"/>
        </w:rPr>
      </w:pPr>
    </w:p>
    <w:p w14:paraId="1C484BF0" w14:textId="70B62D0F" w:rsidR="0000727D" w:rsidRPr="0004264F" w:rsidRDefault="0000727D" w:rsidP="00F32C69">
      <w:pPr>
        <w:rPr>
          <w:rFonts w:cstheme="majorBidi"/>
          <w:b/>
          <w:bCs/>
          <w:sz w:val="20"/>
          <w:szCs w:val="20"/>
        </w:rPr>
      </w:pPr>
    </w:p>
    <w:p w14:paraId="355B24EF" w14:textId="77777777" w:rsidR="0000727D" w:rsidRPr="0004264F" w:rsidRDefault="0000727D" w:rsidP="0000727D">
      <w:pPr>
        <w:rPr>
          <w:rFonts w:cstheme="majorBidi"/>
          <w:b/>
          <w:bCs/>
          <w:sz w:val="20"/>
          <w:szCs w:val="20"/>
        </w:rPr>
      </w:pPr>
    </w:p>
    <w:p w14:paraId="04A4BE38" w14:textId="77777777" w:rsidR="0000727D" w:rsidRPr="0004264F" w:rsidRDefault="0000727D" w:rsidP="0000727D">
      <w:pPr>
        <w:rPr>
          <w:rFonts w:cstheme="majorBidi"/>
          <w:b/>
          <w:bCs/>
          <w:sz w:val="20"/>
          <w:szCs w:val="20"/>
        </w:rPr>
      </w:pPr>
    </w:p>
    <w:p w14:paraId="3F221235" w14:textId="77777777" w:rsidR="0000727D" w:rsidRPr="0004264F" w:rsidRDefault="0000727D" w:rsidP="0000727D">
      <w:pPr>
        <w:rPr>
          <w:rFonts w:cstheme="majorBidi"/>
          <w:b/>
          <w:bCs/>
          <w:sz w:val="20"/>
          <w:szCs w:val="20"/>
        </w:rPr>
      </w:pPr>
    </w:p>
    <w:p w14:paraId="19214702" w14:textId="77777777" w:rsidR="0000727D" w:rsidRPr="0004264F" w:rsidRDefault="0000727D" w:rsidP="0000727D">
      <w:pPr>
        <w:pStyle w:val="Caption"/>
        <w:keepNext/>
        <w:bidi w:val="0"/>
        <w:rPr>
          <w:rFonts w:cstheme="majorBidi"/>
        </w:rPr>
      </w:pPr>
    </w:p>
    <w:p w14:paraId="2CADE3B5" w14:textId="67BD6ECD" w:rsidR="0000727D" w:rsidRPr="0004264F" w:rsidRDefault="0000727D" w:rsidP="0000727D">
      <w:pPr>
        <w:pStyle w:val="Caption"/>
        <w:keepNext/>
        <w:bidi w:val="0"/>
        <w:rPr>
          <w:rFonts w:cstheme="majorBidi"/>
        </w:rPr>
      </w:pPr>
      <w:bookmarkStart w:id="15" w:name="_Ref118902360"/>
      <w:r w:rsidRPr="0004264F">
        <w:rPr>
          <w:rFonts w:cstheme="majorBidi"/>
        </w:rPr>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5</w:t>
      </w:r>
      <w:r w:rsidRPr="0004264F">
        <w:rPr>
          <w:rFonts w:cstheme="majorBidi"/>
          <w:noProof/>
        </w:rPr>
        <w:fldChar w:fldCharType="end"/>
      </w:r>
      <w:bookmarkEnd w:id="15"/>
      <w:r w:rsidRPr="0004264F">
        <w:rPr>
          <w:rFonts w:cstheme="majorBidi"/>
        </w:rPr>
        <w:t xml:space="preserve"> - Assigning Deposits per Capita at Pre-prenatal, Prenatal, and Postnatal Periods</w:t>
      </w:r>
    </w:p>
    <w:tbl>
      <w:tblPr>
        <w:tblStyle w:val="TableGrid"/>
        <w:tblW w:w="90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3"/>
        <w:gridCol w:w="2274"/>
        <w:gridCol w:w="2274"/>
        <w:gridCol w:w="2276"/>
      </w:tblGrid>
      <w:tr w:rsidR="0000727D" w:rsidRPr="0004264F" w14:paraId="1EA945EC" w14:textId="77777777" w:rsidTr="00815DAF">
        <w:trPr>
          <w:trHeight w:val="220"/>
          <w:jc w:val="center"/>
        </w:trPr>
        <w:tc>
          <w:tcPr>
            <w:tcW w:w="2273" w:type="dxa"/>
            <w:tcBorders>
              <w:top w:val="single" w:sz="4" w:space="0" w:color="auto"/>
            </w:tcBorders>
            <w:vAlign w:val="center"/>
          </w:tcPr>
          <w:p w14:paraId="26055146" w14:textId="77777777" w:rsidR="0000727D" w:rsidRPr="0004264F" w:rsidRDefault="0000727D" w:rsidP="00815DAF">
            <w:pPr>
              <w:rPr>
                <w:rFonts w:cstheme="majorBidi"/>
                <w:sz w:val="20"/>
                <w:szCs w:val="20"/>
              </w:rPr>
            </w:pPr>
          </w:p>
        </w:tc>
        <w:tc>
          <w:tcPr>
            <w:tcW w:w="6824" w:type="dxa"/>
            <w:gridSpan w:val="3"/>
            <w:tcBorders>
              <w:top w:val="single" w:sz="4" w:space="0" w:color="auto"/>
              <w:bottom w:val="single" w:sz="4" w:space="0" w:color="auto"/>
            </w:tcBorders>
            <w:vAlign w:val="center"/>
          </w:tcPr>
          <w:p w14:paraId="350BBEF3" w14:textId="77777777" w:rsidR="0000727D" w:rsidRPr="0004264F" w:rsidRDefault="0000727D" w:rsidP="00815DAF">
            <w:pPr>
              <w:jc w:val="center"/>
              <w:rPr>
                <w:rFonts w:cstheme="majorBidi"/>
                <w:sz w:val="20"/>
                <w:szCs w:val="20"/>
              </w:rPr>
            </w:pPr>
            <w:r w:rsidRPr="0004264F">
              <w:rPr>
                <w:rFonts w:cstheme="majorBidi"/>
                <w:sz w:val="20"/>
                <w:szCs w:val="20"/>
              </w:rPr>
              <w:t>Outcome: Death Age (Months)</w:t>
            </w:r>
          </w:p>
        </w:tc>
      </w:tr>
      <w:tr w:rsidR="0000727D" w:rsidRPr="0004264F" w14:paraId="3A88F818" w14:textId="77777777" w:rsidTr="00815DAF">
        <w:trPr>
          <w:trHeight w:val="220"/>
          <w:jc w:val="center"/>
        </w:trPr>
        <w:tc>
          <w:tcPr>
            <w:tcW w:w="2273" w:type="dxa"/>
            <w:tcBorders>
              <w:bottom w:val="single" w:sz="4" w:space="0" w:color="auto"/>
            </w:tcBorders>
            <w:vAlign w:val="center"/>
          </w:tcPr>
          <w:p w14:paraId="5EEC39D0" w14:textId="77777777" w:rsidR="0000727D" w:rsidRPr="0004264F" w:rsidRDefault="0000727D" w:rsidP="00815DAF">
            <w:pPr>
              <w:rPr>
                <w:rFonts w:cstheme="majorBidi"/>
                <w:sz w:val="20"/>
                <w:szCs w:val="20"/>
              </w:rPr>
            </w:pPr>
          </w:p>
        </w:tc>
        <w:tc>
          <w:tcPr>
            <w:tcW w:w="2274" w:type="dxa"/>
            <w:tcBorders>
              <w:top w:val="single" w:sz="4" w:space="0" w:color="auto"/>
              <w:bottom w:val="single" w:sz="4" w:space="0" w:color="auto"/>
            </w:tcBorders>
            <w:vAlign w:val="center"/>
          </w:tcPr>
          <w:p w14:paraId="2772BA8E" w14:textId="77777777" w:rsidR="0000727D" w:rsidRPr="0004264F" w:rsidRDefault="0000727D" w:rsidP="00815DAF">
            <w:pPr>
              <w:jc w:val="center"/>
              <w:rPr>
                <w:rFonts w:cstheme="majorBidi"/>
                <w:sz w:val="20"/>
                <w:szCs w:val="20"/>
              </w:rPr>
            </w:pPr>
            <w:r w:rsidRPr="0004264F">
              <w:rPr>
                <w:rFonts w:cstheme="majorBidi"/>
                <w:sz w:val="20"/>
                <w:szCs w:val="20"/>
              </w:rPr>
              <w:t>(1)</w:t>
            </w:r>
          </w:p>
        </w:tc>
        <w:tc>
          <w:tcPr>
            <w:tcW w:w="2274" w:type="dxa"/>
            <w:tcBorders>
              <w:top w:val="single" w:sz="4" w:space="0" w:color="auto"/>
              <w:bottom w:val="single" w:sz="4" w:space="0" w:color="auto"/>
            </w:tcBorders>
            <w:vAlign w:val="center"/>
          </w:tcPr>
          <w:p w14:paraId="776B92D4" w14:textId="77777777" w:rsidR="0000727D" w:rsidRPr="0004264F" w:rsidRDefault="0000727D" w:rsidP="00815DAF">
            <w:pPr>
              <w:jc w:val="center"/>
              <w:rPr>
                <w:rFonts w:cstheme="majorBidi"/>
                <w:sz w:val="20"/>
                <w:szCs w:val="20"/>
              </w:rPr>
            </w:pPr>
            <w:r w:rsidRPr="0004264F">
              <w:rPr>
                <w:rFonts w:cstheme="majorBidi"/>
                <w:sz w:val="20"/>
                <w:szCs w:val="20"/>
              </w:rPr>
              <w:t>(2)</w:t>
            </w:r>
          </w:p>
        </w:tc>
        <w:tc>
          <w:tcPr>
            <w:tcW w:w="2276" w:type="dxa"/>
            <w:tcBorders>
              <w:top w:val="single" w:sz="4" w:space="0" w:color="auto"/>
              <w:bottom w:val="single" w:sz="4" w:space="0" w:color="auto"/>
            </w:tcBorders>
            <w:vAlign w:val="center"/>
          </w:tcPr>
          <w:p w14:paraId="74ECC686" w14:textId="77777777" w:rsidR="0000727D" w:rsidRPr="0004264F" w:rsidRDefault="0000727D" w:rsidP="00815DAF">
            <w:pPr>
              <w:jc w:val="center"/>
              <w:rPr>
                <w:rFonts w:cstheme="majorBidi"/>
                <w:sz w:val="20"/>
                <w:szCs w:val="20"/>
              </w:rPr>
            </w:pPr>
            <w:r w:rsidRPr="0004264F">
              <w:rPr>
                <w:rFonts w:cstheme="majorBidi"/>
                <w:sz w:val="20"/>
                <w:szCs w:val="20"/>
              </w:rPr>
              <w:t>(3)</w:t>
            </w:r>
          </w:p>
        </w:tc>
      </w:tr>
      <w:tr w:rsidR="00015CEF" w:rsidRPr="0004264F" w14:paraId="510BACF1" w14:textId="77777777" w:rsidTr="00815DAF">
        <w:trPr>
          <w:trHeight w:val="208"/>
          <w:jc w:val="center"/>
        </w:trPr>
        <w:tc>
          <w:tcPr>
            <w:tcW w:w="2273" w:type="dxa"/>
            <w:vMerge w:val="restart"/>
            <w:vAlign w:val="center"/>
          </w:tcPr>
          <w:p w14:paraId="33A27C79" w14:textId="77777777" w:rsidR="00015CEF" w:rsidRPr="0004264F" w:rsidRDefault="00015CEF" w:rsidP="00015CEF">
            <w:pPr>
              <w:rPr>
                <w:rFonts w:cstheme="majorBidi"/>
                <w:sz w:val="20"/>
                <w:szCs w:val="20"/>
              </w:rPr>
            </w:pPr>
            <w:r w:rsidRPr="0004264F">
              <w:rPr>
                <w:rFonts w:cstheme="majorBidi"/>
                <w:sz w:val="20"/>
                <w:szCs w:val="20"/>
              </w:rPr>
              <w:t>Two Years Pre-Prenatal</w:t>
            </w:r>
          </w:p>
        </w:tc>
        <w:tc>
          <w:tcPr>
            <w:tcW w:w="2274" w:type="dxa"/>
          </w:tcPr>
          <w:p w14:paraId="7B8DF9EE" w14:textId="270C32E8" w:rsidR="00015CEF" w:rsidRPr="0004264F" w:rsidRDefault="00015CEF" w:rsidP="00015CEF">
            <w:pPr>
              <w:jc w:val="center"/>
              <w:rPr>
                <w:rFonts w:cstheme="majorBidi"/>
                <w:sz w:val="20"/>
                <w:szCs w:val="20"/>
              </w:rPr>
            </w:pPr>
            <w:r w:rsidRPr="0004264F">
              <w:rPr>
                <w:rFonts w:cstheme="majorBidi"/>
                <w:sz w:val="20"/>
                <w:szCs w:val="20"/>
              </w:rPr>
              <w:t>-.54054</w:t>
            </w:r>
          </w:p>
        </w:tc>
        <w:tc>
          <w:tcPr>
            <w:tcW w:w="2274" w:type="dxa"/>
          </w:tcPr>
          <w:p w14:paraId="10BA26B6" w14:textId="1A09C2B1" w:rsidR="00015CEF" w:rsidRPr="0004264F" w:rsidRDefault="00015CEF" w:rsidP="00015CEF">
            <w:pPr>
              <w:jc w:val="center"/>
              <w:rPr>
                <w:rFonts w:cstheme="majorBidi"/>
                <w:sz w:val="20"/>
                <w:szCs w:val="20"/>
              </w:rPr>
            </w:pPr>
            <w:r w:rsidRPr="0004264F">
              <w:rPr>
                <w:rFonts w:cstheme="majorBidi"/>
                <w:sz w:val="20"/>
                <w:szCs w:val="20"/>
              </w:rPr>
              <w:t>-.54144</w:t>
            </w:r>
          </w:p>
        </w:tc>
        <w:tc>
          <w:tcPr>
            <w:tcW w:w="2276" w:type="dxa"/>
          </w:tcPr>
          <w:p w14:paraId="506BC259" w14:textId="037EB850" w:rsidR="00015CEF" w:rsidRPr="0004264F" w:rsidRDefault="00015CEF" w:rsidP="00015CEF">
            <w:pPr>
              <w:jc w:val="center"/>
              <w:rPr>
                <w:rFonts w:cstheme="majorBidi"/>
                <w:sz w:val="20"/>
                <w:szCs w:val="20"/>
              </w:rPr>
            </w:pPr>
            <w:r w:rsidRPr="0004264F">
              <w:rPr>
                <w:rFonts w:cstheme="majorBidi"/>
                <w:sz w:val="20"/>
                <w:szCs w:val="20"/>
              </w:rPr>
              <w:t>-.43639</w:t>
            </w:r>
          </w:p>
        </w:tc>
      </w:tr>
      <w:tr w:rsidR="00015CEF" w:rsidRPr="0004264F" w14:paraId="42D07B47" w14:textId="77777777" w:rsidTr="00815DAF">
        <w:trPr>
          <w:trHeight w:val="233"/>
          <w:jc w:val="center"/>
        </w:trPr>
        <w:tc>
          <w:tcPr>
            <w:tcW w:w="2273" w:type="dxa"/>
            <w:vMerge/>
            <w:vAlign w:val="center"/>
          </w:tcPr>
          <w:p w14:paraId="47F686DF" w14:textId="77777777" w:rsidR="00015CEF" w:rsidRPr="0004264F" w:rsidRDefault="00015CEF" w:rsidP="00015CEF">
            <w:pPr>
              <w:rPr>
                <w:rFonts w:cstheme="majorBidi"/>
                <w:sz w:val="20"/>
                <w:szCs w:val="20"/>
              </w:rPr>
            </w:pPr>
          </w:p>
        </w:tc>
        <w:tc>
          <w:tcPr>
            <w:tcW w:w="2274" w:type="dxa"/>
          </w:tcPr>
          <w:p w14:paraId="57A0F360" w14:textId="2F719324" w:rsidR="00015CEF" w:rsidRPr="0004264F" w:rsidRDefault="00015CEF" w:rsidP="00015CEF">
            <w:pPr>
              <w:jc w:val="center"/>
              <w:rPr>
                <w:rFonts w:cstheme="majorBidi"/>
                <w:sz w:val="20"/>
                <w:szCs w:val="20"/>
              </w:rPr>
            </w:pPr>
            <w:r w:rsidRPr="0004264F">
              <w:rPr>
                <w:rFonts w:cstheme="majorBidi"/>
                <w:sz w:val="20"/>
                <w:szCs w:val="20"/>
              </w:rPr>
              <w:t>(.65818)</w:t>
            </w:r>
          </w:p>
        </w:tc>
        <w:tc>
          <w:tcPr>
            <w:tcW w:w="2274" w:type="dxa"/>
          </w:tcPr>
          <w:p w14:paraId="54A585F6" w14:textId="3326A582" w:rsidR="00015CEF" w:rsidRPr="0004264F" w:rsidRDefault="00015CEF" w:rsidP="00015CEF">
            <w:pPr>
              <w:jc w:val="center"/>
              <w:rPr>
                <w:rFonts w:cstheme="majorBidi"/>
                <w:sz w:val="20"/>
                <w:szCs w:val="20"/>
              </w:rPr>
            </w:pPr>
            <w:r w:rsidRPr="0004264F">
              <w:rPr>
                <w:rFonts w:cstheme="majorBidi"/>
                <w:sz w:val="20"/>
                <w:szCs w:val="20"/>
              </w:rPr>
              <w:t>(.66487)</w:t>
            </w:r>
          </w:p>
        </w:tc>
        <w:tc>
          <w:tcPr>
            <w:tcW w:w="2276" w:type="dxa"/>
          </w:tcPr>
          <w:p w14:paraId="6D111145" w14:textId="6CA82AC0" w:rsidR="00015CEF" w:rsidRPr="0004264F" w:rsidRDefault="00015CEF" w:rsidP="00015CEF">
            <w:pPr>
              <w:jc w:val="center"/>
              <w:rPr>
                <w:rFonts w:cstheme="majorBidi"/>
                <w:sz w:val="20"/>
                <w:szCs w:val="20"/>
              </w:rPr>
            </w:pPr>
            <w:r w:rsidRPr="0004264F">
              <w:rPr>
                <w:rFonts w:cstheme="majorBidi"/>
                <w:sz w:val="20"/>
                <w:szCs w:val="20"/>
              </w:rPr>
              <w:t>(.82259)</w:t>
            </w:r>
          </w:p>
        </w:tc>
      </w:tr>
      <w:tr w:rsidR="00015CEF" w:rsidRPr="0004264F" w14:paraId="5C208F7A" w14:textId="77777777" w:rsidTr="00815DAF">
        <w:trPr>
          <w:trHeight w:val="233"/>
          <w:jc w:val="center"/>
        </w:trPr>
        <w:tc>
          <w:tcPr>
            <w:tcW w:w="2273" w:type="dxa"/>
            <w:vMerge w:val="restart"/>
            <w:vAlign w:val="center"/>
          </w:tcPr>
          <w:p w14:paraId="53162C55" w14:textId="77777777" w:rsidR="00015CEF" w:rsidRPr="0004264F" w:rsidRDefault="00015CEF" w:rsidP="00015CEF">
            <w:pPr>
              <w:rPr>
                <w:rFonts w:cstheme="majorBidi"/>
                <w:sz w:val="20"/>
                <w:szCs w:val="20"/>
              </w:rPr>
            </w:pPr>
            <w:r w:rsidRPr="0004264F">
              <w:rPr>
                <w:rFonts w:cstheme="majorBidi"/>
                <w:sz w:val="20"/>
                <w:szCs w:val="20"/>
              </w:rPr>
              <w:t>During In Utero</w:t>
            </w:r>
          </w:p>
        </w:tc>
        <w:tc>
          <w:tcPr>
            <w:tcW w:w="2274" w:type="dxa"/>
          </w:tcPr>
          <w:p w14:paraId="14AF950B" w14:textId="0A7D0AFE" w:rsidR="00015CEF" w:rsidRPr="0004264F" w:rsidRDefault="00015CEF" w:rsidP="00015CEF">
            <w:pPr>
              <w:jc w:val="center"/>
              <w:rPr>
                <w:rFonts w:cstheme="majorBidi"/>
                <w:sz w:val="20"/>
                <w:szCs w:val="20"/>
              </w:rPr>
            </w:pPr>
            <w:r w:rsidRPr="0004264F">
              <w:rPr>
                <w:rFonts w:cstheme="majorBidi"/>
                <w:sz w:val="20"/>
                <w:szCs w:val="20"/>
              </w:rPr>
              <w:t>2.14054**</w:t>
            </w:r>
          </w:p>
        </w:tc>
        <w:tc>
          <w:tcPr>
            <w:tcW w:w="2274" w:type="dxa"/>
          </w:tcPr>
          <w:p w14:paraId="2EF58A82" w14:textId="7A1B581C" w:rsidR="00015CEF" w:rsidRPr="0004264F" w:rsidRDefault="00015CEF" w:rsidP="00015CEF">
            <w:pPr>
              <w:jc w:val="center"/>
              <w:rPr>
                <w:rFonts w:cstheme="majorBidi"/>
                <w:sz w:val="20"/>
                <w:szCs w:val="20"/>
              </w:rPr>
            </w:pPr>
            <w:r w:rsidRPr="0004264F">
              <w:rPr>
                <w:rFonts w:cstheme="majorBidi"/>
                <w:sz w:val="20"/>
                <w:szCs w:val="20"/>
              </w:rPr>
              <w:t>2.13353**</w:t>
            </w:r>
          </w:p>
        </w:tc>
        <w:tc>
          <w:tcPr>
            <w:tcW w:w="2276" w:type="dxa"/>
          </w:tcPr>
          <w:p w14:paraId="1CCF69F5" w14:textId="06101FF7" w:rsidR="00015CEF" w:rsidRPr="0004264F" w:rsidRDefault="00015CEF" w:rsidP="00015CEF">
            <w:pPr>
              <w:jc w:val="center"/>
              <w:rPr>
                <w:rFonts w:cstheme="majorBidi"/>
                <w:sz w:val="20"/>
                <w:szCs w:val="20"/>
              </w:rPr>
            </w:pPr>
            <w:r w:rsidRPr="0004264F">
              <w:rPr>
                <w:rFonts w:cstheme="majorBidi"/>
                <w:sz w:val="20"/>
                <w:szCs w:val="20"/>
              </w:rPr>
              <w:t>1.96145**</w:t>
            </w:r>
          </w:p>
        </w:tc>
      </w:tr>
      <w:tr w:rsidR="00015CEF" w:rsidRPr="0004264F" w14:paraId="51791DE0" w14:textId="77777777" w:rsidTr="00815DAF">
        <w:trPr>
          <w:trHeight w:val="233"/>
          <w:jc w:val="center"/>
        </w:trPr>
        <w:tc>
          <w:tcPr>
            <w:tcW w:w="2273" w:type="dxa"/>
            <w:vMerge/>
            <w:vAlign w:val="center"/>
          </w:tcPr>
          <w:p w14:paraId="682D335A" w14:textId="77777777" w:rsidR="00015CEF" w:rsidRPr="0004264F" w:rsidRDefault="00015CEF" w:rsidP="00015CEF">
            <w:pPr>
              <w:rPr>
                <w:rFonts w:cstheme="majorBidi"/>
                <w:sz w:val="20"/>
                <w:szCs w:val="20"/>
              </w:rPr>
            </w:pPr>
          </w:p>
        </w:tc>
        <w:tc>
          <w:tcPr>
            <w:tcW w:w="2274" w:type="dxa"/>
          </w:tcPr>
          <w:p w14:paraId="29180373" w14:textId="33A6E886" w:rsidR="00015CEF" w:rsidRPr="0004264F" w:rsidRDefault="00015CEF" w:rsidP="00015CEF">
            <w:pPr>
              <w:jc w:val="center"/>
              <w:rPr>
                <w:rFonts w:cstheme="majorBidi"/>
                <w:sz w:val="20"/>
                <w:szCs w:val="20"/>
              </w:rPr>
            </w:pPr>
            <w:r w:rsidRPr="0004264F">
              <w:rPr>
                <w:rFonts w:cstheme="majorBidi"/>
                <w:sz w:val="20"/>
                <w:szCs w:val="20"/>
              </w:rPr>
              <w:t>(1.07014)</w:t>
            </w:r>
          </w:p>
        </w:tc>
        <w:tc>
          <w:tcPr>
            <w:tcW w:w="2274" w:type="dxa"/>
          </w:tcPr>
          <w:p w14:paraId="19492101" w14:textId="25333373" w:rsidR="00015CEF" w:rsidRPr="0004264F" w:rsidRDefault="00015CEF" w:rsidP="00015CEF">
            <w:pPr>
              <w:jc w:val="center"/>
              <w:rPr>
                <w:rFonts w:cstheme="majorBidi"/>
                <w:sz w:val="20"/>
                <w:szCs w:val="20"/>
              </w:rPr>
            </w:pPr>
            <w:r w:rsidRPr="0004264F">
              <w:rPr>
                <w:rFonts w:cstheme="majorBidi"/>
                <w:sz w:val="20"/>
                <w:szCs w:val="20"/>
              </w:rPr>
              <w:t>(1.07366)</w:t>
            </w:r>
          </w:p>
        </w:tc>
        <w:tc>
          <w:tcPr>
            <w:tcW w:w="2276" w:type="dxa"/>
          </w:tcPr>
          <w:p w14:paraId="2583EF1E" w14:textId="3849834B" w:rsidR="00015CEF" w:rsidRPr="0004264F" w:rsidRDefault="00015CEF" w:rsidP="00015CEF">
            <w:pPr>
              <w:jc w:val="center"/>
              <w:rPr>
                <w:rFonts w:cstheme="majorBidi"/>
                <w:sz w:val="20"/>
                <w:szCs w:val="20"/>
              </w:rPr>
            </w:pPr>
            <w:r w:rsidRPr="0004264F">
              <w:rPr>
                <w:rFonts w:cstheme="majorBidi"/>
                <w:sz w:val="20"/>
                <w:szCs w:val="20"/>
              </w:rPr>
              <w:t>(.95119)</w:t>
            </w:r>
          </w:p>
        </w:tc>
      </w:tr>
      <w:tr w:rsidR="00015CEF" w:rsidRPr="0004264F" w14:paraId="2C37E54A" w14:textId="77777777" w:rsidTr="00815DAF">
        <w:trPr>
          <w:trHeight w:val="233"/>
          <w:jc w:val="center"/>
        </w:trPr>
        <w:tc>
          <w:tcPr>
            <w:tcW w:w="2273" w:type="dxa"/>
            <w:vMerge w:val="restart"/>
            <w:vAlign w:val="center"/>
          </w:tcPr>
          <w:p w14:paraId="2E7BFB42" w14:textId="77777777" w:rsidR="00015CEF" w:rsidRPr="0004264F" w:rsidRDefault="00015CEF" w:rsidP="00015CEF">
            <w:pPr>
              <w:rPr>
                <w:rFonts w:cstheme="majorBidi"/>
                <w:sz w:val="20"/>
                <w:szCs w:val="20"/>
              </w:rPr>
            </w:pPr>
            <w:r w:rsidRPr="0004264F">
              <w:rPr>
                <w:rFonts w:cstheme="majorBidi"/>
                <w:sz w:val="20"/>
                <w:szCs w:val="20"/>
              </w:rPr>
              <w:t>Two Years Postnatal</w:t>
            </w:r>
          </w:p>
        </w:tc>
        <w:tc>
          <w:tcPr>
            <w:tcW w:w="2274" w:type="dxa"/>
          </w:tcPr>
          <w:p w14:paraId="6562E77E" w14:textId="773E96C8" w:rsidR="00015CEF" w:rsidRPr="0004264F" w:rsidRDefault="00015CEF" w:rsidP="00015CEF">
            <w:pPr>
              <w:jc w:val="center"/>
              <w:rPr>
                <w:rFonts w:cstheme="majorBidi"/>
                <w:sz w:val="20"/>
                <w:szCs w:val="20"/>
              </w:rPr>
            </w:pPr>
            <w:r w:rsidRPr="0004264F">
              <w:rPr>
                <w:rFonts w:cstheme="majorBidi"/>
                <w:sz w:val="20"/>
                <w:szCs w:val="20"/>
              </w:rPr>
              <w:t>-.82156</w:t>
            </w:r>
          </w:p>
        </w:tc>
        <w:tc>
          <w:tcPr>
            <w:tcW w:w="2274" w:type="dxa"/>
          </w:tcPr>
          <w:p w14:paraId="1E57C8C8" w14:textId="372B5BE3" w:rsidR="00015CEF" w:rsidRPr="0004264F" w:rsidRDefault="00015CEF" w:rsidP="00015CEF">
            <w:pPr>
              <w:jc w:val="center"/>
              <w:rPr>
                <w:rFonts w:cstheme="majorBidi"/>
                <w:sz w:val="20"/>
                <w:szCs w:val="20"/>
              </w:rPr>
            </w:pPr>
            <w:r w:rsidRPr="0004264F">
              <w:rPr>
                <w:rFonts w:cstheme="majorBidi"/>
                <w:sz w:val="20"/>
                <w:szCs w:val="20"/>
              </w:rPr>
              <w:t>-.83721</w:t>
            </w:r>
          </w:p>
        </w:tc>
        <w:tc>
          <w:tcPr>
            <w:tcW w:w="2276" w:type="dxa"/>
          </w:tcPr>
          <w:p w14:paraId="28BE6BBC" w14:textId="1570D63B" w:rsidR="00015CEF" w:rsidRPr="0004264F" w:rsidRDefault="00015CEF" w:rsidP="00015CEF">
            <w:pPr>
              <w:jc w:val="center"/>
              <w:rPr>
                <w:rFonts w:cstheme="majorBidi"/>
                <w:sz w:val="20"/>
                <w:szCs w:val="20"/>
              </w:rPr>
            </w:pPr>
            <w:r w:rsidRPr="0004264F">
              <w:rPr>
                <w:rFonts w:cstheme="majorBidi"/>
                <w:sz w:val="20"/>
                <w:szCs w:val="20"/>
              </w:rPr>
              <w:t>-.65997</w:t>
            </w:r>
          </w:p>
        </w:tc>
      </w:tr>
      <w:tr w:rsidR="00015CEF" w:rsidRPr="0004264F" w14:paraId="793DBA1B" w14:textId="77777777" w:rsidTr="00815DAF">
        <w:trPr>
          <w:trHeight w:val="233"/>
          <w:jc w:val="center"/>
        </w:trPr>
        <w:tc>
          <w:tcPr>
            <w:tcW w:w="2273" w:type="dxa"/>
            <w:vMerge/>
            <w:vAlign w:val="center"/>
          </w:tcPr>
          <w:p w14:paraId="77640120" w14:textId="77777777" w:rsidR="00015CEF" w:rsidRPr="0004264F" w:rsidRDefault="00015CEF" w:rsidP="00015CEF">
            <w:pPr>
              <w:rPr>
                <w:rFonts w:cstheme="majorBidi"/>
                <w:sz w:val="20"/>
                <w:szCs w:val="20"/>
              </w:rPr>
            </w:pPr>
          </w:p>
        </w:tc>
        <w:tc>
          <w:tcPr>
            <w:tcW w:w="2274" w:type="dxa"/>
          </w:tcPr>
          <w:p w14:paraId="528C2023" w14:textId="24D742D8" w:rsidR="00015CEF" w:rsidRPr="0004264F" w:rsidRDefault="00015CEF" w:rsidP="00015CEF">
            <w:pPr>
              <w:jc w:val="center"/>
              <w:rPr>
                <w:rFonts w:cstheme="majorBidi"/>
                <w:sz w:val="20"/>
                <w:szCs w:val="20"/>
              </w:rPr>
            </w:pPr>
            <w:r w:rsidRPr="0004264F">
              <w:rPr>
                <w:rFonts w:cstheme="majorBidi"/>
                <w:sz w:val="20"/>
                <w:szCs w:val="20"/>
              </w:rPr>
              <w:t>(.67746)</w:t>
            </w:r>
          </w:p>
        </w:tc>
        <w:tc>
          <w:tcPr>
            <w:tcW w:w="2274" w:type="dxa"/>
          </w:tcPr>
          <w:p w14:paraId="64B9ADC3" w14:textId="712C0ECA" w:rsidR="00015CEF" w:rsidRPr="0004264F" w:rsidRDefault="00015CEF" w:rsidP="00015CEF">
            <w:pPr>
              <w:jc w:val="center"/>
              <w:rPr>
                <w:rFonts w:cstheme="majorBidi"/>
                <w:sz w:val="20"/>
                <w:szCs w:val="20"/>
              </w:rPr>
            </w:pPr>
            <w:r w:rsidRPr="0004264F">
              <w:rPr>
                <w:rFonts w:cstheme="majorBidi"/>
                <w:sz w:val="20"/>
                <w:szCs w:val="20"/>
              </w:rPr>
              <w:t>(.68141)</w:t>
            </w:r>
          </w:p>
        </w:tc>
        <w:tc>
          <w:tcPr>
            <w:tcW w:w="2276" w:type="dxa"/>
          </w:tcPr>
          <w:p w14:paraId="424C03E2" w14:textId="42404FAC" w:rsidR="00015CEF" w:rsidRPr="0004264F" w:rsidRDefault="00015CEF" w:rsidP="00015CEF">
            <w:pPr>
              <w:jc w:val="center"/>
              <w:rPr>
                <w:rFonts w:cstheme="majorBidi"/>
                <w:sz w:val="20"/>
                <w:szCs w:val="20"/>
              </w:rPr>
            </w:pPr>
            <w:r w:rsidRPr="0004264F">
              <w:rPr>
                <w:rFonts w:cstheme="majorBidi"/>
                <w:sz w:val="20"/>
                <w:szCs w:val="20"/>
              </w:rPr>
              <w:t>(.70487)</w:t>
            </w:r>
          </w:p>
        </w:tc>
      </w:tr>
      <w:tr w:rsidR="00015CEF" w:rsidRPr="0004264F" w14:paraId="394EDE21" w14:textId="77777777" w:rsidTr="00815DAF">
        <w:trPr>
          <w:trHeight w:val="233"/>
          <w:jc w:val="center"/>
        </w:trPr>
        <w:tc>
          <w:tcPr>
            <w:tcW w:w="2273" w:type="dxa"/>
            <w:vAlign w:val="center"/>
          </w:tcPr>
          <w:p w14:paraId="5019A92D" w14:textId="77777777" w:rsidR="00015CEF" w:rsidRPr="0004264F" w:rsidRDefault="00015CEF" w:rsidP="00015CEF">
            <w:pPr>
              <w:rPr>
                <w:rFonts w:cstheme="majorBidi"/>
                <w:sz w:val="20"/>
                <w:szCs w:val="20"/>
              </w:rPr>
            </w:pPr>
            <w:r w:rsidRPr="0004264F">
              <w:rPr>
                <w:rFonts w:cstheme="majorBidi"/>
                <w:sz w:val="20"/>
                <w:szCs w:val="20"/>
              </w:rPr>
              <w:t>Observations</w:t>
            </w:r>
          </w:p>
        </w:tc>
        <w:tc>
          <w:tcPr>
            <w:tcW w:w="2274" w:type="dxa"/>
          </w:tcPr>
          <w:p w14:paraId="037BF77F" w14:textId="383D4FBA" w:rsidR="00015CEF" w:rsidRPr="0004264F" w:rsidRDefault="00015CEF" w:rsidP="00015CEF">
            <w:pPr>
              <w:jc w:val="center"/>
              <w:rPr>
                <w:rFonts w:cstheme="majorBidi"/>
                <w:sz w:val="20"/>
                <w:szCs w:val="20"/>
              </w:rPr>
            </w:pPr>
            <w:r w:rsidRPr="0004264F">
              <w:rPr>
                <w:rFonts w:cstheme="majorBidi"/>
                <w:sz w:val="20"/>
                <w:szCs w:val="20"/>
              </w:rPr>
              <w:t>1142972</w:t>
            </w:r>
          </w:p>
        </w:tc>
        <w:tc>
          <w:tcPr>
            <w:tcW w:w="2274" w:type="dxa"/>
          </w:tcPr>
          <w:p w14:paraId="45D275F0" w14:textId="23286F09" w:rsidR="00015CEF" w:rsidRPr="0004264F" w:rsidRDefault="00015CEF" w:rsidP="00015CEF">
            <w:pPr>
              <w:jc w:val="center"/>
              <w:rPr>
                <w:rFonts w:cstheme="majorBidi"/>
                <w:sz w:val="20"/>
                <w:szCs w:val="20"/>
              </w:rPr>
            </w:pPr>
            <w:r w:rsidRPr="0004264F">
              <w:rPr>
                <w:rFonts w:cstheme="majorBidi"/>
                <w:sz w:val="20"/>
                <w:szCs w:val="20"/>
              </w:rPr>
              <w:t>1142972</w:t>
            </w:r>
          </w:p>
        </w:tc>
        <w:tc>
          <w:tcPr>
            <w:tcW w:w="2276" w:type="dxa"/>
          </w:tcPr>
          <w:p w14:paraId="360357DF" w14:textId="6138654A" w:rsidR="00015CEF" w:rsidRPr="0004264F" w:rsidRDefault="00015CEF" w:rsidP="00015CEF">
            <w:pPr>
              <w:jc w:val="center"/>
              <w:rPr>
                <w:rFonts w:cstheme="majorBidi"/>
                <w:sz w:val="20"/>
                <w:szCs w:val="20"/>
              </w:rPr>
            </w:pPr>
            <w:r w:rsidRPr="0004264F">
              <w:rPr>
                <w:rFonts w:cstheme="majorBidi"/>
                <w:sz w:val="20"/>
                <w:szCs w:val="20"/>
              </w:rPr>
              <w:t>1142972</w:t>
            </w:r>
          </w:p>
        </w:tc>
      </w:tr>
      <w:tr w:rsidR="00015CEF" w:rsidRPr="0004264F" w14:paraId="56C426D9" w14:textId="77777777" w:rsidTr="00815DAF">
        <w:trPr>
          <w:trHeight w:val="233"/>
          <w:jc w:val="center"/>
        </w:trPr>
        <w:tc>
          <w:tcPr>
            <w:tcW w:w="2273" w:type="dxa"/>
            <w:vAlign w:val="center"/>
          </w:tcPr>
          <w:p w14:paraId="21AC62D8" w14:textId="77777777" w:rsidR="00015CEF" w:rsidRPr="0004264F" w:rsidRDefault="00015CEF" w:rsidP="00015CEF">
            <w:pPr>
              <w:rPr>
                <w:rFonts w:cstheme="majorBidi"/>
                <w:sz w:val="20"/>
                <w:szCs w:val="20"/>
              </w:rPr>
            </w:pPr>
            <w:r w:rsidRPr="0004264F">
              <w:rPr>
                <w:rFonts w:cstheme="majorBidi"/>
                <w:sz w:val="20"/>
                <w:szCs w:val="20"/>
              </w:rPr>
              <w:t>R-squared</w:t>
            </w:r>
          </w:p>
        </w:tc>
        <w:tc>
          <w:tcPr>
            <w:tcW w:w="2274" w:type="dxa"/>
          </w:tcPr>
          <w:p w14:paraId="6D58BD8D" w14:textId="4B92AA7D" w:rsidR="00015CEF" w:rsidRPr="0004264F" w:rsidRDefault="00015CEF" w:rsidP="00015CEF">
            <w:pPr>
              <w:jc w:val="center"/>
              <w:rPr>
                <w:rFonts w:cstheme="majorBidi"/>
                <w:sz w:val="20"/>
                <w:szCs w:val="20"/>
              </w:rPr>
            </w:pPr>
            <w:r w:rsidRPr="0004264F">
              <w:rPr>
                <w:rFonts w:cstheme="majorBidi"/>
                <w:sz w:val="20"/>
                <w:szCs w:val="20"/>
              </w:rPr>
              <w:t>.09109</w:t>
            </w:r>
          </w:p>
        </w:tc>
        <w:tc>
          <w:tcPr>
            <w:tcW w:w="2274" w:type="dxa"/>
          </w:tcPr>
          <w:p w14:paraId="006CB633" w14:textId="54A358BF" w:rsidR="00015CEF" w:rsidRPr="0004264F" w:rsidRDefault="00015CEF" w:rsidP="00015CEF">
            <w:pPr>
              <w:jc w:val="center"/>
              <w:rPr>
                <w:rFonts w:cstheme="majorBidi"/>
                <w:sz w:val="20"/>
                <w:szCs w:val="20"/>
              </w:rPr>
            </w:pPr>
            <w:r w:rsidRPr="0004264F">
              <w:rPr>
                <w:rFonts w:cstheme="majorBidi"/>
                <w:sz w:val="20"/>
                <w:szCs w:val="20"/>
              </w:rPr>
              <w:t>.09161</w:t>
            </w:r>
          </w:p>
        </w:tc>
        <w:tc>
          <w:tcPr>
            <w:tcW w:w="2276" w:type="dxa"/>
          </w:tcPr>
          <w:p w14:paraId="65966C43" w14:textId="19908157" w:rsidR="00015CEF" w:rsidRPr="0004264F" w:rsidRDefault="00015CEF" w:rsidP="00015CEF">
            <w:pPr>
              <w:jc w:val="center"/>
              <w:rPr>
                <w:rFonts w:cstheme="majorBidi"/>
                <w:sz w:val="20"/>
                <w:szCs w:val="20"/>
              </w:rPr>
            </w:pPr>
            <w:r w:rsidRPr="0004264F">
              <w:rPr>
                <w:rFonts w:cstheme="majorBidi"/>
                <w:sz w:val="20"/>
                <w:szCs w:val="20"/>
              </w:rPr>
              <w:t>.09161</w:t>
            </w:r>
          </w:p>
        </w:tc>
      </w:tr>
      <w:tr w:rsidR="00015CEF" w:rsidRPr="0004264F" w14:paraId="678198B9" w14:textId="77777777" w:rsidTr="00815DAF">
        <w:trPr>
          <w:trHeight w:val="233"/>
          <w:jc w:val="center"/>
        </w:trPr>
        <w:tc>
          <w:tcPr>
            <w:tcW w:w="2273" w:type="dxa"/>
            <w:vAlign w:val="center"/>
          </w:tcPr>
          <w:p w14:paraId="3E133656" w14:textId="77777777" w:rsidR="00015CEF" w:rsidRPr="0004264F" w:rsidRDefault="00015CEF" w:rsidP="00015CEF">
            <w:pPr>
              <w:rPr>
                <w:rFonts w:cstheme="majorBidi"/>
                <w:sz w:val="20"/>
                <w:szCs w:val="20"/>
              </w:rPr>
            </w:pPr>
            <w:r w:rsidRPr="0004264F">
              <w:rPr>
                <w:rFonts w:cstheme="majorBidi"/>
                <w:sz w:val="20"/>
                <w:szCs w:val="20"/>
              </w:rPr>
              <w:t>Mean DV</w:t>
            </w:r>
          </w:p>
        </w:tc>
        <w:tc>
          <w:tcPr>
            <w:tcW w:w="2274" w:type="dxa"/>
          </w:tcPr>
          <w:p w14:paraId="0218637A" w14:textId="57BE93F0" w:rsidR="00015CEF" w:rsidRPr="0004264F" w:rsidRDefault="00015CEF" w:rsidP="00015CEF">
            <w:pPr>
              <w:jc w:val="center"/>
              <w:rPr>
                <w:rFonts w:cstheme="majorBidi"/>
                <w:sz w:val="20"/>
                <w:szCs w:val="20"/>
              </w:rPr>
            </w:pPr>
            <w:r w:rsidRPr="0004264F">
              <w:rPr>
                <w:rFonts w:cstheme="majorBidi"/>
                <w:sz w:val="20"/>
                <w:szCs w:val="20"/>
              </w:rPr>
              <w:t>776.140</w:t>
            </w:r>
          </w:p>
        </w:tc>
        <w:tc>
          <w:tcPr>
            <w:tcW w:w="2274" w:type="dxa"/>
          </w:tcPr>
          <w:p w14:paraId="7CACF7D0" w14:textId="453E33E8" w:rsidR="00015CEF" w:rsidRPr="0004264F" w:rsidRDefault="00015CEF" w:rsidP="00015CEF">
            <w:pPr>
              <w:jc w:val="center"/>
              <w:rPr>
                <w:rFonts w:cstheme="majorBidi"/>
                <w:sz w:val="20"/>
                <w:szCs w:val="20"/>
              </w:rPr>
            </w:pPr>
            <w:r w:rsidRPr="0004264F">
              <w:rPr>
                <w:rFonts w:cstheme="majorBidi"/>
                <w:sz w:val="20"/>
                <w:szCs w:val="20"/>
              </w:rPr>
              <w:t>776.140</w:t>
            </w:r>
          </w:p>
        </w:tc>
        <w:tc>
          <w:tcPr>
            <w:tcW w:w="2276" w:type="dxa"/>
          </w:tcPr>
          <w:p w14:paraId="12ABE51F" w14:textId="7E5A1D53" w:rsidR="00015CEF" w:rsidRPr="0004264F" w:rsidRDefault="00015CEF" w:rsidP="00015CEF">
            <w:pPr>
              <w:jc w:val="center"/>
              <w:rPr>
                <w:rFonts w:cstheme="majorBidi"/>
                <w:sz w:val="20"/>
                <w:szCs w:val="20"/>
              </w:rPr>
            </w:pPr>
            <w:r w:rsidRPr="0004264F">
              <w:rPr>
                <w:rFonts w:cstheme="majorBidi"/>
                <w:sz w:val="20"/>
                <w:szCs w:val="20"/>
              </w:rPr>
              <w:t>776.140</w:t>
            </w:r>
          </w:p>
        </w:tc>
      </w:tr>
      <w:tr w:rsidR="00271A3A" w:rsidRPr="0004264F" w14:paraId="6B0FF427" w14:textId="77777777" w:rsidTr="009B5DB5">
        <w:trPr>
          <w:trHeight w:val="220"/>
          <w:jc w:val="center"/>
        </w:trPr>
        <w:tc>
          <w:tcPr>
            <w:tcW w:w="2273" w:type="dxa"/>
            <w:tcBorders>
              <w:top w:val="single" w:sz="4" w:space="0" w:color="auto"/>
            </w:tcBorders>
          </w:tcPr>
          <w:p w14:paraId="71CCCF77" w14:textId="77777777" w:rsidR="00271A3A" w:rsidRPr="0004264F" w:rsidRDefault="00271A3A" w:rsidP="00271A3A">
            <w:pPr>
              <w:rPr>
                <w:rFonts w:cstheme="majorBidi"/>
                <w:sz w:val="20"/>
                <w:szCs w:val="20"/>
              </w:rPr>
            </w:pPr>
            <w:r w:rsidRPr="0004264F">
              <w:rPr>
                <w:rFonts w:cstheme="majorBidi"/>
                <w:sz w:val="20"/>
                <w:szCs w:val="20"/>
              </w:rPr>
              <w:t>County FE</w:t>
            </w:r>
          </w:p>
        </w:tc>
        <w:tc>
          <w:tcPr>
            <w:tcW w:w="2274" w:type="dxa"/>
            <w:tcBorders>
              <w:top w:val="single" w:sz="4" w:space="0" w:color="auto"/>
            </w:tcBorders>
          </w:tcPr>
          <w:p w14:paraId="593FF566" w14:textId="6223F562"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4" w:type="dxa"/>
            <w:tcBorders>
              <w:top w:val="single" w:sz="4" w:space="0" w:color="auto"/>
            </w:tcBorders>
          </w:tcPr>
          <w:p w14:paraId="05B63CEC" w14:textId="188990BD"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6" w:type="dxa"/>
            <w:tcBorders>
              <w:top w:val="single" w:sz="4" w:space="0" w:color="auto"/>
            </w:tcBorders>
          </w:tcPr>
          <w:p w14:paraId="3B4BEEAB" w14:textId="708257DB" w:rsidR="00271A3A" w:rsidRPr="0004264F" w:rsidRDefault="00271A3A" w:rsidP="00271A3A">
            <w:pPr>
              <w:jc w:val="center"/>
              <w:rPr>
                <w:rFonts w:cstheme="majorBidi"/>
                <w:sz w:val="20"/>
                <w:szCs w:val="20"/>
              </w:rPr>
            </w:pPr>
            <w:r w:rsidRPr="0004264F">
              <w:rPr>
                <w:rFonts w:cstheme="majorBidi"/>
                <w:sz w:val="18"/>
                <w:szCs w:val="18"/>
              </w:rPr>
              <w:sym w:font="Wingdings" w:char="F0FC"/>
            </w:r>
          </w:p>
        </w:tc>
      </w:tr>
      <w:tr w:rsidR="00271A3A" w:rsidRPr="0004264F" w14:paraId="1B8106EA" w14:textId="77777777" w:rsidTr="009B5DB5">
        <w:trPr>
          <w:trHeight w:val="220"/>
          <w:jc w:val="center"/>
        </w:trPr>
        <w:tc>
          <w:tcPr>
            <w:tcW w:w="2273" w:type="dxa"/>
          </w:tcPr>
          <w:p w14:paraId="5E167ACC" w14:textId="53716B69" w:rsidR="00271A3A" w:rsidRPr="0004264F" w:rsidRDefault="00271A3A" w:rsidP="00271A3A">
            <w:pPr>
              <w:rPr>
                <w:rFonts w:cstheme="majorBidi"/>
                <w:sz w:val="20"/>
                <w:szCs w:val="20"/>
              </w:rPr>
            </w:pPr>
            <w:r w:rsidRPr="0004264F">
              <w:rPr>
                <w:rFonts w:cstheme="majorBidi"/>
                <w:sz w:val="20"/>
                <w:szCs w:val="20"/>
              </w:rPr>
              <w:t>SEA-by-Birth-Year FE</w:t>
            </w:r>
          </w:p>
        </w:tc>
        <w:tc>
          <w:tcPr>
            <w:tcW w:w="2274" w:type="dxa"/>
          </w:tcPr>
          <w:p w14:paraId="1F71BD0D" w14:textId="413288EA"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4" w:type="dxa"/>
          </w:tcPr>
          <w:p w14:paraId="696E6680" w14:textId="4ABB56D1"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6" w:type="dxa"/>
          </w:tcPr>
          <w:p w14:paraId="4B5F20FA" w14:textId="0FFE79A7" w:rsidR="00271A3A" w:rsidRPr="0004264F" w:rsidRDefault="00271A3A" w:rsidP="00271A3A">
            <w:pPr>
              <w:jc w:val="center"/>
              <w:rPr>
                <w:rFonts w:cstheme="majorBidi"/>
                <w:sz w:val="20"/>
                <w:szCs w:val="20"/>
              </w:rPr>
            </w:pPr>
            <w:r w:rsidRPr="0004264F">
              <w:rPr>
                <w:rFonts w:cstheme="majorBidi"/>
                <w:sz w:val="18"/>
                <w:szCs w:val="18"/>
              </w:rPr>
              <w:sym w:font="Wingdings" w:char="F0FC"/>
            </w:r>
          </w:p>
        </w:tc>
      </w:tr>
      <w:tr w:rsidR="00271A3A" w:rsidRPr="0004264F" w14:paraId="7EF87CAC" w14:textId="77777777" w:rsidTr="009B5DB5">
        <w:trPr>
          <w:trHeight w:val="220"/>
          <w:jc w:val="center"/>
        </w:trPr>
        <w:tc>
          <w:tcPr>
            <w:tcW w:w="2273" w:type="dxa"/>
            <w:vAlign w:val="center"/>
          </w:tcPr>
          <w:p w14:paraId="3FF30EA8" w14:textId="77777777" w:rsidR="00271A3A" w:rsidRPr="0004264F" w:rsidRDefault="00271A3A" w:rsidP="00271A3A">
            <w:pPr>
              <w:rPr>
                <w:rFonts w:cstheme="majorBidi"/>
                <w:sz w:val="20"/>
                <w:szCs w:val="20"/>
              </w:rPr>
            </w:pPr>
            <w:r w:rsidRPr="0004264F">
              <w:rPr>
                <w:rFonts w:cstheme="majorBidi"/>
                <w:sz w:val="20"/>
                <w:szCs w:val="20"/>
              </w:rPr>
              <w:t>Individual Controls</w:t>
            </w:r>
          </w:p>
        </w:tc>
        <w:tc>
          <w:tcPr>
            <w:tcW w:w="2274" w:type="dxa"/>
          </w:tcPr>
          <w:p w14:paraId="6A862017" w14:textId="308DBA76"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4" w:type="dxa"/>
          </w:tcPr>
          <w:p w14:paraId="368A0320" w14:textId="4836FC96"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6" w:type="dxa"/>
          </w:tcPr>
          <w:p w14:paraId="67A6A443" w14:textId="0084D76B" w:rsidR="00271A3A" w:rsidRPr="0004264F" w:rsidRDefault="00271A3A" w:rsidP="00271A3A">
            <w:pPr>
              <w:jc w:val="center"/>
              <w:rPr>
                <w:rFonts w:cstheme="majorBidi"/>
                <w:sz w:val="20"/>
                <w:szCs w:val="20"/>
              </w:rPr>
            </w:pPr>
            <w:r w:rsidRPr="0004264F">
              <w:rPr>
                <w:rFonts w:cstheme="majorBidi"/>
                <w:sz w:val="18"/>
                <w:szCs w:val="18"/>
              </w:rPr>
              <w:sym w:font="Wingdings" w:char="F0FC"/>
            </w:r>
          </w:p>
        </w:tc>
      </w:tr>
      <w:tr w:rsidR="00271A3A" w:rsidRPr="0004264F" w14:paraId="3D794E62" w14:textId="77777777" w:rsidTr="009B5DB5">
        <w:trPr>
          <w:trHeight w:val="220"/>
          <w:jc w:val="center"/>
        </w:trPr>
        <w:tc>
          <w:tcPr>
            <w:tcW w:w="2273" w:type="dxa"/>
            <w:vAlign w:val="center"/>
          </w:tcPr>
          <w:p w14:paraId="1DD3C6A0" w14:textId="77777777" w:rsidR="00271A3A" w:rsidRPr="0004264F" w:rsidRDefault="00271A3A" w:rsidP="00271A3A">
            <w:pPr>
              <w:rPr>
                <w:rFonts w:cstheme="majorBidi"/>
                <w:sz w:val="20"/>
                <w:szCs w:val="20"/>
              </w:rPr>
            </w:pPr>
            <w:r w:rsidRPr="0004264F">
              <w:rPr>
                <w:rFonts w:cstheme="majorBidi"/>
                <w:sz w:val="20"/>
                <w:szCs w:val="20"/>
              </w:rPr>
              <w:t>Family Controls</w:t>
            </w:r>
          </w:p>
        </w:tc>
        <w:tc>
          <w:tcPr>
            <w:tcW w:w="2274" w:type="dxa"/>
          </w:tcPr>
          <w:p w14:paraId="6077B094" w14:textId="0348DDF2" w:rsidR="00271A3A" w:rsidRPr="0004264F" w:rsidRDefault="00271A3A" w:rsidP="00271A3A">
            <w:pPr>
              <w:jc w:val="center"/>
              <w:rPr>
                <w:rFonts w:cstheme="majorBidi"/>
                <w:sz w:val="20"/>
                <w:szCs w:val="20"/>
              </w:rPr>
            </w:pPr>
          </w:p>
        </w:tc>
        <w:tc>
          <w:tcPr>
            <w:tcW w:w="2274" w:type="dxa"/>
          </w:tcPr>
          <w:p w14:paraId="6ABE1067" w14:textId="1D7737A0" w:rsidR="00271A3A" w:rsidRPr="0004264F" w:rsidRDefault="00271A3A" w:rsidP="00271A3A">
            <w:pPr>
              <w:jc w:val="center"/>
              <w:rPr>
                <w:rFonts w:cstheme="majorBidi"/>
                <w:sz w:val="20"/>
                <w:szCs w:val="20"/>
              </w:rPr>
            </w:pPr>
            <w:r w:rsidRPr="0004264F">
              <w:rPr>
                <w:rFonts w:cstheme="majorBidi"/>
                <w:sz w:val="18"/>
                <w:szCs w:val="18"/>
              </w:rPr>
              <w:sym w:font="Wingdings" w:char="F0FC"/>
            </w:r>
          </w:p>
        </w:tc>
        <w:tc>
          <w:tcPr>
            <w:tcW w:w="2276" w:type="dxa"/>
          </w:tcPr>
          <w:p w14:paraId="18883C2D" w14:textId="019DC8A2" w:rsidR="00271A3A" w:rsidRPr="0004264F" w:rsidRDefault="00271A3A" w:rsidP="00271A3A">
            <w:pPr>
              <w:jc w:val="center"/>
              <w:rPr>
                <w:rFonts w:cstheme="majorBidi"/>
                <w:sz w:val="20"/>
                <w:szCs w:val="20"/>
              </w:rPr>
            </w:pPr>
            <w:r w:rsidRPr="0004264F">
              <w:rPr>
                <w:rFonts w:cstheme="majorBidi"/>
                <w:sz w:val="18"/>
                <w:szCs w:val="18"/>
              </w:rPr>
              <w:sym w:font="Wingdings" w:char="F0FC"/>
            </w:r>
          </w:p>
        </w:tc>
      </w:tr>
      <w:tr w:rsidR="00271A3A" w:rsidRPr="0004264F" w14:paraId="453FBB99" w14:textId="77777777" w:rsidTr="00815DAF">
        <w:trPr>
          <w:trHeight w:val="220"/>
          <w:jc w:val="center"/>
        </w:trPr>
        <w:tc>
          <w:tcPr>
            <w:tcW w:w="2273" w:type="dxa"/>
            <w:tcBorders>
              <w:bottom w:val="single" w:sz="4" w:space="0" w:color="auto"/>
            </w:tcBorders>
            <w:vAlign w:val="center"/>
          </w:tcPr>
          <w:p w14:paraId="71C0DCBE" w14:textId="77777777" w:rsidR="00271A3A" w:rsidRPr="0004264F" w:rsidRDefault="00271A3A" w:rsidP="00271A3A">
            <w:pPr>
              <w:rPr>
                <w:rFonts w:cstheme="majorBidi"/>
                <w:sz w:val="20"/>
                <w:szCs w:val="20"/>
              </w:rPr>
            </w:pPr>
            <w:r w:rsidRPr="0004264F">
              <w:rPr>
                <w:rFonts w:cstheme="majorBidi"/>
                <w:sz w:val="20"/>
                <w:szCs w:val="20"/>
              </w:rPr>
              <w:t>County Controls</w:t>
            </w:r>
          </w:p>
        </w:tc>
        <w:tc>
          <w:tcPr>
            <w:tcW w:w="2274" w:type="dxa"/>
            <w:tcBorders>
              <w:bottom w:val="single" w:sz="4" w:space="0" w:color="auto"/>
            </w:tcBorders>
          </w:tcPr>
          <w:p w14:paraId="0EE14862" w14:textId="1D26AF54" w:rsidR="00271A3A" w:rsidRPr="0004264F" w:rsidRDefault="00271A3A" w:rsidP="00271A3A">
            <w:pPr>
              <w:jc w:val="center"/>
              <w:rPr>
                <w:rFonts w:cstheme="majorBidi"/>
                <w:sz w:val="20"/>
                <w:szCs w:val="20"/>
              </w:rPr>
            </w:pPr>
          </w:p>
        </w:tc>
        <w:tc>
          <w:tcPr>
            <w:tcW w:w="2274" w:type="dxa"/>
            <w:tcBorders>
              <w:bottom w:val="single" w:sz="4" w:space="0" w:color="auto"/>
            </w:tcBorders>
          </w:tcPr>
          <w:p w14:paraId="73A285AE" w14:textId="7020FBBF" w:rsidR="00271A3A" w:rsidRPr="0004264F" w:rsidRDefault="00271A3A" w:rsidP="00271A3A">
            <w:pPr>
              <w:jc w:val="center"/>
              <w:rPr>
                <w:rFonts w:cstheme="majorBidi"/>
                <w:sz w:val="20"/>
                <w:szCs w:val="20"/>
              </w:rPr>
            </w:pPr>
          </w:p>
        </w:tc>
        <w:tc>
          <w:tcPr>
            <w:tcW w:w="2276" w:type="dxa"/>
            <w:tcBorders>
              <w:bottom w:val="single" w:sz="4" w:space="0" w:color="auto"/>
            </w:tcBorders>
          </w:tcPr>
          <w:p w14:paraId="3CEF5940" w14:textId="3C66D45C" w:rsidR="00271A3A" w:rsidRPr="0004264F" w:rsidRDefault="00271A3A" w:rsidP="00271A3A">
            <w:pPr>
              <w:jc w:val="center"/>
              <w:rPr>
                <w:rFonts w:cstheme="majorBidi"/>
                <w:sz w:val="20"/>
                <w:szCs w:val="20"/>
              </w:rPr>
            </w:pPr>
            <w:r w:rsidRPr="0004264F">
              <w:rPr>
                <w:rFonts w:cstheme="majorBidi"/>
                <w:sz w:val="18"/>
                <w:szCs w:val="18"/>
              </w:rPr>
              <w:sym w:font="Wingdings" w:char="F0FC"/>
            </w:r>
          </w:p>
        </w:tc>
      </w:tr>
      <w:tr w:rsidR="00015CEF" w:rsidRPr="0004264F" w14:paraId="288280D1" w14:textId="77777777" w:rsidTr="00815DAF">
        <w:trPr>
          <w:trHeight w:val="220"/>
          <w:jc w:val="center"/>
        </w:trPr>
        <w:tc>
          <w:tcPr>
            <w:tcW w:w="9097" w:type="dxa"/>
            <w:gridSpan w:val="4"/>
            <w:tcBorders>
              <w:top w:val="single" w:sz="4" w:space="0" w:color="auto"/>
            </w:tcBorders>
            <w:vAlign w:val="center"/>
          </w:tcPr>
          <w:p w14:paraId="390CC422" w14:textId="78542917" w:rsidR="00015CEF" w:rsidRPr="0004264F" w:rsidRDefault="00015CEF" w:rsidP="00015CEF">
            <w:pPr>
              <w:widowControl w:val="0"/>
              <w:autoSpaceDE w:val="0"/>
              <w:autoSpaceDN w:val="0"/>
              <w:adjustRightInd w:val="0"/>
              <w:jc w:val="both"/>
              <w:rPr>
                <w:rFonts w:cstheme="majorBidi"/>
                <w:sz w:val="20"/>
                <w:szCs w:val="20"/>
              </w:rPr>
            </w:pPr>
            <w:r w:rsidRPr="0004264F">
              <w:rPr>
                <w:rFonts w:cstheme="majorBidi"/>
                <w:sz w:val="20"/>
                <w:szCs w:val="20"/>
              </w:rPr>
              <w:t>Notes. Standard errors, clustered at the county-level, are in parentheses.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 The “%Change” values are calculated using the estimated marginal effects of row 1 divided by the mean of dependent variables reported in row 4.</w:t>
            </w:r>
          </w:p>
          <w:p w14:paraId="39CD273E" w14:textId="77777777" w:rsidR="00015CEF" w:rsidRPr="0004264F" w:rsidRDefault="00015CEF" w:rsidP="00015CEF">
            <w:pPr>
              <w:widowControl w:val="0"/>
              <w:autoSpaceDE w:val="0"/>
              <w:autoSpaceDN w:val="0"/>
              <w:adjustRightInd w:val="0"/>
              <w:rPr>
                <w:rFonts w:cstheme="majorBidi"/>
                <w:sz w:val="20"/>
                <w:szCs w:val="20"/>
              </w:rPr>
            </w:pPr>
            <w:r w:rsidRPr="0004264F">
              <w:rPr>
                <w:rFonts w:cstheme="majorBidi"/>
                <w:sz w:val="20"/>
                <w:szCs w:val="20"/>
              </w:rPr>
              <w:t>*** p&lt;0.01, ** p&lt;0.05, * p&lt;0.1</w:t>
            </w:r>
          </w:p>
          <w:p w14:paraId="0E6735AA" w14:textId="77777777" w:rsidR="00015CEF" w:rsidRPr="0004264F" w:rsidRDefault="00015CEF" w:rsidP="00015CEF">
            <w:pPr>
              <w:jc w:val="center"/>
              <w:rPr>
                <w:rFonts w:cstheme="majorBidi"/>
                <w:sz w:val="20"/>
                <w:szCs w:val="20"/>
              </w:rPr>
            </w:pPr>
          </w:p>
        </w:tc>
      </w:tr>
    </w:tbl>
    <w:p w14:paraId="17EB98A8" w14:textId="77777777" w:rsidR="0000727D" w:rsidRPr="0004264F" w:rsidRDefault="0000727D" w:rsidP="00F32C69">
      <w:pPr>
        <w:rPr>
          <w:rFonts w:cstheme="majorBidi"/>
          <w:b/>
          <w:bCs/>
          <w:sz w:val="20"/>
          <w:szCs w:val="20"/>
        </w:rPr>
      </w:pPr>
    </w:p>
    <w:p w14:paraId="0D2B3D96" w14:textId="4F7FDF02" w:rsidR="00204C5C" w:rsidRPr="0004264F" w:rsidRDefault="00204C5C" w:rsidP="00F32C69">
      <w:pPr>
        <w:rPr>
          <w:rFonts w:cstheme="majorBidi"/>
          <w:b/>
          <w:bCs/>
          <w:sz w:val="20"/>
          <w:szCs w:val="20"/>
        </w:rPr>
      </w:pPr>
    </w:p>
    <w:p w14:paraId="72BDCCC6" w14:textId="77777777" w:rsidR="00814A6D" w:rsidRPr="0004264F" w:rsidRDefault="00814A6D" w:rsidP="00F32C69">
      <w:pPr>
        <w:rPr>
          <w:rFonts w:cstheme="majorBidi"/>
          <w:b/>
          <w:bCs/>
          <w:sz w:val="20"/>
          <w:szCs w:val="20"/>
        </w:rPr>
        <w:sectPr w:rsidR="00814A6D" w:rsidRPr="0004264F" w:rsidSect="00847BB4">
          <w:pgSz w:w="12240" w:h="15840" w:code="1"/>
          <w:pgMar w:top="1440" w:right="1440" w:bottom="1440" w:left="1440" w:header="720" w:footer="720" w:gutter="0"/>
          <w:cols w:space="720"/>
          <w:docGrid w:linePitch="360"/>
        </w:sectPr>
      </w:pPr>
    </w:p>
    <w:p w14:paraId="779B28F7" w14:textId="4FFA6839" w:rsidR="00204C5C" w:rsidRPr="0004264F" w:rsidRDefault="00204C5C" w:rsidP="00F32C69">
      <w:pPr>
        <w:rPr>
          <w:rFonts w:cstheme="majorBidi"/>
          <w:b/>
          <w:bCs/>
          <w:sz w:val="20"/>
          <w:szCs w:val="20"/>
        </w:rPr>
      </w:pPr>
    </w:p>
    <w:p w14:paraId="547D3589" w14:textId="764C05A7" w:rsidR="00814A6D" w:rsidRPr="0004264F" w:rsidRDefault="00814A6D" w:rsidP="00F32C69">
      <w:pPr>
        <w:rPr>
          <w:rFonts w:cstheme="majorBidi"/>
          <w:b/>
          <w:bCs/>
          <w:sz w:val="20"/>
          <w:szCs w:val="20"/>
        </w:rPr>
      </w:pPr>
    </w:p>
    <w:p w14:paraId="5D81E1C2" w14:textId="7D05E978" w:rsidR="00814A6D" w:rsidRPr="0004264F" w:rsidRDefault="00814A6D" w:rsidP="00F32C69">
      <w:pPr>
        <w:rPr>
          <w:rFonts w:cstheme="majorBidi"/>
          <w:b/>
          <w:bCs/>
          <w:sz w:val="20"/>
          <w:szCs w:val="20"/>
        </w:rPr>
      </w:pPr>
    </w:p>
    <w:p w14:paraId="5F7FE17E" w14:textId="2F148B46" w:rsidR="00A4529D" w:rsidRPr="0004264F" w:rsidRDefault="00A4529D" w:rsidP="00D55B0B">
      <w:pPr>
        <w:pStyle w:val="Caption"/>
        <w:keepNext/>
        <w:bidi w:val="0"/>
        <w:rPr>
          <w:rFonts w:cstheme="majorBidi"/>
        </w:rPr>
      </w:pPr>
    </w:p>
    <w:p w14:paraId="5CB75742" w14:textId="2148D225" w:rsidR="00B5515A" w:rsidRPr="0004264F" w:rsidRDefault="00B5515A" w:rsidP="00B5515A">
      <w:pPr>
        <w:pStyle w:val="Caption"/>
        <w:keepNext/>
        <w:bidi w:val="0"/>
        <w:rPr>
          <w:rFonts w:cstheme="majorBidi"/>
        </w:rPr>
      </w:pPr>
      <w:bookmarkStart w:id="16" w:name="_Ref111323491"/>
      <w:r w:rsidRPr="0004264F">
        <w:rPr>
          <w:rFonts w:cstheme="majorBidi"/>
        </w:rPr>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6</w:t>
      </w:r>
      <w:r w:rsidRPr="0004264F">
        <w:rPr>
          <w:rFonts w:cstheme="majorBidi"/>
          <w:noProof/>
        </w:rPr>
        <w:fldChar w:fldCharType="end"/>
      </w:r>
      <w:bookmarkEnd w:id="16"/>
      <w:r w:rsidRPr="0004264F">
        <w:rPr>
          <w:rFonts w:cstheme="majorBidi"/>
        </w:rPr>
        <w:t xml:space="preserve"> - Comparing the Effects of State-Level Economic Conditions with the Effects of Local Economic Conditions on Longevity</w:t>
      </w:r>
    </w:p>
    <w:tbl>
      <w:tblPr>
        <w:tblStyle w:val="TableGrid"/>
        <w:tblW w:w="178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2305"/>
        <w:gridCol w:w="2102"/>
        <w:gridCol w:w="2023"/>
        <w:gridCol w:w="1681"/>
        <w:gridCol w:w="1652"/>
        <w:gridCol w:w="2093"/>
        <w:gridCol w:w="2078"/>
        <w:gridCol w:w="2188"/>
      </w:tblGrid>
      <w:tr w:rsidR="00A4529D" w:rsidRPr="0004264F" w14:paraId="43C80FDF" w14:textId="77777777" w:rsidTr="0004264F">
        <w:trPr>
          <w:trHeight w:val="253"/>
          <w:jc w:val="center"/>
        </w:trPr>
        <w:tc>
          <w:tcPr>
            <w:tcW w:w="1700" w:type="dxa"/>
            <w:tcBorders>
              <w:top w:val="single" w:sz="4" w:space="0" w:color="auto"/>
            </w:tcBorders>
          </w:tcPr>
          <w:p w14:paraId="40DAECF3" w14:textId="77777777" w:rsidR="00A4529D" w:rsidRPr="0004264F" w:rsidRDefault="00A4529D" w:rsidP="00A4529D">
            <w:pPr>
              <w:rPr>
                <w:rFonts w:cstheme="majorBidi"/>
                <w:sz w:val="20"/>
                <w:szCs w:val="20"/>
              </w:rPr>
            </w:pPr>
          </w:p>
        </w:tc>
        <w:tc>
          <w:tcPr>
            <w:tcW w:w="16122" w:type="dxa"/>
            <w:gridSpan w:val="8"/>
            <w:tcBorders>
              <w:top w:val="single" w:sz="4" w:space="0" w:color="auto"/>
              <w:bottom w:val="single" w:sz="4" w:space="0" w:color="auto"/>
            </w:tcBorders>
            <w:vAlign w:val="center"/>
          </w:tcPr>
          <w:p w14:paraId="349E9BB4" w14:textId="0CF84459" w:rsidR="00A4529D" w:rsidRPr="0004264F" w:rsidRDefault="00A4529D" w:rsidP="00A4529D">
            <w:pPr>
              <w:jc w:val="center"/>
              <w:rPr>
                <w:rFonts w:cstheme="majorBidi"/>
                <w:sz w:val="20"/>
                <w:szCs w:val="20"/>
              </w:rPr>
            </w:pPr>
            <w:r w:rsidRPr="0004264F">
              <w:rPr>
                <w:rFonts w:cstheme="majorBidi"/>
                <w:b/>
                <w:bCs/>
                <w:i/>
                <w:iCs/>
                <w:sz w:val="20"/>
                <w:szCs w:val="20"/>
              </w:rPr>
              <w:t>Outcome: Death Age (Months)</w:t>
            </w:r>
          </w:p>
        </w:tc>
      </w:tr>
      <w:tr w:rsidR="00F51C34" w:rsidRPr="0004264F" w14:paraId="192FE7B0" w14:textId="77777777" w:rsidTr="0004264F">
        <w:trPr>
          <w:trHeight w:val="253"/>
          <w:jc w:val="center"/>
        </w:trPr>
        <w:tc>
          <w:tcPr>
            <w:tcW w:w="1700" w:type="dxa"/>
            <w:tcBorders>
              <w:bottom w:val="single" w:sz="4" w:space="0" w:color="auto"/>
            </w:tcBorders>
          </w:tcPr>
          <w:p w14:paraId="6D15C2CA" w14:textId="77777777" w:rsidR="00A4529D" w:rsidRPr="0004264F" w:rsidRDefault="00A4529D" w:rsidP="00A4529D">
            <w:pPr>
              <w:rPr>
                <w:rFonts w:cstheme="majorBidi"/>
                <w:sz w:val="20"/>
                <w:szCs w:val="20"/>
              </w:rPr>
            </w:pPr>
          </w:p>
        </w:tc>
        <w:tc>
          <w:tcPr>
            <w:tcW w:w="2305" w:type="dxa"/>
            <w:tcBorders>
              <w:top w:val="single" w:sz="4" w:space="0" w:color="auto"/>
              <w:bottom w:val="single" w:sz="4" w:space="0" w:color="auto"/>
            </w:tcBorders>
            <w:vAlign w:val="center"/>
          </w:tcPr>
          <w:p w14:paraId="76DEA4FC" w14:textId="0A652A73" w:rsidR="00A4529D" w:rsidRPr="0004264F" w:rsidRDefault="00A4529D" w:rsidP="00A4529D">
            <w:pPr>
              <w:jc w:val="center"/>
              <w:rPr>
                <w:rFonts w:cstheme="majorBidi"/>
                <w:sz w:val="20"/>
                <w:szCs w:val="20"/>
              </w:rPr>
            </w:pPr>
            <w:r w:rsidRPr="0004264F">
              <w:rPr>
                <w:rFonts w:cstheme="majorBidi"/>
                <w:sz w:val="20"/>
                <w:szCs w:val="20"/>
              </w:rPr>
              <w:t>(1)</w:t>
            </w:r>
          </w:p>
        </w:tc>
        <w:tc>
          <w:tcPr>
            <w:tcW w:w="2102" w:type="dxa"/>
            <w:tcBorders>
              <w:top w:val="single" w:sz="4" w:space="0" w:color="auto"/>
              <w:bottom w:val="single" w:sz="4" w:space="0" w:color="auto"/>
            </w:tcBorders>
            <w:vAlign w:val="center"/>
          </w:tcPr>
          <w:p w14:paraId="566C3D13" w14:textId="661A3D3D" w:rsidR="00A4529D" w:rsidRPr="0004264F" w:rsidRDefault="00A4529D" w:rsidP="00A4529D">
            <w:pPr>
              <w:jc w:val="center"/>
              <w:rPr>
                <w:rFonts w:cstheme="majorBidi"/>
                <w:sz w:val="20"/>
                <w:szCs w:val="20"/>
              </w:rPr>
            </w:pPr>
            <w:r w:rsidRPr="0004264F">
              <w:rPr>
                <w:rFonts w:cstheme="majorBidi"/>
                <w:sz w:val="20"/>
                <w:szCs w:val="20"/>
              </w:rPr>
              <w:t>(2)</w:t>
            </w:r>
          </w:p>
        </w:tc>
        <w:tc>
          <w:tcPr>
            <w:tcW w:w="2023" w:type="dxa"/>
            <w:tcBorders>
              <w:top w:val="single" w:sz="4" w:space="0" w:color="auto"/>
              <w:bottom w:val="single" w:sz="4" w:space="0" w:color="auto"/>
            </w:tcBorders>
            <w:vAlign w:val="center"/>
          </w:tcPr>
          <w:p w14:paraId="116FE08A" w14:textId="17AC4799" w:rsidR="00A4529D" w:rsidRPr="0004264F" w:rsidRDefault="00A4529D" w:rsidP="00A4529D">
            <w:pPr>
              <w:jc w:val="center"/>
              <w:rPr>
                <w:rFonts w:cstheme="majorBidi"/>
                <w:sz w:val="20"/>
                <w:szCs w:val="20"/>
              </w:rPr>
            </w:pPr>
            <w:r w:rsidRPr="0004264F">
              <w:rPr>
                <w:rFonts w:cstheme="majorBidi"/>
                <w:sz w:val="20"/>
                <w:szCs w:val="20"/>
              </w:rPr>
              <w:t>(3)</w:t>
            </w:r>
          </w:p>
        </w:tc>
        <w:tc>
          <w:tcPr>
            <w:tcW w:w="1681" w:type="dxa"/>
            <w:tcBorders>
              <w:top w:val="single" w:sz="4" w:space="0" w:color="auto"/>
              <w:bottom w:val="single" w:sz="4" w:space="0" w:color="auto"/>
            </w:tcBorders>
            <w:vAlign w:val="center"/>
          </w:tcPr>
          <w:p w14:paraId="0C05D16C" w14:textId="4743646A" w:rsidR="00A4529D" w:rsidRPr="0004264F" w:rsidRDefault="00A4529D" w:rsidP="00A4529D">
            <w:pPr>
              <w:jc w:val="center"/>
              <w:rPr>
                <w:rFonts w:cstheme="majorBidi"/>
                <w:sz w:val="20"/>
                <w:szCs w:val="20"/>
              </w:rPr>
            </w:pPr>
            <w:r w:rsidRPr="0004264F">
              <w:rPr>
                <w:rFonts w:cstheme="majorBidi"/>
                <w:sz w:val="20"/>
                <w:szCs w:val="20"/>
              </w:rPr>
              <w:t>(4)</w:t>
            </w:r>
          </w:p>
        </w:tc>
        <w:tc>
          <w:tcPr>
            <w:tcW w:w="1652" w:type="dxa"/>
            <w:tcBorders>
              <w:top w:val="single" w:sz="4" w:space="0" w:color="auto"/>
              <w:bottom w:val="single" w:sz="4" w:space="0" w:color="auto"/>
            </w:tcBorders>
            <w:vAlign w:val="center"/>
          </w:tcPr>
          <w:p w14:paraId="563FD40E" w14:textId="7F701A4F" w:rsidR="00A4529D" w:rsidRPr="0004264F" w:rsidRDefault="00A4529D" w:rsidP="00A4529D">
            <w:pPr>
              <w:jc w:val="center"/>
              <w:rPr>
                <w:rFonts w:cstheme="majorBidi"/>
                <w:sz w:val="20"/>
                <w:szCs w:val="20"/>
              </w:rPr>
            </w:pPr>
            <w:r w:rsidRPr="0004264F">
              <w:rPr>
                <w:rFonts w:cstheme="majorBidi"/>
                <w:sz w:val="20"/>
                <w:szCs w:val="20"/>
              </w:rPr>
              <w:t>(5)</w:t>
            </w:r>
          </w:p>
        </w:tc>
        <w:tc>
          <w:tcPr>
            <w:tcW w:w="2093" w:type="dxa"/>
            <w:tcBorders>
              <w:top w:val="single" w:sz="4" w:space="0" w:color="auto"/>
              <w:bottom w:val="single" w:sz="4" w:space="0" w:color="auto"/>
            </w:tcBorders>
            <w:vAlign w:val="center"/>
          </w:tcPr>
          <w:p w14:paraId="69B70349" w14:textId="0AAE46CF" w:rsidR="00A4529D" w:rsidRPr="0004264F" w:rsidRDefault="00A4529D" w:rsidP="00A4529D">
            <w:pPr>
              <w:jc w:val="center"/>
              <w:rPr>
                <w:rFonts w:cstheme="majorBidi"/>
                <w:sz w:val="20"/>
                <w:szCs w:val="20"/>
              </w:rPr>
            </w:pPr>
            <w:r w:rsidRPr="0004264F">
              <w:rPr>
                <w:rFonts w:cstheme="majorBidi"/>
                <w:sz w:val="20"/>
                <w:szCs w:val="20"/>
              </w:rPr>
              <w:t>(6)</w:t>
            </w:r>
          </w:p>
        </w:tc>
        <w:tc>
          <w:tcPr>
            <w:tcW w:w="2078" w:type="dxa"/>
            <w:tcBorders>
              <w:top w:val="single" w:sz="4" w:space="0" w:color="auto"/>
              <w:bottom w:val="single" w:sz="4" w:space="0" w:color="auto"/>
            </w:tcBorders>
            <w:vAlign w:val="center"/>
          </w:tcPr>
          <w:p w14:paraId="2D05FE6F" w14:textId="5ADF1B49" w:rsidR="00A4529D" w:rsidRPr="0004264F" w:rsidRDefault="00A4529D" w:rsidP="00A4529D">
            <w:pPr>
              <w:jc w:val="center"/>
              <w:rPr>
                <w:rFonts w:cstheme="majorBidi"/>
                <w:sz w:val="20"/>
                <w:szCs w:val="20"/>
              </w:rPr>
            </w:pPr>
            <w:r w:rsidRPr="0004264F">
              <w:rPr>
                <w:rFonts w:cstheme="majorBidi"/>
                <w:sz w:val="20"/>
                <w:szCs w:val="20"/>
              </w:rPr>
              <w:t>(7)</w:t>
            </w:r>
          </w:p>
        </w:tc>
        <w:tc>
          <w:tcPr>
            <w:tcW w:w="2188" w:type="dxa"/>
            <w:tcBorders>
              <w:top w:val="single" w:sz="4" w:space="0" w:color="auto"/>
              <w:bottom w:val="single" w:sz="4" w:space="0" w:color="auto"/>
            </w:tcBorders>
            <w:vAlign w:val="center"/>
          </w:tcPr>
          <w:p w14:paraId="59FEA5EA" w14:textId="3C26A02D" w:rsidR="00A4529D" w:rsidRPr="0004264F" w:rsidRDefault="00A4529D" w:rsidP="00A4529D">
            <w:pPr>
              <w:jc w:val="center"/>
              <w:rPr>
                <w:rFonts w:cstheme="majorBidi"/>
                <w:sz w:val="20"/>
                <w:szCs w:val="20"/>
              </w:rPr>
            </w:pPr>
            <w:r w:rsidRPr="0004264F">
              <w:rPr>
                <w:rFonts w:cstheme="majorBidi"/>
                <w:sz w:val="20"/>
                <w:szCs w:val="20"/>
              </w:rPr>
              <w:t>(8)</w:t>
            </w:r>
          </w:p>
        </w:tc>
      </w:tr>
      <w:tr w:rsidR="0004264F" w:rsidRPr="0004264F" w14:paraId="787C60CF" w14:textId="77777777" w:rsidTr="0004264F">
        <w:trPr>
          <w:trHeight w:val="253"/>
          <w:jc w:val="center"/>
        </w:trPr>
        <w:tc>
          <w:tcPr>
            <w:tcW w:w="1700" w:type="dxa"/>
            <w:vMerge w:val="restart"/>
            <w:tcBorders>
              <w:top w:val="single" w:sz="4" w:space="0" w:color="auto"/>
            </w:tcBorders>
          </w:tcPr>
          <w:p w14:paraId="5DD81112" w14:textId="551D30D3" w:rsidR="0004264F" w:rsidRPr="0004264F" w:rsidRDefault="0004264F" w:rsidP="0004264F">
            <w:pPr>
              <w:rPr>
                <w:rFonts w:cstheme="majorBidi"/>
                <w:sz w:val="20"/>
                <w:szCs w:val="20"/>
              </w:rPr>
            </w:pPr>
            <w:r w:rsidRPr="0004264F">
              <w:rPr>
                <w:rFonts w:cstheme="majorBidi"/>
                <w:sz w:val="20"/>
                <w:szCs w:val="20"/>
              </w:rPr>
              <w:t>State-Level Income Per Capita</w:t>
            </w:r>
          </w:p>
        </w:tc>
        <w:tc>
          <w:tcPr>
            <w:tcW w:w="2305" w:type="dxa"/>
            <w:tcBorders>
              <w:top w:val="single" w:sz="4" w:space="0" w:color="auto"/>
            </w:tcBorders>
          </w:tcPr>
          <w:p w14:paraId="4513B9FA" w14:textId="7388A619" w:rsidR="0004264F" w:rsidRPr="0004264F" w:rsidRDefault="0004264F" w:rsidP="0004264F">
            <w:pPr>
              <w:jc w:val="center"/>
              <w:rPr>
                <w:rFonts w:cstheme="majorBidi"/>
                <w:sz w:val="20"/>
                <w:szCs w:val="20"/>
              </w:rPr>
            </w:pPr>
            <w:r w:rsidRPr="0004264F">
              <w:rPr>
                <w:rFonts w:cstheme="majorBidi"/>
                <w:sz w:val="20"/>
                <w:szCs w:val="20"/>
              </w:rPr>
              <w:t>9.3903***</w:t>
            </w:r>
          </w:p>
        </w:tc>
        <w:tc>
          <w:tcPr>
            <w:tcW w:w="2102" w:type="dxa"/>
            <w:tcBorders>
              <w:top w:val="single" w:sz="4" w:space="0" w:color="auto"/>
            </w:tcBorders>
          </w:tcPr>
          <w:p w14:paraId="20D28EE1" w14:textId="5C58F9F4" w:rsidR="0004264F" w:rsidRPr="0004264F" w:rsidRDefault="0004264F" w:rsidP="0004264F">
            <w:pPr>
              <w:jc w:val="center"/>
              <w:rPr>
                <w:rFonts w:cstheme="majorBidi"/>
                <w:sz w:val="20"/>
                <w:szCs w:val="20"/>
              </w:rPr>
            </w:pPr>
            <w:r w:rsidRPr="0004264F">
              <w:rPr>
                <w:rFonts w:cstheme="majorBidi"/>
                <w:sz w:val="20"/>
                <w:szCs w:val="20"/>
              </w:rPr>
              <w:t>1.3029*</w:t>
            </w:r>
          </w:p>
        </w:tc>
        <w:tc>
          <w:tcPr>
            <w:tcW w:w="2023" w:type="dxa"/>
            <w:tcBorders>
              <w:top w:val="single" w:sz="4" w:space="0" w:color="auto"/>
            </w:tcBorders>
            <w:vAlign w:val="center"/>
          </w:tcPr>
          <w:p w14:paraId="48C00629" w14:textId="77777777" w:rsidR="0004264F" w:rsidRPr="0004264F" w:rsidRDefault="0004264F" w:rsidP="0004264F">
            <w:pPr>
              <w:jc w:val="center"/>
              <w:rPr>
                <w:rFonts w:cstheme="majorBidi"/>
                <w:sz w:val="20"/>
                <w:szCs w:val="20"/>
              </w:rPr>
            </w:pPr>
          </w:p>
        </w:tc>
        <w:tc>
          <w:tcPr>
            <w:tcW w:w="1681" w:type="dxa"/>
            <w:tcBorders>
              <w:top w:val="single" w:sz="4" w:space="0" w:color="auto"/>
            </w:tcBorders>
            <w:vAlign w:val="center"/>
          </w:tcPr>
          <w:p w14:paraId="09B9241F" w14:textId="77777777" w:rsidR="0004264F" w:rsidRPr="0004264F" w:rsidRDefault="0004264F" w:rsidP="0004264F">
            <w:pPr>
              <w:jc w:val="center"/>
              <w:rPr>
                <w:rFonts w:cstheme="majorBidi"/>
                <w:sz w:val="20"/>
                <w:szCs w:val="20"/>
              </w:rPr>
            </w:pPr>
          </w:p>
        </w:tc>
        <w:tc>
          <w:tcPr>
            <w:tcW w:w="1652" w:type="dxa"/>
            <w:tcBorders>
              <w:top w:val="single" w:sz="4" w:space="0" w:color="auto"/>
            </w:tcBorders>
            <w:vAlign w:val="center"/>
          </w:tcPr>
          <w:p w14:paraId="1EAB68D8" w14:textId="77777777" w:rsidR="0004264F" w:rsidRPr="0004264F" w:rsidRDefault="0004264F" w:rsidP="0004264F">
            <w:pPr>
              <w:jc w:val="center"/>
              <w:rPr>
                <w:rFonts w:cstheme="majorBidi"/>
                <w:sz w:val="20"/>
                <w:szCs w:val="20"/>
              </w:rPr>
            </w:pPr>
          </w:p>
        </w:tc>
        <w:tc>
          <w:tcPr>
            <w:tcW w:w="2093" w:type="dxa"/>
            <w:tcBorders>
              <w:top w:val="single" w:sz="4" w:space="0" w:color="auto"/>
            </w:tcBorders>
            <w:vAlign w:val="center"/>
          </w:tcPr>
          <w:p w14:paraId="30E1E70F" w14:textId="77777777" w:rsidR="0004264F" w:rsidRPr="0004264F" w:rsidRDefault="0004264F" w:rsidP="0004264F">
            <w:pPr>
              <w:jc w:val="center"/>
              <w:rPr>
                <w:rFonts w:cstheme="majorBidi"/>
                <w:sz w:val="20"/>
                <w:szCs w:val="20"/>
              </w:rPr>
            </w:pPr>
          </w:p>
        </w:tc>
        <w:tc>
          <w:tcPr>
            <w:tcW w:w="2078" w:type="dxa"/>
            <w:tcBorders>
              <w:top w:val="single" w:sz="4" w:space="0" w:color="auto"/>
            </w:tcBorders>
            <w:vAlign w:val="center"/>
          </w:tcPr>
          <w:p w14:paraId="6569F3F4" w14:textId="77777777" w:rsidR="0004264F" w:rsidRPr="0004264F" w:rsidRDefault="0004264F" w:rsidP="0004264F">
            <w:pPr>
              <w:jc w:val="center"/>
              <w:rPr>
                <w:rFonts w:cstheme="majorBidi"/>
                <w:sz w:val="20"/>
                <w:szCs w:val="20"/>
              </w:rPr>
            </w:pPr>
          </w:p>
        </w:tc>
        <w:tc>
          <w:tcPr>
            <w:tcW w:w="2188" w:type="dxa"/>
            <w:tcBorders>
              <w:top w:val="single" w:sz="4" w:space="0" w:color="auto"/>
            </w:tcBorders>
            <w:vAlign w:val="center"/>
          </w:tcPr>
          <w:p w14:paraId="2CC0B8C0" w14:textId="77777777" w:rsidR="0004264F" w:rsidRPr="0004264F" w:rsidRDefault="0004264F" w:rsidP="0004264F">
            <w:pPr>
              <w:jc w:val="center"/>
              <w:rPr>
                <w:rFonts w:cstheme="majorBidi"/>
                <w:sz w:val="20"/>
                <w:szCs w:val="20"/>
              </w:rPr>
            </w:pPr>
          </w:p>
        </w:tc>
      </w:tr>
      <w:tr w:rsidR="0004264F" w:rsidRPr="0004264F" w14:paraId="752F8097" w14:textId="77777777" w:rsidTr="0004264F">
        <w:trPr>
          <w:trHeight w:val="253"/>
          <w:jc w:val="center"/>
        </w:trPr>
        <w:tc>
          <w:tcPr>
            <w:tcW w:w="1700" w:type="dxa"/>
            <w:vMerge/>
          </w:tcPr>
          <w:p w14:paraId="569AD4D7" w14:textId="77777777" w:rsidR="0004264F" w:rsidRPr="0004264F" w:rsidRDefault="0004264F" w:rsidP="0004264F">
            <w:pPr>
              <w:rPr>
                <w:rFonts w:cstheme="majorBidi"/>
                <w:sz w:val="20"/>
                <w:szCs w:val="20"/>
              </w:rPr>
            </w:pPr>
          </w:p>
        </w:tc>
        <w:tc>
          <w:tcPr>
            <w:tcW w:w="2305" w:type="dxa"/>
          </w:tcPr>
          <w:p w14:paraId="0CE42ED3" w14:textId="5C79DCA2" w:rsidR="0004264F" w:rsidRPr="0004264F" w:rsidRDefault="0004264F" w:rsidP="0004264F">
            <w:pPr>
              <w:jc w:val="center"/>
              <w:rPr>
                <w:rFonts w:cstheme="majorBidi"/>
                <w:sz w:val="20"/>
                <w:szCs w:val="20"/>
              </w:rPr>
            </w:pPr>
            <w:r w:rsidRPr="0004264F">
              <w:rPr>
                <w:rFonts w:cstheme="majorBidi"/>
                <w:sz w:val="20"/>
                <w:szCs w:val="20"/>
              </w:rPr>
              <w:t>(1.26957)</w:t>
            </w:r>
          </w:p>
        </w:tc>
        <w:tc>
          <w:tcPr>
            <w:tcW w:w="2102" w:type="dxa"/>
          </w:tcPr>
          <w:p w14:paraId="28E50BA7" w14:textId="4A120845" w:rsidR="0004264F" w:rsidRPr="0004264F" w:rsidRDefault="0004264F" w:rsidP="0004264F">
            <w:pPr>
              <w:jc w:val="center"/>
              <w:rPr>
                <w:rFonts w:cstheme="majorBidi"/>
                <w:sz w:val="20"/>
                <w:szCs w:val="20"/>
              </w:rPr>
            </w:pPr>
            <w:r w:rsidRPr="0004264F">
              <w:rPr>
                <w:rFonts w:cstheme="majorBidi"/>
                <w:sz w:val="20"/>
                <w:szCs w:val="20"/>
              </w:rPr>
              <w:t>(.74357)</w:t>
            </w:r>
          </w:p>
        </w:tc>
        <w:tc>
          <w:tcPr>
            <w:tcW w:w="2023" w:type="dxa"/>
            <w:vAlign w:val="center"/>
          </w:tcPr>
          <w:p w14:paraId="75FCC594" w14:textId="77777777" w:rsidR="0004264F" w:rsidRPr="0004264F" w:rsidRDefault="0004264F" w:rsidP="0004264F">
            <w:pPr>
              <w:jc w:val="center"/>
              <w:rPr>
                <w:rFonts w:cstheme="majorBidi"/>
                <w:sz w:val="20"/>
                <w:szCs w:val="20"/>
              </w:rPr>
            </w:pPr>
          </w:p>
        </w:tc>
        <w:tc>
          <w:tcPr>
            <w:tcW w:w="1681" w:type="dxa"/>
            <w:vAlign w:val="center"/>
          </w:tcPr>
          <w:p w14:paraId="7D34BCA4" w14:textId="77777777" w:rsidR="0004264F" w:rsidRPr="0004264F" w:rsidRDefault="0004264F" w:rsidP="0004264F">
            <w:pPr>
              <w:jc w:val="center"/>
              <w:rPr>
                <w:rFonts w:cstheme="majorBidi"/>
                <w:sz w:val="20"/>
                <w:szCs w:val="20"/>
              </w:rPr>
            </w:pPr>
          </w:p>
        </w:tc>
        <w:tc>
          <w:tcPr>
            <w:tcW w:w="1652" w:type="dxa"/>
            <w:vAlign w:val="center"/>
          </w:tcPr>
          <w:p w14:paraId="6B35E5C6" w14:textId="77777777" w:rsidR="0004264F" w:rsidRPr="0004264F" w:rsidRDefault="0004264F" w:rsidP="0004264F">
            <w:pPr>
              <w:jc w:val="center"/>
              <w:rPr>
                <w:rFonts w:cstheme="majorBidi"/>
                <w:sz w:val="20"/>
                <w:szCs w:val="20"/>
              </w:rPr>
            </w:pPr>
          </w:p>
        </w:tc>
        <w:tc>
          <w:tcPr>
            <w:tcW w:w="2093" w:type="dxa"/>
            <w:vAlign w:val="center"/>
          </w:tcPr>
          <w:p w14:paraId="0DBCC30F" w14:textId="77777777" w:rsidR="0004264F" w:rsidRPr="0004264F" w:rsidRDefault="0004264F" w:rsidP="0004264F">
            <w:pPr>
              <w:jc w:val="center"/>
              <w:rPr>
                <w:rFonts w:cstheme="majorBidi"/>
                <w:sz w:val="20"/>
                <w:szCs w:val="20"/>
              </w:rPr>
            </w:pPr>
          </w:p>
        </w:tc>
        <w:tc>
          <w:tcPr>
            <w:tcW w:w="2078" w:type="dxa"/>
            <w:vAlign w:val="center"/>
          </w:tcPr>
          <w:p w14:paraId="1D93E01B" w14:textId="77777777" w:rsidR="0004264F" w:rsidRPr="0004264F" w:rsidRDefault="0004264F" w:rsidP="0004264F">
            <w:pPr>
              <w:jc w:val="center"/>
              <w:rPr>
                <w:rFonts w:cstheme="majorBidi"/>
                <w:sz w:val="20"/>
                <w:szCs w:val="20"/>
              </w:rPr>
            </w:pPr>
          </w:p>
        </w:tc>
        <w:tc>
          <w:tcPr>
            <w:tcW w:w="2188" w:type="dxa"/>
            <w:vAlign w:val="center"/>
          </w:tcPr>
          <w:p w14:paraId="4D09347D" w14:textId="77777777" w:rsidR="0004264F" w:rsidRPr="0004264F" w:rsidRDefault="0004264F" w:rsidP="0004264F">
            <w:pPr>
              <w:jc w:val="center"/>
              <w:rPr>
                <w:rFonts w:cstheme="majorBidi"/>
                <w:sz w:val="20"/>
                <w:szCs w:val="20"/>
              </w:rPr>
            </w:pPr>
          </w:p>
        </w:tc>
      </w:tr>
      <w:tr w:rsidR="0004264F" w:rsidRPr="0004264F" w14:paraId="3CDBD8B0" w14:textId="77777777" w:rsidTr="0004264F">
        <w:trPr>
          <w:trHeight w:val="253"/>
          <w:jc w:val="center"/>
        </w:trPr>
        <w:tc>
          <w:tcPr>
            <w:tcW w:w="1700" w:type="dxa"/>
            <w:vMerge w:val="restart"/>
          </w:tcPr>
          <w:p w14:paraId="3A651140" w14:textId="6333AE51" w:rsidR="0004264F" w:rsidRPr="0004264F" w:rsidRDefault="0004264F" w:rsidP="0004264F">
            <w:pPr>
              <w:rPr>
                <w:rFonts w:cstheme="majorBidi"/>
                <w:sz w:val="20"/>
                <w:szCs w:val="20"/>
              </w:rPr>
            </w:pPr>
            <w:r w:rsidRPr="0004264F">
              <w:rPr>
                <w:rFonts w:cstheme="majorBidi"/>
                <w:sz w:val="20"/>
                <w:szCs w:val="20"/>
              </w:rPr>
              <w:t>State-Level Deposits per Capita</w:t>
            </w:r>
          </w:p>
        </w:tc>
        <w:tc>
          <w:tcPr>
            <w:tcW w:w="2305" w:type="dxa"/>
          </w:tcPr>
          <w:p w14:paraId="52538968" w14:textId="5F712FF1" w:rsidR="0004264F" w:rsidRPr="0004264F" w:rsidRDefault="0004264F" w:rsidP="0004264F">
            <w:pPr>
              <w:jc w:val="center"/>
              <w:rPr>
                <w:rFonts w:cstheme="majorBidi"/>
                <w:sz w:val="20"/>
                <w:szCs w:val="20"/>
              </w:rPr>
            </w:pPr>
          </w:p>
        </w:tc>
        <w:tc>
          <w:tcPr>
            <w:tcW w:w="2102" w:type="dxa"/>
          </w:tcPr>
          <w:p w14:paraId="69CB4DB8" w14:textId="7342A998" w:rsidR="0004264F" w:rsidRPr="0004264F" w:rsidRDefault="0004264F" w:rsidP="0004264F">
            <w:pPr>
              <w:jc w:val="center"/>
              <w:rPr>
                <w:rFonts w:cstheme="majorBidi"/>
                <w:sz w:val="20"/>
                <w:szCs w:val="20"/>
              </w:rPr>
            </w:pPr>
          </w:p>
        </w:tc>
        <w:tc>
          <w:tcPr>
            <w:tcW w:w="2023" w:type="dxa"/>
          </w:tcPr>
          <w:p w14:paraId="37717E1C" w14:textId="30D41B9B" w:rsidR="0004264F" w:rsidRPr="0004264F" w:rsidRDefault="0004264F" w:rsidP="0004264F">
            <w:pPr>
              <w:jc w:val="center"/>
              <w:rPr>
                <w:rFonts w:cstheme="majorBidi"/>
                <w:sz w:val="20"/>
                <w:szCs w:val="20"/>
              </w:rPr>
            </w:pPr>
            <w:r w:rsidRPr="0004264F">
              <w:rPr>
                <w:rFonts w:cstheme="majorBidi"/>
                <w:sz w:val="20"/>
                <w:szCs w:val="20"/>
              </w:rPr>
              <w:t>32.51253***</w:t>
            </w:r>
          </w:p>
        </w:tc>
        <w:tc>
          <w:tcPr>
            <w:tcW w:w="1681" w:type="dxa"/>
          </w:tcPr>
          <w:p w14:paraId="17FFD217" w14:textId="5433C94C" w:rsidR="0004264F" w:rsidRPr="0004264F" w:rsidRDefault="0004264F" w:rsidP="0004264F">
            <w:pPr>
              <w:jc w:val="center"/>
              <w:rPr>
                <w:rFonts w:cstheme="majorBidi"/>
                <w:sz w:val="20"/>
                <w:szCs w:val="20"/>
              </w:rPr>
            </w:pPr>
            <w:r w:rsidRPr="0004264F">
              <w:rPr>
                <w:rFonts w:cstheme="majorBidi"/>
                <w:sz w:val="20"/>
                <w:szCs w:val="20"/>
              </w:rPr>
              <w:t>6.20618</w:t>
            </w:r>
          </w:p>
        </w:tc>
        <w:tc>
          <w:tcPr>
            <w:tcW w:w="1652" w:type="dxa"/>
            <w:vAlign w:val="center"/>
          </w:tcPr>
          <w:p w14:paraId="4C2B6EA2" w14:textId="77777777" w:rsidR="0004264F" w:rsidRPr="0004264F" w:rsidRDefault="0004264F" w:rsidP="0004264F">
            <w:pPr>
              <w:jc w:val="center"/>
              <w:rPr>
                <w:rFonts w:cstheme="majorBidi"/>
                <w:sz w:val="20"/>
                <w:szCs w:val="20"/>
              </w:rPr>
            </w:pPr>
          </w:p>
        </w:tc>
        <w:tc>
          <w:tcPr>
            <w:tcW w:w="2093" w:type="dxa"/>
            <w:vAlign w:val="center"/>
          </w:tcPr>
          <w:p w14:paraId="3940121F" w14:textId="77777777" w:rsidR="0004264F" w:rsidRPr="0004264F" w:rsidRDefault="0004264F" w:rsidP="0004264F">
            <w:pPr>
              <w:jc w:val="center"/>
              <w:rPr>
                <w:rFonts w:cstheme="majorBidi"/>
                <w:sz w:val="20"/>
                <w:szCs w:val="20"/>
              </w:rPr>
            </w:pPr>
          </w:p>
        </w:tc>
        <w:tc>
          <w:tcPr>
            <w:tcW w:w="2078" w:type="dxa"/>
            <w:vAlign w:val="center"/>
          </w:tcPr>
          <w:p w14:paraId="6A03FDDC" w14:textId="77777777" w:rsidR="0004264F" w:rsidRPr="0004264F" w:rsidRDefault="0004264F" w:rsidP="0004264F">
            <w:pPr>
              <w:jc w:val="center"/>
              <w:rPr>
                <w:rFonts w:cstheme="majorBidi"/>
                <w:sz w:val="20"/>
                <w:szCs w:val="20"/>
              </w:rPr>
            </w:pPr>
          </w:p>
        </w:tc>
        <w:tc>
          <w:tcPr>
            <w:tcW w:w="2188" w:type="dxa"/>
            <w:vAlign w:val="center"/>
          </w:tcPr>
          <w:p w14:paraId="362ECF84" w14:textId="77777777" w:rsidR="0004264F" w:rsidRPr="0004264F" w:rsidRDefault="0004264F" w:rsidP="0004264F">
            <w:pPr>
              <w:jc w:val="center"/>
              <w:rPr>
                <w:rFonts w:cstheme="majorBidi"/>
                <w:sz w:val="20"/>
                <w:szCs w:val="20"/>
              </w:rPr>
            </w:pPr>
          </w:p>
        </w:tc>
      </w:tr>
      <w:tr w:rsidR="0004264F" w:rsidRPr="0004264F" w14:paraId="69C0576A" w14:textId="77777777" w:rsidTr="0004264F">
        <w:trPr>
          <w:trHeight w:val="253"/>
          <w:jc w:val="center"/>
        </w:trPr>
        <w:tc>
          <w:tcPr>
            <w:tcW w:w="1700" w:type="dxa"/>
            <w:vMerge/>
          </w:tcPr>
          <w:p w14:paraId="5914BAB1" w14:textId="77777777" w:rsidR="0004264F" w:rsidRPr="0004264F" w:rsidRDefault="0004264F" w:rsidP="0004264F">
            <w:pPr>
              <w:rPr>
                <w:rFonts w:cstheme="majorBidi"/>
                <w:sz w:val="20"/>
                <w:szCs w:val="20"/>
              </w:rPr>
            </w:pPr>
          </w:p>
        </w:tc>
        <w:tc>
          <w:tcPr>
            <w:tcW w:w="2305" w:type="dxa"/>
          </w:tcPr>
          <w:p w14:paraId="0B4B0194" w14:textId="53035A46" w:rsidR="0004264F" w:rsidRPr="0004264F" w:rsidRDefault="0004264F" w:rsidP="0004264F">
            <w:pPr>
              <w:jc w:val="center"/>
              <w:rPr>
                <w:rFonts w:cstheme="majorBidi"/>
                <w:sz w:val="20"/>
                <w:szCs w:val="20"/>
              </w:rPr>
            </w:pPr>
          </w:p>
        </w:tc>
        <w:tc>
          <w:tcPr>
            <w:tcW w:w="2102" w:type="dxa"/>
          </w:tcPr>
          <w:p w14:paraId="5788461C" w14:textId="144916FB" w:rsidR="0004264F" w:rsidRPr="0004264F" w:rsidRDefault="0004264F" w:rsidP="0004264F">
            <w:pPr>
              <w:jc w:val="center"/>
              <w:rPr>
                <w:rFonts w:cstheme="majorBidi"/>
                <w:sz w:val="20"/>
                <w:szCs w:val="20"/>
              </w:rPr>
            </w:pPr>
          </w:p>
        </w:tc>
        <w:tc>
          <w:tcPr>
            <w:tcW w:w="2023" w:type="dxa"/>
          </w:tcPr>
          <w:p w14:paraId="21F6749E" w14:textId="61BE4718" w:rsidR="0004264F" w:rsidRPr="0004264F" w:rsidRDefault="0004264F" w:rsidP="0004264F">
            <w:pPr>
              <w:jc w:val="center"/>
              <w:rPr>
                <w:rFonts w:cstheme="majorBidi"/>
                <w:sz w:val="20"/>
                <w:szCs w:val="20"/>
              </w:rPr>
            </w:pPr>
            <w:r w:rsidRPr="0004264F">
              <w:rPr>
                <w:rFonts w:cstheme="majorBidi"/>
                <w:sz w:val="20"/>
                <w:szCs w:val="20"/>
              </w:rPr>
              <w:t>(6.58206)</w:t>
            </w:r>
          </w:p>
        </w:tc>
        <w:tc>
          <w:tcPr>
            <w:tcW w:w="1681" w:type="dxa"/>
          </w:tcPr>
          <w:p w14:paraId="06E4A014" w14:textId="5BBA3F6E" w:rsidR="0004264F" w:rsidRPr="0004264F" w:rsidRDefault="0004264F" w:rsidP="0004264F">
            <w:pPr>
              <w:jc w:val="center"/>
              <w:rPr>
                <w:rFonts w:cstheme="majorBidi"/>
                <w:sz w:val="20"/>
                <w:szCs w:val="20"/>
              </w:rPr>
            </w:pPr>
            <w:r w:rsidRPr="0004264F">
              <w:rPr>
                <w:rFonts w:cstheme="majorBidi"/>
                <w:sz w:val="20"/>
                <w:szCs w:val="20"/>
              </w:rPr>
              <w:t>(6.03937)</w:t>
            </w:r>
          </w:p>
        </w:tc>
        <w:tc>
          <w:tcPr>
            <w:tcW w:w="1652" w:type="dxa"/>
            <w:vAlign w:val="center"/>
          </w:tcPr>
          <w:p w14:paraId="0BDDC81B" w14:textId="77777777" w:rsidR="0004264F" w:rsidRPr="0004264F" w:rsidRDefault="0004264F" w:rsidP="0004264F">
            <w:pPr>
              <w:jc w:val="center"/>
              <w:rPr>
                <w:rFonts w:cstheme="majorBidi"/>
                <w:sz w:val="20"/>
                <w:szCs w:val="20"/>
              </w:rPr>
            </w:pPr>
          </w:p>
        </w:tc>
        <w:tc>
          <w:tcPr>
            <w:tcW w:w="2093" w:type="dxa"/>
            <w:vAlign w:val="center"/>
          </w:tcPr>
          <w:p w14:paraId="5652670F" w14:textId="77777777" w:rsidR="0004264F" w:rsidRPr="0004264F" w:rsidRDefault="0004264F" w:rsidP="0004264F">
            <w:pPr>
              <w:jc w:val="center"/>
              <w:rPr>
                <w:rFonts w:cstheme="majorBidi"/>
                <w:sz w:val="20"/>
                <w:szCs w:val="20"/>
              </w:rPr>
            </w:pPr>
          </w:p>
        </w:tc>
        <w:tc>
          <w:tcPr>
            <w:tcW w:w="2078" w:type="dxa"/>
            <w:vAlign w:val="center"/>
          </w:tcPr>
          <w:p w14:paraId="32488D95" w14:textId="77777777" w:rsidR="0004264F" w:rsidRPr="0004264F" w:rsidRDefault="0004264F" w:rsidP="0004264F">
            <w:pPr>
              <w:jc w:val="center"/>
              <w:rPr>
                <w:rFonts w:cstheme="majorBidi"/>
                <w:sz w:val="20"/>
                <w:szCs w:val="20"/>
              </w:rPr>
            </w:pPr>
          </w:p>
        </w:tc>
        <w:tc>
          <w:tcPr>
            <w:tcW w:w="2188" w:type="dxa"/>
            <w:vAlign w:val="center"/>
          </w:tcPr>
          <w:p w14:paraId="246C4C85" w14:textId="77777777" w:rsidR="0004264F" w:rsidRPr="0004264F" w:rsidRDefault="0004264F" w:rsidP="0004264F">
            <w:pPr>
              <w:jc w:val="center"/>
              <w:rPr>
                <w:rFonts w:cstheme="majorBidi"/>
                <w:sz w:val="20"/>
                <w:szCs w:val="20"/>
              </w:rPr>
            </w:pPr>
          </w:p>
        </w:tc>
      </w:tr>
      <w:tr w:rsidR="0004264F" w:rsidRPr="0004264F" w14:paraId="19F4C8DE" w14:textId="77777777" w:rsidTr="0004264F">
        <w:trPr>
          <w:trHeight w:val="253"/>
          <w:jc w:val="center"/>
        </w:trPr>
        <w:tc>
          <w:tcPr>
            <w:tcW w:w="1700" w:type="dxa"/>
            <w:vMerge w:val="restart"/>
          </w:tcPr>
          <w:p w14:paraId="12E67A31" w14:textId="0CA3AE34" w:rsidR="0004264F" w:rsidRPr="0004264F" w:rsidRDefault="0004264F" w:rsidP="0004264F">
            <w:pPr>
              <w:rPr>
                <w:rFonts w:cstheme="majorBidi"/>
                <w:sz w:val="20"/>
                <w:szCs w:val="20"/>
              </w:rPr>
            </w:pPr>
            <w:r w:rsidRPr="0004264F">
              <w:rPr>
                <w:rFonts w:cstheme="majorBidi"/>
                <w:sz w:val="20"/>
                <w:szCs w:val="20"/>
              </w:rPr>
              <w:t>County-Level Deposits per Capita</w:t>
            </w:r>
          </w:p>
        </w:tc>
        <w:tc>
          <w:tcPr>
            <w:tcW w:w="2305" w:type="dxa"/>
          </w:tcPr>
          <w:p w14:paraId="2EEA66DE" w14:textId="3639319E" w:rsidR="0004264F" w:rsidRPr="0004264F" w:rsidRDefault="0004264F" w:rsidP="0004264F">
            <w:pPr>
              <w:jc w:val="center"/>
              <w:rPr>
                <w:rFonts w:cstheme="majorBidi"/>
                <w:sz w:val="20"/>
                <w:szCs w:val="20"/>
              </w:rPr>
            </w:pPr>
          </w:p>
        </w:tc>
        <w:tc>
          <w:tcPr>
            <w:tcW w:w="2102" w:type="dxa"/>
          </w:tcPr>
          <w:p w14:paraId="71792DE9" w14:textId="42AB0705" w:rsidR="0004264F" w:rsidRPr="0004264F" w:rsidRDefault="0004264F" w:rsidP="0004264F">
            <w:pPr>
              <w:jc w:val="center"/>
              <w:rPr>
                <w:rFonts w:cstheme="majorBidi"/>
                <w:sz w:val="20"/>
                <w:szCs w:val="20"/>
              </w:rPr>
            </w:pPr>
          </w:p>
        </w:tc>
        <w:tc>
          <w:tcPr>
            <w:tcW w:w="2023" w:type="dxa"/>
          </w:tcPr>
          <w:p w14:paraId="50E326A0" w14:textId="1B3A66FD" w:rsidR="0004264F" w:rsidRPr="0004264F" w:rsidRDefault="0004264F" w:rsidP="0004264F">
            <w:pPr>
              <w:jc w:val="center"/>
              <w:rPr>
                <w:rFonts w:cstheme="majorBidi"/>
                <w:sz w:val="20"/>
                <w:szCs w:val="20"/>
              </w:rPr>
            </w:pPr>
          </w:p>
        </w:tc>
        <w:tc>
          <w:tcPr>
            <w:tcW w:w="1681" w:type="dxa"/>
          </w:tcPr>
          <w:p w14:paraId="354DA004" w14:textId="40626E9D" w:rsidR="0004264F" w:rsidRPr="0004264F" w:rsidRDefault="0004264F" w:rsidP="0004264F">
            <w:pPr>
              <w:jc w:val="center"/>
              <w:rPr>
                <w:rFonts w:cstheme="majorBidi"/>
                <w:sz w:val="20"/>
                <w:szCs w:val="20"/>
              </w:rPr>
            </w:pPr>
          </w:p>
        </w:tc>
        <w:tc>
          <w:tcPr>
            <w:tcW w:w="1652" w:type="dxa"/>
          </w:tcPr>
          <w:p w14:paraId="7E0095C3" w14:textId="13204564" w:rsidR="0004264F" w:rsidRPr="0004264F" w:rsidRDefault="0004264F" w:rsidP="0004264F">
            <w:pPr>
              <w:jc w:val="center"/>
              <w:rPr>
                <w:rFonts w:cstheme="majorBidi"/>
                <w:sz w:val="20"/>
                <w:szCs w:val="20"/>
              </w:rPr>
            </w:pPr>
            <w:r w:rsidRPr="0004264F">
              <w:rPr>
                <w:rFonts w:cstheme="majorBidi"/>
                <w:sz w:val="20"/>
                <w:szCs w:val="20"/>
              </w:rPr>
              <w:t>.41644</w:t>
            </w:r>
          </w:p>
        </w:tc>
        <w:tc>
          <w:tcPr>
            <w:tcW w:w="2093" w:type="dxa"/>
          </w:tcPr>
          <w:p w14:paraId="777E51A6" w14:textId="5812CC6B" w:rsidR="0004264F" w:rsidRPr="0004264F" w:rsidRDefault="0004264F" w:rsidP="0004264F">
            <w:pPr>
              <w:jc w:val="center"/>
              <w:rPr>
                <w:rFonts w:cstheme="majorBidi"/>
                <w:sz w:val="20"/>
                <w:szCs w:val="20"/>
              </w:rPr>
            </w:pPr>
            <w:r w:rsidRPr="0004264F">
              <w:rPr>
                <w:rFonts w:cstheme="majorBidi"/>
                <w:sz w:val="20"/>
                <w:szCs w:val="20"/>
              </w:rPr>
              <w:t>-.53373***</w:t>
            </w:r>
          </w:p>
        </w:tc>
        <w:tc>
          <w:tcPr>
            <w:tcW w:w="2078" w:type="dxa"/>
          </w:tcPr>
          <w:p w14:paraId="440F383A" w14:textId="6438FC76" w:rsidR="0004264F" w:rsidRPr="0004264F" w:rsidRDefault="0004264F" w:rsidP="0004264F">
            <w:pPr>
              <w:jc w:val="center"/>
              <w:rPr>
                <w:rFonts w:cstheme="majorBidi"/>
                <w:sz w:val="20"/>
                <w:szCs w:val="20"/>
              </w:rPr>
            </w:pPr>
            <w:r w:rsidRPr="0004264F">
              <w:rPr>
                <w:rFonts w:cstheme="majorBidi"/>
                <w:sz w:val="20"/>
                <w:szCs w:val="20"/>
              </w:rPr>
              <w:t>2.40807***</w:t>
            </w:r>
          </w:p>
        </w:tc>
        <w:tc>
          <w:tcPr>
            <w:tcW w:w="2188" w:type="dxa"/>
          </w:tcPr>
          <w:p w14:paraId="16ECEAB4" w14:textId="793A21AA" w:rsidR="0004264F" w:rsidRPr="0004264F" w:rsidRDefault="0004264F" w:rsidP="0004264F">
            <w:pPr>
              <w:jc w:val="center"/>
              <w:rPr>
                <w:rFonts w:cstheme="majorBidi"/>
                <w:sz w:val="20"/>
                <w:szCs w:val="20"/>
              </w:rPr>
            </w:pPr>
            <w:r w:rsidRPr="0004264F">
              <w:rPr>
                <w:rFonts w:cstheme="majorBidi"/>
                <w:sz w:val="20"/>
                <w:szCs w:val="20"/>
              </w:rPr>
              <w:t>2.99807***</w:t>
            </w:r>
          </w:p>
        </w:tc>
      </w:tr>
      <w:tr w:rsidR="0004264F" w:rsidRPr="0004264F" w14:paraId="6293F981" w14:textId="77777777" w:rsidTr="0004264F">
        <w:trPr>
          <w:trHeight w:val="253"/>
          <w:jc w:val="center"/>
        </w:trPr>
        <w:tc>
          <w:tcPr>
            <w:tcW w:w="1700" w:type="dxa"/>
            <w:vMerge/>
          </w:tcPr>
          <w:p w14:paraId="5ECABF71" w14:textId="77777777" w:rsidR="0004264F" w:rsidRPr="0004264F" w:rsidRDefault="0004264F" w:rsidP="0004264F">
            <w:pPr>
              <w:rPr>
                <w:rFonts w:cstheme="majorBidi"/>
                <w:sz w:val="20"/>
                <w:szCs w:val="20"/>
              </w:rPr>
            </w:pPr>
          </w:p>
        </w:tc>
        <w:tc>
          <w:tcPr>
            <w:tcW w:w="2305" w:type="dxa"/>
          </w:tcPr>
          <w:p w14:paraId="231F473E" w14:textId="3FAFEBDD" w:rsidR="0004264F" w:rsidRPr="0004264F" w:rsidRDefault="0004264F" w:rsidP="0004264F">
            <w:pPr>
              <w:jc w:val="center"/>
              <w:rPr>
                <w:rFonts w:cstheme="majorBidi"/>
                <w:sz w:val="20"/>
                <w:szCs w:val="20"/>
              </w:rPr>
            </w:pPr>
          </w:p>
        </w:tc>
        <w:tc>
          <w:tcPr>
            <w:tcW w:w="2102" w:type="dxa"/>
          </w:tcPr>
          <w:p w14:paraId="01FCCC4D" w14:textId="4B315C54" w:rsidR="0004264F" w:rsidRPr="0004264F" w:rsidRDefault="0004264F" w:rsidP="0004264F">
            <w:pPr>
              <w:jc w:val="center"/>
              <w:rPr>
                <w:rFonts w:cstheme="majorBidi"/>
                <w:sz w:val="20"/>
                <w:szCs w:val="20"/>
              </w:rPr>
            </w:pPr>
          </w:p>
        </w:tc>
        <w:tc>
          <w:tcPr>
            <w:tcW w:w="2023" w:type="dxa"/>
          </w:tcPr>
          <w:p w14:paraId="5A3650FB" w14:textId="1709113F" w:rsidR="0004264F" w:rsidRPr="0004264F" w:rsidRDefault="0004264F" w:rsidP="0004264F">
            <w:pPr>
              <w:jc w:val="center"/>
              <w:rPr>
                <w:rFonts w:cstheme="majorBidi"/>
                <w:sz w:val="20"/>
                <w:szCs w:val="20"/>
              </w:rPr>
            </w:pPr>
          </w:p>
        </w:tc>
        <w:tc>
          <w:tcPr>
            <w:tcW w:w="1681" w:type="dxa"/>
          </w:tcPr>
          <w:p w14:paraId="70CD9110" w14:textId="2A8DA53E" w:rsidR="0004264F" w:rsidRPr="0004264F" w:rsidRDefault="0004264F" w:rsidP="0004264F">
            <w:pPr>
              <w:jc w:val="center"/>
              <w:rPr>
                <w:rFonts w:cstheme="majorBidi"/>
                <w:sz w:val="20"/>
                <w:szCs w:val="20"/>
              </w:rPr>
            </w:pPr>
          </w:p>
        </w:tc>
        <w:tc>
          <w:tcPr>
            <w:tcW w:w="1652" w:type="dxa"/>
          </w:tcPr>
          <w:p w14:paraId="19430887" w14:textId="462A7F0D" w:rsidR="0004264F" w:rsidRPr="0004264F" w:rsidRDefault="0004264F" w:rsidP="0004264F">
            <w:pPr>
              <w:jc w:val="center"/>
              <w:rPr>
                <w:rFonts w:cstheme="majorBidi"/>
                <w:sz w:val="20"/>
                <w:szCs w:val="20"/>
              </w:rPr>
            </w:pPr>
            <w:r w:rsidRPr="0004264F">
              <w:rPr>
                <w:rFonts w:cstheme="majorBidi"/>
                <w:sz w:val="20"/>
                <w:szCs w:val="20"/>
              </w:rPr>
              <w:t>(.83148)</w:t>
            </w:r>
          </w:p>
        </w:tc>
        <w:tc>
          <w:tcPr>
            <w:tcW w:w="2093" w:type="dxa"/>
          </w:tcPr>
          <w:p w14:paraId="3BAAE44E" w14:textId="6758FF25" w:rsidR="0004264F" w:rsidRPr="0004264F" w:rsidRDefault="0004264F" w:rsidP="0004264F">
            <w:pPr>
              <w:jc w:val="center"/>
              <w:rPr>
                <w:rFonts w:cstheme="majorBidi"/>
                <w:sz w:val="20"/>
                <w:szCs w:val="20"/>
              </w:rPr>
            </w:pPr>
            <w:r w:rsidRPr="0004264F">
              <w:rPr>
                <w:rFonts w:cstheme="majorBidi"/>
                <w:sz w:val="20"/>
                <w:szCs w:val="20"/>
              </w:rPr>
              <w:t>(.04354)</w:t>
            </w:r>
          </w:p>
        </w:tc>
        <w:tc>
          <w:tcPr>
            <w:tcW w:w="2078" w:type="dxa"/>
          </w:tcPr>
          <w:p w14:paraId="26056632" w14:textId="5C411E15" w:rsidR="0004264F" w:rsidRPr="0004264F" w:rsidRDefault="0004264F" w:rsidP="0004264F">
            <w:pPr>
              <w:jc w:val="center"/>
              <w:rPr>
                <w:rFonts w:cstheme="majorBidi"/>
                <w:sz w:val="20"/>
                <w:szCs w:val="20"/>
              </w:rPr>
            </w:pPr>
            <w:r w:rsidRPr="0004264F">
              <w:rPr>
                <w:rFonts w:cstheme="majorBidi"/>
                <w:sz w:val="20"/>
                <w:szCs w:val="20"/>
              </w:rPr>
              <w:t>(.89365)</w:t>
            </w:r>
          </w:p>
        </w:tc>
        <w:tc>
          <w:tcPr>
            <w:tcW w:w="2188" w:type="dxa"/>
          </w:tcPr>
          <w:p w14:paraId="382E482F" w14:textId="492BFE32" w:rsidR="0004264F" w:rsidRPr="0004264F" w:rsidRDefault="0004264F" w:rsidP="0004264F">
            <w:pPr>
              <w:jc w:val="center"/>
              <w:rPr>
                <w:rFonts w:cstheme="majorBidi"/>
                <w:sz w:val="20"/>
                <w:szCs w:val="20"/>
              </w:rPr>
            </w:pPr>
            <w:r w:rsidRPr="0004264F">
              <w:rPr>
                <w:rFonts w:cstheme="majorBidi"/>
                <w:sz w:val="20"/>
                <w:szCs w:val="20"/>
              </w:rPr>
              <w:t>(.83378)</w:t>
            </w:r>
          </w:p>
        </w:tc>
      </w:tr>
      <w:tr w:rsidR="0004264F" w:rsidRPr="0004264F" w14:paraId="223C7F98" w14:textId="77777777" w:rsidTr="0004264F">
        <w:trPr>
          <w:trHeight w:val="253"/>
          <w:jc w:val="center"/>
        </w:trPr>
        <w:tc>
          <w:tcPr>
            <w:tcW w:w="1700" w:type="dxa"/>
          </w:tcPr>
          <w:p w14:paraId="61D7C02C" w14:textId="0F831AFE" w:rsidR="0004264F" w:rsidRPr="0004264F" w:rsidRDefault="0004264F" w:rsidP="0004264F">
            <w:pPr>
              <w:rPr>
                <w:rFonts w:cstheme="majorBidi"/>
                <w:sz w:val="20"/>
                <w:szCs w:val="20"/>
              </w:rPr>
            </w:pPr>
            <w:r w:rsidRPr="0004264F">
              <w:rPr>
                <w:rFonts w:cstheme="majorBidi"/>
                <w:sz w:val="20"/>
                <w:szCs w:val="20"/>
              </w:rPr>
              <w:t>Observations</w:t>
            </w:r>
          </w:p>
        </w:tc>
        <w:tc>
          <w:tcPr>
            <w:tcW w:w="2305" w:type="dxa"/>
          </w:tcPr>
          <w:p w14:paraId="2CF450EC" w14:textId="37C39397" w:rsidR="0004264F" w:rsidRPr="0004264F" w:rsidRDefault="0004264F" w:rsidP="0004264F">
            <w:pPr>
              <w:jc w:val="center"/>
              <w:rPr>
                <w:rFonts w:cstheme="majorBidi"/>
                <w:sz w:val="20"/>
                <w:szCs w:val="20"/>
              </w:rPr>
            </w:pPr>
            <w:r w:rsidRPr="0004264F">
              <w:rPr>
                <w:rFonts w:cstheme="majorBidi"/>
                <w:sz w:val="20"/>
                <w:szCs w:val="20"/>
              </w:rPr>
              <w:t>771158</w:t>
            </w:r>
          </w:p>
        </w:tc>
        <w:tc>
          <w:tcPr>
            <w:tcW w:w="2102" w:type="dxa"/>
          </w:tcPr>
          <w:p w14:paraId="33D127A8" w14:textId="6501D002" w:rsidR="0004264F" w:rsidRPr="0004264F" w:rsidRDefault="0004264F" w:rsidP="0004264F">
            <w:pPr>
              <w:jc w:val="center"/>
              <w:rPr>
                <w:rFonts w:cstheme="majorBidi"/>
                <w:sz w:val="20"/>
                <w:szCs w:val="20"/>
              </w:rPr>
            </w:pPr>
            <w:r w:rsidRPr="0004264F">
              <w:rPr>
                <w:rFonts w:cstheme="majorBidi"/>
                <w:sz w:val="20"/>
                <w:szCs w:val="20"/>
              </w:rPr>
              <w:t>771158</w:t>
            </w:r>
          </w:p>
        </w:tc>
        <w:tc>
          <w:tcPr>
            <w:tcW w:w="2023" w:type="dxa"/>
          </w:tcPr>
          <w:p w14:paraId="79EB1B2A" w14:textId="1195D9DC" w:rsidR="0004264F" w:rsidRPr="0004264F" w:rsidRDefault="0004264F" w:rsidP="0004264F">
            <w:pPr>
              <w:jc w:val="center"/>
              <w:rPr>
                <w:rFonts w:cstheme="majorBidi"/>
                <w:sz w:val="20"/>
                <w:szCs w:val="20"/>
              </w:rPr>
            </w:pPr>
            <w:r w:rsidRPr="0004264F">
              <w:rPr>
                <w:rFonts w:cstheme="majorBidi"/>
                <w:sz w:val="20"/>
                <w:szCs w:val="20"/>
              </w:rPr>
              <w:t>771158</w:t>
            </w:r>
          </w:p>
        </w:tc>
        <w:tc>
          <w:tcPr>
            <w:tcW w:w="1681" w:type="dxa"/>
          </w:tcPr>
          <w:p w14:paraId="4B7E10DE" w14:textId="3CD38D70" w:rsidR="0004264F" w:rsidRPr="0004264F" w:rsidRDefault="0004264F" w:rsidP="0004264F">
            <w:pPr>
              <w:jc w:val="center"/>
              <w:rPr>
                <w:rFonts w:cstheme="majorBidi"/>
                <w:sz w:val="20"/>
                <w:szCs w:val="20"/>
              </w:rPr>
            </w:pPr>
            <w:r w:rsidRPr="0004264F">
              <w:rPr>
                <w:rFonts w:cstheme="majorBidi"/>
                <w:sz w:val="20"/>
                <w:szCs w:val="20"/>
              </w:rPr>
              <w:t>771158</w:t>
            </w:r>
          </w:p>
        </w:tc>
        <w:tc>
          <w:tcPr>
            <w:tcW w:w="1652" w:type="dxa"/>
          </w:tcPr>
          <w:p w14:paraId="3E5A032B" w14:textId="1AE5C43A" w:rsidR="0004264F" w:rsidRPr="0004264F" w:rsidRDefault="0004264F" w:rsidP="0004264F">
            <w:pPr>
              <w:jc w:val="center"/>
              <w:rPr>
                <w:rFonts w:cstheme="majorBidi"/>
                <w:sz w:val="20"/>
                <w:szCs w:val="20"/>
              </w:rPr>
            </w:pPr>
            <w:r w:rsidRPr="0004264F">
              <w:rPr>
                <w:rFonts w:cstheme="majorBidi"/>
                <w:sz w:val="20"/>
                <w:szCs w:val="20"/>
              </w:rPr>
              <w:t>771158</w:t>
            </w:r>
          </w:p>
        </w:tc>
        <w:tc>
          <w:tcPr>
            <w:tcW w:w="2093" w:type="dxa"/>
          </w:tcPr>
          <w:p w14:paraId="1E385F64" w14:textId="7BA5A3EF" w:rsidR="0004264F" w:rsidRPr="0004264F" w:rsidRDefault="0004264F" w:rsidP="0004264F">
            <w:pPr>
              <w:jc w:val="center"/>
              <w:rPr>
                <w:rFonts w:cstheme="majorBidi"/>
                <w:sz w:val="20"/>
                <w:szCs w:val="20"/>
              </w:rPr>
            </w:pPr>
            <w:r w:rsidRPr="0004264F">
              <w:rPr>
                <w:rFonts w:cstheme="majorBidi"/>
                <w:sz w:val="20"/>
                <w:szCs w:val="20"/>
              </w:rPr>
              <w:t>771158</w:t>
            </w:r>
          </w:p>
        </w:tc>
        <w:tc>
          <w:tcPr>
            <w:tcW w:w="2078" w:type="dxa"/>
          </w:tcPr>
          <w:p w14:paraId="73B03FD7" w14:textId="1C8EF0E0" w:rsidR="0004264F" w:rsidRPr="0004264F" w:rsidRDefault="0004264F" w:rsidP="0004264F">
            <w:pPr>
              <w:jc w:val="center"/>
              <w:rPr>
                <w:rFonts w:cstheme="majorBidi"/>
                <w:sz w:val="20"/>
                <w:szCs w:val="20"/>
              </w:rPr>
            </w:pPr>
            <w:r w:rsidRPr="0004264F">
              <w:rPr>
                <w:rFonts w:cstheme="majorBidi"/>
                <w:sz w:val="20"/>
                <w:szCs w:val="20"/>
              </w:rPr>
              <w:t>771156</w:t>
            </w:r>
          </w:p>
        </w:tc>
        <w:tc>
          <w:tcPr>
            <w:tcW w:w="2188" w:type="dxa"/>
          </w:tcPr>
          <w:p w14:paraId="4B8E0401" w14:textId="32BB8E54" w:rsidR="0004264F" w:rsidRPr="0004264F" w:rsidRDefault="0004264F" w:rsidP="0004264F">
            <w:pPr>
              <w:jc w:val="center"/>
              <w:rPr>
                <w:rFonts w:cstheme="majorBidi"/>
                <w:sz w:val="20"/>
                <w:szCs w:val="20"/>
              </w:rPr>
            </w:pPr>
            <w:r w:rsidRPr="0004264F">
              <w:rPr>
                <w:rFonts w:cstheme="majorBidi"/>
                <w:sz w:val="20"/>
                <w:szCs w:val="20"/>
              </w:rPr>
              <w:t>771156</w:t>
            </w:r>
          </w:p>
        </w:tc>
      </w:tr>
      <w:tr w:rsidR="0004264F" w:rsidRPr="0004264F" w14:paraId="3B192919" w14:textId="77777777" w:rsidTr="0004264F">
        <w:trPr>
          <w:trHeight w:val="253"/>
          <w:jc w:val="center"/>
        </w:trPr>
        <w:tc>
          <w:tcPr>
            <w:tcW w:w="1700" w:type="dxa"/>
          </w:tcPr>
          <w:p w14:paraId="05F7ACE9" w14:textId="33AF2D5C" w:rsidR="0004264F" w:rsidRPr="0004264F" w:rsidRDefault="0004264F" w:rsidP="0004264F">
            <w:pPr>
              <w:rPr>
                <w:rFonts w:cstheme="majorBidi"/>
                <w:sz w:val="20"/>
                <w:szCs w:val="20"/>
              </w:rPr>
            </w:pPr>
            <w:r w:rsidRPr="0004264F">
              <w:rPr>
                <w:rFonts w:cstheme="majorBidi"/>
                <w:sz w:val="20"/>
                <w:szCs w:val="20"/>
              </w:rPr>
              <w:t>R-Squared</w:t>
            </w:r>
          </w:p>
        </w:tc>
        <w:tc>
          <w:tcPr>
            <w:tcW w:w="2305" w:type="dxa"/>
          </w:tcPr>
          <w:p w14:paraId="09B10D16" w14:textId="604FF4E5" w:rsidR="0004264F" w:rsidRPr="0004264F" w:rsidRDefault="0004264F" w:rsidP="0004264F">
            <w:pPr>
              <w:jc w:val="center"/>
              <w:rPr>
                <w:rFonts w:cstheme="majorBidi"/>
                <w:sz w:val="20"/>
                <w:szCs w:val="20"/>
              </w:rPr>
            </w:pPr>
            <w:r w:rsidRPr="0004264F">
              <w:rPr>
                <w:rFonts w:cstheme="majorBidi"/>
                <w:sz w:val="20"/>
                <w:szCs w:val="20"/>
              </w:rPr>
              <w:t>.01005</w:t>
            </w:r>
          </w:p>
        </w:tc>
        <w:tc>
          <w:tcPr>
            <w:tcW w:w="2102" w:type="dxa"/>
          </w:tcPr>
          <w:p w14:paraId="684FBF6F" w14:textId="7672E0DC" w:rsidR="0004264F" w:rsidRPr="0004264F" w:rsidRDefault="0004264F" w:rsidP="0004264F">
            <w:pPr>
              <w:jc w:val="center"/>
              <w:rPr>
                <w:rFonts w:cstheme="majorBidi"/>
                <w:sz w:val="20"/>
                <w:szCs w:val="20"/>
              </w:rPr>
            </w:pPr>
            <w:r w:rsidRPr="0004264F">
              <w:rPr>
                <w:rFonts w:cstheme="majorBidi"/>
                <w:sz w:val="20"/>
                <w:szCs w:val="20"/>
              </w:rPr>
              <w:t>.05348</w:t>
            </w:r>
          </w:p>
        </w:tc>
        <w:tc>
          <w:tcPr>
            <w:tcW w:w="2023" w:type="dxa"/>
          </w:tcPr>
          <w:p w14:paraId="566FF93D" w14:textId="302958CD" w:rsidR="0004264F" w:rsidRPr="0004264F" w:rsidRDefault="0004264F" w:rsidP="0004264F">
            <w:pPr>
              <w:jc w:val="center"/>
              <w:rPr>
                <w:rFonts w:cstheme="majorBidi"/>
                <w:sz w:val="20"/>
                <w:szCs w:val="20"/>
              </w:rPr>
            </w:pPr>
            <w:r w:rsidRPr="0004264F">
              <w:rPr>
                <w:rFonts w:cstheme="majorBidi"/>
                <w:sz w:val="20"/>
                <w:szCs w:val="20"/>
              </w:rPr>
              <w:t>.0036</w:t>
            </w:r>
          </w:p>
        </w:tc>
        <w:tc>
          <w:tcPr>
            <w:tcW w:w="1681" w:type="dxa"/>
          </w:tcPr>
          <w:p w14:paraId="20B972ED" w14:textId="3D407422" w:rsidR="0004264F" w:rsidRPr="0004264F" w:rsidRDefault="0004264F" w:rsidP="0004264F">
            <w:pPr>
              <w:jc w:val="center"/>
              <w:rPr>
                <w:rFonts w:cstheme="majorBidi"/>
                <w:sz w:val="20"/>
                <w:szCs w:val="20"/>
              </w:rPr>
            </w:pPr>
            <w:r w:rsidRPr="0004264F">
              <w:rPr>
                <w:rFonts w:cstheme="majorBidi"/>
                <w:sz w:val="20"/>
                <w:szCs w:val="20"/>
              </w:rPr>
              <w:t>.05348</w:t>
            </w:r>
          </w:p>
        </w:tc>
        <w:tc>
          <w:tcPr>
            <w:tcW w:w="1652" w:type="dxa"/>
          </w:tcPr>
          <w:p w14:paraId="057AB8CE" w14:textId="6CB41703" w:rsidR="0004264F" w:rsidRPr="0004264F" w:rsidRDefault="0004264F" w:rsidP="0004264F">
            <w:pPr>
              <w:jc w:val="center"/>
              <w:rPr>
                <w:rFonts w:cstheme="majorBidi"/>
                <w:sz w:val="20"/>
                <w:szCs w:val="20"/>
              </w:rPr>
            </w:pPr>
            <w:r w:rsidRPr="0004264F">
              <w:rPr>
                <w:rFonts w:cstheme="majorBidi"/>
                <w:sz w:val="20"/>
                <w:szCs w:val="20"/>
              </w:rPr>
              <w:t>.00002</w:t>
            </w:r>
          </w:p>
        </w:tc>
        <w:tc>
          <w:tcPr>
            <w:tcW w:w="2093" w:type="dxa"/>
          </w:tcPr>
          <w:p w14:paraId="50106DFC" w14:textId="53E3C60D" w:rsidR="0004264F" w:rsidRPr="0004264F" w:rsidRDefault="0004264F" w:rsidP="0004264F">
            <w:pPr>
              <w:jc w:val="center"/>
              <w:rPr>
                <w:rFonts w:cstheme="majorBidi"/>
                <w:sz w:val="20"/>
                <w:szCs w:val="20"/>
              </w:rPr>
            </w:pPr>
            <w:r w:rsidRPr="0004264F">
              <w:rPr>
                <w:rFonts w:cstheme="majorBidi"/>
                <w:sz w:val="20"/>
                <w:szCs w:val="20"/>
              </w:rPr>
              <w:t>.05241</w:t>
            </w:r>
          </w:p>
        </w:tc>
        <w:tc>
          <w:tcPr>
            <w:tcW w:w="2078" w:type="dxa"/>
          </w:tcPr>
          <w:p w14:paraId="21582A66" w14:textId="6431B338" w:rsidR="0004264F" w:rsidRPr="0004264F" w:rsidRDefault="0004264F" w:rsidP="0004264F">
            <w:pPr>
              <w:jc w:val="center"/>
              <w:rPr>
                <w:rFonts w:cstheme="majorBidi"/>
                <w:sz w:val="20"/>
                <w:szCs w:val="20"/>
              </w:rPr>
            </w:pPr>
            <w:r w:rsidRPr="0004264F">
              <w:rPr>
                <w:rFonts w:cstheme="majorBidi"/>
                <w:sz w:val="20"/>
                <w:szCs w:val="20"/>
              </w:rPr>
              <w:t>.05259</w:t>
            </w:r>
          </w:p>
        </w:tc>
        <w:tc>
          <w:tcPr>
            <w:tcW w:w="2188" w:type="dxa"/>
          </w:tcPr>
          <w:p w14:paraId="4E5F5A54" w14:textId="61B544A8" w:rsidR="0004264F" w:rsidRPr="0004264F" w:rsidRDefault="0004264F" w:rsidP="0004264F">
            <w:pPr>
              <w:jc w:val="center"/>
              <w:rPr>
                <w:rFonts w:cstheme="majorBidi"/>
                <w:sz w:val="20"/>
                <w:szCs w:val="20"/>
              </w:rPr>
            </w:pPr>
            <w:r w:rsidRPr="0004264F">
              <w:rPr>
                <w:rFonts w:cstheme="majorBidi"/>
                <w:sz w:val="20"/>
                <w:szCs w:val="20"/>
              </w:rPr>
              <w:t>.06857</w:t>
            </w:r>
          </w:p>
        </w:tc>
      </w:tr>
      <w:tr w:rsidR="0004264F" w:rsidRPr="0004264F" w14:paraId="2A19DE3A" w14:textId="77777777" w:rsidTr="0004264F">
        <w:trPr>
          <w:trHeight w:val="253"/>
          <w:jc w:val="center"/>
        </w:trPr>
        <w:tc>
          <w:tcPr>
            <w:tcW w:w="1700" w:type="dxa"/>
          </w:tcPr>
          <w:p w14:paraId="4F4A8317" w14:textId="626BE6E8" w:rsidR="0004264F" w:rsidRPr="0004264F" w:rsidRDefault="0004264F" w:rsidP="0004264F">
            <w:pPr>
              <w:rPr>
                <w:rFonts w:cstheme="majorBidi"/>
                <w:sz w:val="20"/>
                <w:szCs w:val="20"/>
              </w:rPr>
            </w:pPr>
            <w:r w:rsidRPr="0004264F">
              <w:rPr>
                <w:rFonts w:cstheme="majorBidi"/>
                <w:sz w:val="20"/>
                <w:szCs w:val="20"/>
              </w:rPr>
              <w:t>Mean DV</w:t>
            </w:r>
          </w:p>
        </w:tc>
        <w:tc>
          <w:tcPr>
            <w:tcW w:w="2305" w:type="dxa"/>
          </w:tcPr>
          <w:p w14:paraId="7893EF7B" w14:textId="0217CEA8" w:rsidR="0004264F" w:rsidRPr="0004264F" w:rsidRDefault="0004264F" w:rsidP="0004264F">
            <w:pPr>
              <w:jc w:val="center"/>
              <w:rPr>
                <w:rFonts w:cstheme="majorBidi"/>
                <w:sz w:val="20"/>
                <w:szCs w:val="20"/>
              </w:rPr>
            </w:pPr>
            <w:r w:rsidRPr="0004264F">
              <w:rPr>
                <w:rFonts w:cstheme="majorBidi"/>
                <w:sz w:val="20"/>
                <w:szCs w:val="20"/>
              </w:rPr>
              <w:t>754.850</w:t>
            </w:r>
          </w:p>
        </w:tc>
        <w:tc>
          <w:tcPr>
            <w:tcW w:w="2102" w:type="dxa"/>
          </w:tcPr>
          <w:p w14:paraId="5E5731A0" w14:textId="665FAC8A" w:rsidR="0004264F" w:rsidRPr="0004264F" w:rsidRDefault="0004264F" w:rsidP="0004264F">
            <w:pPr>
              <w:jc w:val="center"/>
              <w:rPr>
                <w:rFonts w:cstheme="majorBidi"/>
                <w:sz w:val="20"/>
                <w:szCs w:val="20"/>
              </w:rPr>
            </w:pPr>
            <w:r w:rsidRPr="0004264F">
              <w:rPr>
                <w:rFonts w:cstheme="majorBidi"/>
                <w:sz w:val="20"/>
                <w:szCs w:val="20"/>
              </w:rPr>
              <w:t>754.850</w:t>
            </w:r>
          </w:p>
        </w:tc>
        <w:tc>
          <w:tcPr>
            <w:tcW w:w="2023" w:type="dxa"/>
          </w:tcPr>
          <w:p w14:paraId="5217AF59" w14:textId="7F6B1C19" w:rsidR="0004264F" w:rsidRPr="0004264F" w:rsidRDefault="0004264F" w:rsidP="0004264F">
            <w:pPr>
              <w:jc w:val="center"/>
              <w:rPr>
                <w:rFonts w:cstheme="majorBidi"/>
                <w:sz w:val="20"/>
                <w:szCs w:val="20"/>
              </w:rPr>
            </w:pPr>
            <w:r w:rsidRPr="0004264F">
              <w:rPr>
                <w:rFonts w:cstheme="majorBidi"/>
                <w:sz w:val="20"/>
                <w:szCs w:val="20"/>
              </w:rPr>
              <w:t>754.850</w:t>
            </w:r>
          </w:p>
        </w:tc>
        <w:tc>
          <w:tcPr>
            <w:tcW w:w="1681" w:type="dxa"/>
          </w:tcPr>
          <w:p w14:paraId="71AEDC92" w14:textId="4B21E67D" w:rsidR="0004264F" w:rsidRPr="0004264F" w:rsidRDefault="0004264F" w:rsidP="0004264F">
            <w:pPr>
              <w:jc w:val="center"/>
              <w:rPr>
                <w:rFonts w:cstheme="majorBidi"/>
                <w:sz w:val="20"/>
                <w:szCs w:val="20"/>
              </w:rPr>
            </w:pPr>
            <w:r w:rsidRPr="0004264F">
              <w:rPr>
                <w:rFonts w:cstheme="majorBidi"/>
                <w:sz w:val="20"/>
                <w:szCs w:val="20"/>
              </w:rPr>
              <w:t>754.850</w:t>
            </w:r>
          </w:p>
        </w:tc>
        <w:tc>
          <w:tcPr>
            <w:tcW w:w="1652" w:type="dxa"/>
          </w:tcPr>
          <w:p w14:paraId="5C50B4D0" w14:textId="6E94298A" w:rsidR="0004264F" w:rsidRPr="0004264F" w:rsidRDefault="0004264F" w:rsidP="0004264F">
            <w:pPr>
              <w:jc w:val="center"/>
              <w:rPr>
                <w:rFonts w:cstheme="majorBidi"/>
                <w:sz w:val="20"/>
                <w:szCs w:val="20"/>
              </w:rPr>
            </w:pPr>
            <w:r w:rsidRPr="0004264F">
              <w:rPr>
                <w:rFonts w:cstheme="majorBidi"/>
                <w:sz w:val="20"/>
                <w:szCs w:val="20"/>
              </w:rPr>
              <w:t>755.112</w:t>
            </w:r>
          </w:p>
        </w:tc>
        <w:tc>
          <w:tcPr>
            <w:tcW w:w="2093" w:type="dxa"/>
          </w:tcPr>
          <w:p w14:paraId="1F357F6F" w14:textId="450A950F" w:rsidR="0004264F" w:rsidRPr="0004264F" w:rsidRDefault="0004264F" w:rsidP="0004264F">
            <w:pPr>
              <w:jc w:val="center"/>
              <w:rPr>
                <w:rFonts w:cstheme="majorBidi"/>
                <w:sz w:val="20"/>
                <w:szCs w:val="20"/>
              </w:rPr>
            </w:pPr>
            <w:r w:rsidRPr="0004264F">
              <w:rPr>
                <w:rFonts w:cstheme="majorBidi"/>
                <w:sz w:val="20"/>
                <w:szCs w:val="20"/>
              </w:rPr>
              <w:t>755.112</w:t>
            </w:r>
          </w:p>
        </w:tc>
        <w:tc>
          <w:tcPr>
            <w:tcW w:w="2078" w:type="dxa"/>
          </w:tcPr>
          <w:p w14:paraId="62668011" w14:textId="42053917" w:rsidR="0004264F" w:rsidRPr="0004264F" w:rsidRDefault="0004264F" w:rsidP="0004264F">
            <w:pPr>
              <w:jc w:val="center"/>
              <w:rPr>
                <w:rFonts w:cstheme="majorBidi"/>
                <w:sz w:val="20"/>
                <w:szCs w:val="20"/>
              </w:rPr>
            </w:pPr>
            <w:r w:rsidRPr="0004264F">
              <w:rPr>
                <w:rFonts w:cstheme="majorBidi"/>
                <w:sz w:val="20"/>
                <w:szCs w:val="20"/>
              </w:rPr>
              <w:t>755.112</w:t>
            </w:r>
          </w:p>
        </w:tc>
        <w:tc>
          <w:tcPr>
            <w:tcW w:w="2188" w:type="dxa"/>
          </w:tcPr>
          <w:p w14:paraId="114BF59A" w14:textId="5D6BFC9F" w:rsidR="0004264F" w:rsidRPr="0004264F" w:rsidRDefault="0004264F" w:rsidP="0004264F">
            <w:pPr>
              <w:jc w:val="center"/>
              <w:rPr>
                <w:rFonts w:cstheme="majorBidi"/>
                <w:sz w:val="20"/>
                <w:szCs w:val="20"/>
              </w:rPr>
            </w:pPr>
            <w:r w:rsidRPr="0004264F">
              <w:rPr>
                <w:rFonts w:cstheme="majorBidi"/>
                <w:sz w:val="20"/>
                <w:szCs w:val="20"/>
              </w:rPr>
              <w:t>755.112</w:t>
            </w:r>
          </w:p>
        </w:tc>
      </w:tr>
      <w:tr w:rsidR="0004264F" w:rsidRPr="0004264F" w14:paraId="5907F013" w14:textId="77777777" w:rsidTr="0004264F">
        <w:trPr>
          <w:trHeight w:val="253"/>
          <w:jc w:val="center"/>
        </w:trPr>
        <w:tc>
          <w:tcPr>
            <w:tcW w:w="1700" w:type="dxa"/>
            <w:tcBorders>
              <w:bottom w:val="single" w:sz="4" w:space="0" w:color="auto"/>
            </w:tcBorders>
          </w:tcPr>
          <w:p w14:paraId="3D6F2346" w14:textId="60862CDE" w:rsidR="0004264F" w:rsidRPr="0004264F" w:rsidRDefault="0004264F" w:rsidP="0004264F">
            <w:pPr>
              <w:rPr>
                <w:rFonts w:cstheme="majorBidi"/>
                <w:sz w:val="20"/>
                <w:szCs w:val="20"/>
              </w:rPr>
            </w:pPr>
            <w:r w:rsidRPr="0004264F">
              <w:rPr>
                <w:rFonts w:cstheme="majorBidi"/>
                <w:sz w:val="20"/>
                <w:szCs w:val="20"/>
              </w:rPr>
              <w:t>%Change</w:t>
            </w:r>
          </w:p>
        </w:tc>
        <w:tc>
          <w:tcPr>
            <w:tcW w:w="2305" w:type="dxa"/>
            <w:tcBorders>
              <w:bottom w:val="single" w:sz="4" w:space="0" w:color="auto"/>
            </w:tcBorders>
          </w:tcPr>
          <w:p w14:paraId="6BA903DA" w14:textId="12C754BA" w:rsidR="0004264F" w:rsidRPr="0004264F" w:rsidRDefault="0004264F" w:rsidP="0004264F">
            <w:pPr>
              <w:jc w:val="center"/>
              <w:rPr>
                <w:rFonts w:cstheme="majorBidi"/>
                <w:sz w:val="20"/>
                <w:szCs w:val="20"/>
              </w:rPr>
            </w:pPr>
            <w:r w:rsidRPr="0004264F">
              <w:rPr>
                <w:rFonts w:cstheme="majorBidi"/>
                <w:sz w:val="20"/>
                <w:szCs w:val="20"/>
              </w:rPr>
              <w:t>1.244</w:t>
            </w:r>
          </w:p>
        </w:tc>
        <w:tc>
          <w:tcPr>
            <w:tcW w:w="2102" w:type="dxa"/>
            <w:tcBorders>
              <w:bottom w:val="single" w:sz="4" w:space="0" w:color="auto"/>
            </w:tcBorders>
          </w:tcPr>
          <w:p w14:paraId="4E05B0B7" w14:textId="040A2BCE" w:rsidR="0004264F" w:rsidRPr="0004264F" w:rsidRDefault="0004264F" w:rsidP="0004264F">
            <w:pPr>
              <w:jc w:val="center"/>
              <w:rPr>
                <w:rFonts w:cstheme="majorBidi"/>
                <w:sz w:val="20"/>
                <w:szCs w:val="20"/>
              </w:rPr>
            </w:pPr>
            <w:r w:rsidRPr="0004264F">
              <w:rPr>
                <w:rFonts w:cstheme="majorBidi"/>
                <w:sz w:val="20"/>
                <w:szCs w:val="20"/>
              </w:rPr>
              <w:t xml:space="preserve"> 0.173</w:t>
            </w:r>
          </w:p>
        </w:tc>
        <w:tc>
          <w:tcPr>
            <w:tcW w:w="2023" w:type="dxa"/>
            <w:tcBorders>
              <w:bottom w:val="single" w:sz="4" w:space="0" w:color="auto"/>
            </w:tcBorders>
          </w:tcPr>
          <w:p w14:paraId="4B593352" w14:textId="153F3536" w:rsidR="0004264F" w:rsidRPr="0004264F" w:rsidRDefault="0004264F" w:rsidP="0004264F">
            <w:pPr>
              <w:jc w:val="center"/>
              <w:rPr>
                <w:rFonts w:cstheme="majorBidi"/>
                <w:sz w:val="20"/>
                <w:szCs w:val="20"/>
              </w:rPr>
            </w:pPr>
            <w:r w:rsidRPr="0004264F">
              <w:rPr>
                <w:rFonts w:cstheme="majorBidi"/>
                <w:sz w:val="20"/>
                <w:szCs w:val="20"/>
              </w:rPr>
              <w:t>4.307</w:t>
            </w:r>
          </w:p>
        </w:tc>
        <w:tc>
          <w:tcPr>
            <w:tcW w:w="1681" w:type="dxa"/>
            <w:tcBorders>
              <w:bottom w:val="single" w:sz="4" w:space="0" w:color="auto"/>
            </w:tcBorders>
          </w:tcPr>
          <w:p w14:paraId="3812BEA2" w14:textId="34E91503" w:rsidR="0004264F" w:rsidRPr="0004264F" w:rsidRDefault="0004264F" w:rsidP="0004264F">
            <w:pPr>
              <w:jc w:val="center"/>
              <w:rPr>
                <w:rFonts w:cstheme="majorBidi"/>
                <w:sz w:val="20"/>
                <w:szCs w:val="20"/>
              </w:rPr>
            </w:pPr>
            <w:r w:rsidRPr="0004264F">
              <w:rPr>
                <w:rFonts w:cstheme="majorBidi"/>
                <w:sz w:val="20"/>
                <w:szCs w:val="20"/>
              </w:rPr>
              <w:t xml:space="preserve"> 0.822</w:t>
            </w:r>
          </w:p>
        </w:tc>
        <w:tc>
          <w:tcPr>
            <w:tcW w:w="1652" w:type="dxa"/>
            <w:tcBorders>
              <w:bottom w:val="single" w:sz="4" w:space="0" w:color="auto"/>
            </w:tcBorders>
          </w:tcPr>
          <w:p w14:paraId="422831A1" w14:textId="6CD7D700" w:rsidR="0004264F" w:rsidRPr="0004264F" w:rsidRDefault="0004264F" w:rsidP="0004264F">
            <w:pPr>
              <w:jc w:val="center"/>
              <w:rPr>
                <w:rFonts w:cstheme="majorBidi"/>
                <w:sz w:val="20"/>
                <w:szCs w:val="20"/>
              </w:rPr>
            </w:pPr>
            <w:r w:rsidRPr="0004264F">
              <w:rPr>
                <w:rFonts w:cstheme="majorBidi"/>
                <w:sz w:val="20"/>
                <w:szCs w:val="20"/>
              </w:rPr>
              <w:t>0.055</w:t>
            </w:r>
          </w:p>
        </w:tc>
        <w:tc>
          <w:tcPr>
            <w:tcW w:w="2093" w:type="dxa"/>
            <w:tcBorders>
              <w:bottom w:val="single" w:sz="4" w:space="0" w:color="auto"/>
            </w:tcBorders>
          </w:tcPr>
          <w:p w14:paraId="1B04D318" w14:textId="2F5FFCB5" w:rsidR="0004264F" w:rsidRPr="0004264F" w:rsidRDefault="0004264F" w:rsidP="0004264F">
            <w:pPr>
              <w:jc w:val="center"/>
              <w:rPr>
                <w:rFonts w:cstheme="majorBidi"/>
                <w:sz w:val="20"/>
                <w:szCs w:val="20"/>
              </w:rPr>
            </w:pPr>
            <w:r w:rsidRPr="0004264F">
              <w:rPr>
                <w:rFonts w:cstheme="majorBidi"/>
                <w:sz w:val="20"/>
                <w:szCs w:val="20"/>
              </w:rPr>
              <w:t xml:space="preserve"> -0.071</w:t>
            </w:r>
          </w:p>
        </w:tc>
        <w:tc>
          <w:tcPr>
            <w:tcW w:w="2078" w:type="dxa"/>
            <w:tcBorders>
              <w:bottom w:val="single" w:sz="4" w:space="0" w:color="auto"/>
            </w:tcBorders>
          </w:tcPr>
          <w:p w14:paraId="2322FEE3" w14:textId="106E8034" w:rsidR="0004264F" w:rsidRPr="0004264F" w:rsidRDefault="0004264F" w:rsidP="0004264F">
            <w:pPr>
              <w:jc w:val="center"/>
              <w:rPr>
                <w:rFonts w:cstheme="majorBidi"/>
                <w:sz w:val="20"/>
                <w:szCs w:val="20"/>
              </w:rPr>
            </w:pPr>
            <w:r w:rsidRPr="0004264F">
              <w:rPr>
                <w:rFonts w:cstheme="majorBidi"/>
                <w:sz w:val="20"/>
                <w:szCs w:val="20"/>
              </w:rPr>
              <w:t xml:space="preserve"> 0.319</w:t>
            </w:r>
          </w:p>
        </w:tc>
        <w:tc>
          <w:tcPr>
            <w:tcW w:w="2188" w:type="dxa"/>
            <w:tcBorders>
              <w:bottom w:val="single" w:sz="4" w:space="0" w:color="auto"/>
            </w:tcBorders>
          </w:tcPr>
          <w:p w14:paraId="109902AA" w14:textId="7A38F333" w:rsidR="0004264F" w:rsidRPr="0004264F" w:rsidRDefault="0004264F" w:rsidP="0004264F">
            <w:pPr>
              <w:jc w:val="center"/>
              <w:rPr>
                <w:rFonts w:cstheme="majorBidi"/>
                <w:sz w:val="20"/>
                <w:szCs w:val="20"/>
              </w:rPr>
            </w:pPr>
            <w:r w:rsidRPr="0004264F">
              <w:rPr>
                <w:rFonts w:cstheme="majorBidi"/>
                <w:sz w:val="20"/>
                <w:szCs w:val="20"/>
              </w:rPr>
              <w:t xml:space="preserve"> 0.397</w:t>
            </w:r>
          </w:p>
        </w:tc>
      </w:tr>
      <w:tr w:rsidR="0004264F" w:rsidRPr="0004264F" w14:paraId="7F39D0E5" w14:textId="77777777" w:rsidTr="0004264F">
        <w:trPr>
          <w:trHeight w:val="253"/>
          <w:jc w:val="center"/>
        </w:trPr>
        <w:tc>
          <w:tcPr>
            <w:tcW w:w="1700" w:type="dxa"/>
            <w:tcBorders>
              <w:top w:val="single" w:sz="4" w:space="0" w:color="auto"/>
            </w:tcBorders>
          </w:tcPr>
          <w:p w14:paraId="2091EB36" w14:textId="77D34BED" w:rsidR="0004264F" w:rsidRPr="0004264F" w:rsidRDefault="0004264F" w:rsidP="0004264F">
            <w:pPr>
              <w:rPr>
                <w:rFonts w:cstheme="majorBidi"/>
                <w:sz w:val="20"/>
                <w:szCs w:val="20"/>
              </w:rPr>
            </w:pPr>
            <w:r w:rsidRPr="0004264F">
              <w:rPr>
                <w:rFonts w:cstheme="majorBidi"/>
                <w:sz w:val="20"/>
                <w:szCs w:val="20"/>
              </w:rPr>
              <w:t>State FE</w:t>
            </w:r>
          </w:p>
        </w:tc>
        <w:tc>
          <w:tcPr>
            <w:tcW w:w="2305" w:type="dxa"/>
            <w:tcBorders>
              <w:top w:val="single" w:sz="4" w:space="0" w:color="auto"/>
            </w:tcBorders>
            <w:vAlign w:val="center"/>
          </w:tcPr>
          <w:p w14:paraId="18F93616" w14:textId="1C372F67" w:rsidR="0004264F" w:rsidRPr="0004264F" w:rsidRDefault="0004264F" w:rsidP="0004264F">
            <w:pPr>
              <w:jc w:val="center"/>
              <w:rPr>
                <w:rFonts w:cstheme="majorBidi"/>
                <w:sz w:val="20"/>
                <w:szCs w:val="20"/>
              </w:rPr>
            </w:pPr>
          </w:p>
        </w:tc>
        <w:tc>
          <w:tcPr>
            <w:tcW w:w="2102" w:type="dxa"/>
            <w:tcBorders>
              <w:top w:val="single" w:sz="4" w:space="0" w:color="auto"/>
            </w:tcBorders>
            <w:vAlign w:val="center"/>
          </w:tcPr>
          <w:p w14:paraId="2B9C97B3" w14:textId="0C223FF0"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023" w:type="dxa"/>
            <w:tcBorders>
              <w:top w:val="single" w:sz="4" w:space="0" w:color="auto"/>
            </w:tcBorders>
            <w:vAlign w:val="center"/>
          </w:tcPr>
          <w:p w14:paraId="3174803A" w14:textId="18FB9289" w:rsidR="0004264F" w:rsidRPr="0004264F" w:rsidRDefault="0004264F" w:rsidP="0004264F">
            <w:pPr>
              <w:jc w:val="center"/>
              <w:rPr>
                <w:rFonts w:cstheme="majorBidi"/>
                <w:sz w:val="20"/>
                <w:szCs w:val="20"/>
              </w:rPr>
            </w:pPr>
          </w:p>
        </w:tc>
        <w:tc>
          <w:tcPr>
            <w:tcW w:w="1681" w:type="dxa"/>
            <w:tcBorders>
              <w:top w:val="single" w:sz="4" w:space="0" w:color="auto"/>
            </w:tcBorders>
            <w:vAlign w:val="center"/>
          </w:tcPr>
          <w:p w14:paraId="5D67EE83" w14:textId="06315C07"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1652" w:type="dxa"/>
            <w:tcBorders>
              <w:top w:val="single" w:sz="4" w:space="0" w:color="auto"/>
            </w:tcBorders>
            <w:vAlign w:val="center"/>
          </w:tcPr>
          <w:p w14:paraId="7735EF54" w14:textId="2EA42C3F" w:rsidR="0004264F" w:rsidRPr="0004264F" w:rsidRDefault="0004264F" w:rsidP="0004264F">
            <w:pPr>
              <w:jc w:val="center"/>
              <w:rPr>
                <w:rFonts w:cstheme="majorBidi"/>
                <w:sz w:val="20"/>
                <w:szCs w:val="20"/>
              </w:rPr>
            </w:pPr>
          </w:p>
        </w:tc>
        <w:tc>
          <w:tcPr>
            <w:tcW w:w="2093" w:type="dxa"/>
            <w:tcBorders>
              <w:top w:val="single" w:sz="4" w:space="0" w:color="auto"/>
            </w:tcBorders>
            <w:vAlign w:val="center"/>
          </w:tcPr>
          <w:p w14:paraId="6B2B5E40" w14:textId="6B422D19"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078" w:type="dxa"/>
            <w:tcBorders>
              <w:top w:val="single" w:sz="4" w:space="0" w:color="auto"/>
            </w:tcBorders>
            <w:vAlign w:val="center"/>
          </w:tcPr>
          <w:p w14:paraId="79CBBD73" w14:textId="64C90B78" w:rsidR="0004264F" w:rsidRPr="0004264F" w:rsidRDefault="0004264F" w:rsidP="0004264F">
            <w:pPr>
              <w:jc w:val="center"/>
              <w:rPr>
                <w:rFonts w:cstheme="majorBidi"/>
                <w:sz w:val="20"/>
                <w:szCs w:val="20"/>
              </w:rPr>
            </w:pPr>
          </w:p>
        </w:tc>
        <w:tc>
          <w:tcPr>
            <w:tcW w:w="2188" w:type="dxa"/>
            <w:tcBorders>
              <w:top w:val="single" w:sz="4" w:space="0" w:color="auto"/>
            </w:tcBorders>
            <w:vAlign w:val="center"/>
          </w:tcPr>
          <w:p w14:paraId="182FDCE4" w14:textId="0FC9F04F" w:rsidR="0004264F" w:rsidRPr="0004264F" w:rsidRDefault="0004264F" w:rsidP="0004264F">
            <w:pPr>
              <w:jc w:val="center"/>
              <w:rPr>
                <w:rFonts w:cstheme="majorBidi"/>
                <w:sz w:val="20"/>
                <w:szCs w:val="20"/>
              </w:rPr>
            </w:pPr>
          </w:p>
        </w:tc>
      </w:tr>
      <w:tr w:rsidR="0004264F" w:rsidRPr="0004264F" w14:paraId="2C26FE35" w14:textId="77777777" w:rsidTr="0004264F">
        <w:trPr>
          <w:trHeight w:val="253"/>
          <w:jc w:val="center"/>
        </w:trPr>
        <w:tc>
          <w:tcPr>
            <w:tcW w:w="1700" w:type="dxa"/>
          </w:tcPr>
          <w:p w14:paraId="680FD8A0" w14:textId="3CCC11D2" w:rsidR="0004264F" w:rsidRPr="0004264F" w:rsidRDefault="0004264F" w:rsidP="0004264F">
            <w:pPr>
              <w:rPr>
                <w:rFonts w:cstheme="majorBidi"/>
                <w:sz w:val="20"/>
                <w:szCs w:val="20"/>
              </w:rPr>
            </w:pPr>
            <w:r w:rsidRPr="0004264F">
              <w:rPr>
                <w:rFonts w:cstheme="majorBidi"/>
                <w:sz w:val="20"/>
                <w:szCs w:val="20"/>
              </w:rPr>
              <w:t>County FE</w:t>
            </w:r>
          </w:p>
        </w:tc>
        <w:tc>
          <w:tcPr>
            <w:tcW w:w="2305" w:type="dxa"/>
            <w:vAlign w:val="center"/>
          </w:tcPr>
          <w:p w14:paraId="42F660A5" w14:textId="5114C7E3" w:rsidR="0004264F" w:rsidRPr="0004264F" w:rsidRDefault="0004264F" w:rsidP="0004264F">
            <w:pPr>
              <w:jc w:val="center"/>
              <w:rPr>
                <w:rFonts w:cstheme="majorBidi"/>
                <w:sz w:val="20"/>
                <w:szCs w:val="20"/>
              </w:rPr>
            </w:pPr>
          </w:p>
        </w:tc>
        <w:tc>
          <w:tcPr>
            <w:tcW w:w="2102" w:type="dxa"/>
            <w:vAlign w:val="center"/>
          </w:tcPr>
          <w:p w14:paraId="00E670B6" w14:textId="25452A5B" w:rsidR="0004264F" w:rsidRPr="0004264F" w:rsidRDefault="0004264F" w:rsidP="0004264F">
            <w:pPr>
              <w:jc w:val="center"/>
              <w:rPr>
                <w:rFonts w:cstheme="majorBidi"/>
                <w:sz w:val="20"/>
                <w:szCs w:val="20"/>
              </w:rPr>
            </w:pPr>
          </w:p>
        </w:tc>
        <w:tc>
          <w:tcPr>
            <w:tcW w:w="2023" w:type="dxa"/>
            <w:vAlign w:val="center"/>
          </w:tcPr>
          <w:p w14:paraId="237EB6A2" w14:textId="6976A532" w:rsidR="0004264F" w:rsidRPr="0004264F" w:rsidRDefault="0004264F" w:rsidP="0004264F">
            <w:pPr>
              <w:jc w:val="center"/>
              <w:rPr>
                <w:rFonts w:cstheme="majorBidi"/>
                <w:sz w:val="20"/>
                <w:szCs w:val="20"/>
              </w:rPr>
            </w:pPr>
          </w:p>
        </w:tc>
        <w:tc>
          <w:tcPr>
            <w:tcW w:w="1681" w:type="dxa"/>
            <w:vAlign w:val="center"/>
          </w:tcPr>
          <w:p w14:paraId="4F312763" w14:textId="07AC5B97" w:rsidR="0004264F" w:rsidRPr="0004264F" w:rsidRDefault="0004264F" w:rsidP="0004264F">
            <w:pPr>
              <w:jc w:val="center"/>
              <w:rPr>
                <w:rFonts w:cstheme="majorBidi"/>
                <w:sz w:val="20"/>
                <w:szCs w:val="20"/>
              </w:rPr>
            </w:pPr>
          </w:p>
        </w:tc>
        <w:tc>
          <w:tcPr>
            <w:tcW w:w="1652" w:type="dxa"/>
            <w:vAlign w:val="center"/>
          </w:tcPr>
          <w:p w14:paraId="2BC0F1B2" w14:textId="7A425CF6" w:rsidR="0004264F" w:rsidRPr="0004264F" w:rsidRDefault="0004264F" w:rsidP="0004264F">
            <w:pPr>
              <w:jc w:val="center"/>
              <w:rPr>
                <w:rFonts w:cstheme="majorBidi"/>
                <w:sz w:val="20"/>
                <w:szCs w:val="20"/>
              </w:rPr>
            </w:pPr>
          </w:p>
        </w:tc>
        <w:tc>
          <w:tcPr>
            <w:tcW w:w="2093" w:type="dxa"/>
            <w:vAlign w:val="center"/>
          </w:tcPr>
          <w:p w14:paraId="24050B0A" w14:textId="5EF5308B" w:rsidR="0004264F" w:rsidRPr="0004264F" w:rsidRDefault="0004264F" w:rsidP="0004264F">
            <w:pPr>
              <w:jc w:val="center"/>
              <w:rPr>
                <w:rFonts w:cstheme="majorBidi"/>
                <w:sz w:val="20"/>
                <w:szCs w:val="20"/>
              </w:rPr>
            </w:pPr>
          </w:p>
        </w:tc>
        <w:tc>
          <w:tcPr>
            <w:tcW w:w="2078" w:type="dxa"/>
            <w:vAlign w:val="center"/>
          </w:tcPr>
          <w:p w14:paraId="70853C25" w14:textId="7F5422FA"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188" w:type="dxa"/>
          </w:tcPr>
          <w:p w14:paraId="42615C84" w14:textId="59CED2E5" w:rsidR="0004264F" w:rsidRPr="0004264F" w:rsidRDefault="0004264F" w:rsidP="0004264F">
            <w:pPr>
              <w:jc w:val="center"/>
              <w:rPr>
                <w:rFonts w:cstheme="majorBidi"/>
                <w:sz w:val="20"/>
                <w:szCs w:val="20"/>
              </w:rPr>
            </w:pPr>
            <w:r w:rsidRPr="0004264F">
              <w:rPr>
                <w:rFonts w:cstheme="majorBidi"/>
                <w:sz w:val="18"/>
                <w:szCs w:val="18"/>
              </w:rPr>
              <w:sym w:font="Wingdings" w:char="F0FC"/>
            </w:r>
          </w:p>
        </w:tc>
      </w:tr>
      <w:tr w:rsidR="0004264F" w:rsidRPr="0004264F" w14:paraId="4805CFD8" w14:textId="77777777" w:rsidTr="0004264F">
        <w:trPr>
          <w:trHeight w:val="253"/>
          <w:jc w:val="center"/>
        </w:trPr>
        <w:tc>
          <w:tcPr>
            <w:tcW w:w="1700" w:type="dxa"/>
          </w:tcPr>
          <w:p w14:paraId="6EF31151" w14:textId="1CC68471" w:rsidR="0004264F" w:rsidRPr="0004264F" w:rsidRDefault="0004264F" w:rsidP="0004264F">
            <w:pPr>
              <w:rPr>
                <w:rFonts w:cstheme="majorBidi"/>
                <w:sz w:val="20"/>
                <w:szCs w:val="20"/>
              </w:rPr>
            </w:pPr>
            <w:r w:rsidRPr="0004264F">
              <w:rPr>
                <w:rFonts w:cstheme="majorBidi"/>
                <w:sz w:val="20"/>
                <w:szCs w:val="20"/>
              </w:rPr>
              <w:t>Birth Year FE</w:t>
            </w:r>
          </w:p>
        </w:tc>
        <w:tc>
          <w:tcPr>
            <w:tcW w:w="2305" w:type="dxa"/>
            <w:vAlign w:val="center"/>
          </w:tcPr>
          <w:p w14:paraId="7DEC3700" w14:textId="6E7D819E" w:rsidR="0004264F" w:rsidRPr="0004264F" w:rsidRDefault="0004264F" w:rsidP="0004264F">
            <w:pPr>
              <w:jc w:val="center"/>
              <w:rPr>
                <w:rFonts w:cstheme="majorBidi"/>
                <w:sz w:val="20"/>
                <w:szCs w:val="20"/>
              </w:rPr>
            </w:pPr>
          </w:p>
        </w:tc>
        <w:tc>
          <w:tcPr>
            <w:tcW w:w="2102" w:type="dxa"/>
            <w:vAlign w:val="center"/>
          </w:tcPr>
          <w:p w14:paraId="6A06EE76" w14:textId="5FE26FDA"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023" w:type="dxa"/>
            <w:vAlign w:val="center"/>
          </w:tcPr>
          <w:p w14:paraId="26F721A0" w14:textId="0CE9D5F1" w:rsidR="0004264F" w:rsidRPr="0004264F" w:rsidRDefault="0004264F" w:rsidP="0004264F">
            <w:pPr>
              <w:jc w:val="center"/>
              <w:rPr>
                <w:rFonts w:cstheme="majorBidi"/>
                <w:sz w:val="20"/>
                <w:szCs w:val="20"/>
              </w:rPr>
            </w:pPr>
          </w:p>
        </w:tc>
        <w:tc>
          <w:tcPr>
            <w:tcW w:w="1681" w:type="dxa"/>
            <w:vAlign w:val="center"/>
          </w:tcPr>
          <w:p w14:paraId="71D1BB28" w14:textId="01C12691"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1652" w:type="dxa"/>
            <w:vAlign w:val="center"/>
          </w:tcPr>
          <w:p w14:paraId="1605EB0A" w14:textId="69F13C00" w:rsidR="0004264F" w:rsidRPr="0004264F" w:rsidRDefault="0004264F" w:rsidP="0004264F">
            <w:pPr>
              <w:jc w:val="center"/>
              <w:rPr>
                <w:rFonts w:cstheme="majorBidi"/>
                <w:sz w:val="20"/>
                <w:szCs w:val="20"/>
              </w:rPr>
            </w:pPr>
          </w:p>
        </w:tc>
        <w:tc>
          <w:tcPr>
            <w:tcW w:w="2093" w:type="dxa"/>
            <w:vAlign w:val="center"/>
          </w:tcPr>
          <w:p w14:paraId="7C169BB2" w14:textId="6697B619"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078" w:type="dxa"/>
            <w:vAlign w:val="center"/>
          </w:tcPr>
          <w:p w14:paraId="0A5FFD4B" w14:textId="6531D5B7"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188" w:type="dxa"/>
          </w:tcPr>
          <w:p w14:paraId="1F84E304" w14:textId="43E0B841" w:rsidR="0004264F" w:rsidRPr="0004264F" w:rsidRDefault="0004264F" w:rsidP="0004264F">
            <w:pPr>
              <w:jc w:val="center"/>
              <w:rPr>
                <w:rFonts w:cstheme="majorBidi"/>
                <w:sz w:val="20"/>
                <w:szCs w:val="20"/>
              </w:rPr>
            </w:pPr>
            <w:r w:rsidRPr="0004264F">
              <w:rPr>
                <w:rFonts w:cstheme="majorBidi"/>
                <w:sz w:val="18"/>
                <w:szCs w:val="18"/>
              </w:rPr>
              <w:sym w:font="Wingdings" w:char="F0FC"/>
            </w:r>
          </w:p>
        </w:tc>
      </w:tr>
      <w:tr w:rsidR="0004264F" w:rsidRPr="0004264F" w14:paraId="73AADC7D" w14:textId="77777777" w:rsidTr="0004264F">
        <w:trPr>
          <w:trHeight w:val="253"/>
          <w:jc w:val="center"/>
        </w:trPr>
        <w:tc>
          <w:tcPr>
            <w:tcW w:w="1700" w:type="dxa"/>
          </w:tcPr>
          <w:p w14:paraId="22035E92" w14:textId="1F09693C" w:rsidR="0004264F" w:rsidRPr="0004264F" w:rsidRDefault="0004264F" w:rsidP="0004264F">
            <w:pPr>
              <w:rPr>
                <w:rFonts w:cstheme="majorBidi"/>
                <w:sz w:val="20"/>
                <w:szCs w:val="20"/>
              </w:rPr>
            </w:pPr>
            <w:r w:rsidRPr="0004264F">
              <w:rPr>
                <w:rFonts w:cstheme="majorBidi"/>
                <w:sz w:val="20"/>
                <w:szCs w:val="20"/>
              </w:rPr>
              <w:t>SEA-by-Birth-Year FE</w:t>
            </w:r>
          </w:p>
        </w:tc>
        <w:tc>
          <w:tcPr>
            <w:tcW w:w="2305" w:type="dxa"/>
            <w:vAlign w:val="center"/>
          </w:tcPr>
          <w:p w14:paraId="764FDD5A" w14:textId="4716F18C" w:rsidR="0004264F" w:rsidRPr="0004264F" w:rsidRDefault="0004264F" w:rsidP="0004264F">
            <w:pPr>
              <w:jc w:val="center"/>
              <w:rPr>
                <w:rFonts w:cstheme="majorBidi"/>
                <w:sz w:val="20"/>
                <w:szCs w:val="20"/>
              </w:rPr>
            </w:pPr>
          </w:p>
        </w:tc>
        <w:tc>
          <w:tcPr>
            <w:tcW w:w="2102" w:type="dxa"/>
            <w:vAlign w:val="center"/>
          </w:tcPr>
          <w:p w14:paraId="70EBCF7C" w14:textId="563D5E07" w:rsidR="0004264F" w:rsidRPr="0004264F" w:rsidRDefault="0004264F" w:rsidP="0004264F">
            <w:pPr>
              <w:jc w:val="center"/>
              <w:rPr>
                <w:rFonts w:cstheme="majorBidi"/>
                <w:sz w:val="20"/>
                <w:szCs w:val="20"/>
              </w:rPr>
            </w:pPr>
          </w:p>
        </w:tc>
        <w:tc>
          <w:tcPr>
            <w:tcW w:w="2023" w:type="dxa"/>
            <w:vAlign w:val="center"/>
          </w:tcPr>
          <w:p w14:paraId="2183C9C0" w14:textId="0B4D080A" w:rsidR="0004264F" w:rsidRPr="0004264F" w:rsidRDefault="0004264F" w:rsidP="0004264F">
            <w:pPr>
              <w:jc w:val="center"/>
              <w:rPr>
                <w:rFonts w:cstheme="majorBidi"/>
                <w:sz w:val="20"/>
                <w:szCs w:val="20"/>
              </w:rPr>
            </w:pPr>
          </w:p>
        </w:tc>
        <w:tc>
          <w:tcPr>
            <w:tcW w:w="1681" w:type="dxa"/>
            <w:vAlign w:val="center"/>
          </w:tcPr>
          <w:p w14:paraId="57DF8E69" w14:textId="253A24C7" w:rsidR="0004264F" w:rsidRPr="0004264F" w:rsidRDefault="0004264F" w:rsidP="0004264F">
            <w:pPr>
              <w:jc w:val="center"/>
              <w:rPr>
                <w:rFonts w:cstheme="majorBidi"/>
                <w:sz w:val="20"/>
                <w:szCs w:val="20"/>
              </w:rPr>
            </w:pPr>
          </w:p>
        </w:tc>
        <w:tc>
          <w:tcPr>
            <w:tcW w:w="1652" w:type="dxa"/>
            <w:vAlign w:val="center"/>
          </w:tcPr>
          <w:p w14:paraId="36672CCF" w14:textId="42A1A229" w:rsidR="0004264F" w:rsidRPr="0004264F" w:rsidRDefault="0004264F" w:rsidP="0004264F">
            <w:pPr>
              <w:jc w:val="center"/>
              <w:rPr>
                <w:rFonts w:cstheme="majorBidi"/>
                <w:sz w:val="20"/>
                <w:szCs w:val="20"/>
              </w:rPr>
            </w:pPr>
          </w:p>
        </w:tc>
        <w:tc>
          <w:tcPr>
            <w:tcW w:w="2093" w:type="dxa"/>
            <w:vAlign w:val="center"/>
          </w:tcPr>
          <w:p w14:paraId="2F2ED2CC" w14:textId="4DD6DDC1" w:rsidR="0004264F" w:rsidRPr="0004264F" w:rsidRDefault="0004264F" w:rsidP="0004264F">
            <w:pPr>
              <w:jc w:val="center"/>
              <w:rPr>
                <w:rFonts w:cstheme="majorBidi"/>
                <w:sz w:val="20"/>
                <w:szCs w:val="20"/>
              </w:rPr>
            </w:pPr>
          </w:p>
        </w:tc>
        <w:tc>
          <w:tcPr>
            <w:tcW w:w="2078" w:type="dxa"/>
            <w:vAlign w:val="center"/>
          </w:tcPr>
          <w:p w14:paraId="3259AE88" w14:textId="47060D4E" w:rsidR="0004264F" w:rsidRPr="0004264F" w:rsidRDefault="0004264F" w:rsidP="0004264F">
            <w:pPr>
              <w:jc w:val="center"/>
              <w:rPr>
                <w:rFonts w:cstheme="majorBidi"/>
                <w:sz w:val="20"/>
                <w:szCs w:val="20"/>
              </w:rPr>
            </w:pPr>
          </w:p>
        </w:tc>
        <w:tc>
          <w:tcPr>
            <w:tcW w:w="2188" w:type="dxa"/>
          </w:tcPr>
          <w:p w14:paraId="358969C1" w14:textId="4E393B28" w:rsidR="0004264F" w:rsidRPr="0004264F" w:rsidRDefault="0004264F" w:rsidP="0004264F">
            <w:pPr>
              <w:jc w:val="center"/>
              <w:rPr>
                <w:rFonts w:cstheme="majorBidi"/>
                <w:sz w:val="20"/>
                <w:szCs w:val="20"/>
              </w:rPr>
            </w:pPr>
            <w:r w:rsidRPr="0004264F">
              <w:rPr>
                <w:rFonts w:cstheme="majorBidi"/>
                <w:sz w:val="18"/>
                <w:szCs w:val="18"/>
              </w:rPr>
              <w:sym w:font="Wingdings" w:char="F0FC"/>
            </w:r>
          </w:p>
        </w:tc>
      </w:tr>
      <w:tr w:rsidR="0004264F" w:rsidRPr="0004264F" w14:paraId="147E5C7A" w14:textId="77777777" w:rsidTr="0004264F">
        <w:trPr>
          <w:trHeight w:val="253"/>
          <w:jc w:val="center"/>
        </w:trPr>
        <w:tc>
          <w:tcPr>
            <w:tcW w:w="1700" w:type="dxa"/>
            <w:tcBorders>
              <w:bottom w:val="single" w:sz="4" w:space="0" w:color="auto"/>
            </w:tcBorders>
          </w:tcPr>
          <w:p w14:paraId="0715BC42" w14:textId="5C9BBE7C" w:rsidR="0004264F" w:rsidRPr="0004264F" w:rsidRDefault="0004264F" w:rsidP="0004264F">
            <w:pPr>
              <w:rPr>
                <w:rFonts w:cstheme="majorBidi"/>
                <w:sz w:val="20"/>
                <w:szCs w:val="20"/>
              </w:rPr>
            </w:pPr>
            <w:r w:rsidRPr="0004264F">
              <w:rPr>
                <w:rFonts w:cstheme="majorBidi"/>
                <w:sz w:val="20"/>
                <w:szCs w:val="20"/>
              </w:rPr>
              <w:t>Region-by-Birth-Year FE</w:t>
            </w:r>
          </w:p>
        </w:tc>
        <w:tc>
          <w:tcPr>
            <w:tcW w:w="2305" w:type="dxa"/>
            <w:tcBorders>
              <w:bottom w:val="single" w:sz="4" w:space="0" w:color="auto"/>
            </w:tcBorders>
            <w:vAlign w:val="center"/>
          </w:tcPr>
          <w:p w14:paraId="67E3F775" w14:textId="049F54DC" w:rsidR="0004264F" w:rsidRPr="0004264F" w:rsidRDefault="0004264F" w:rsidP="0004264F">
            <w:pPr>
              <w:jc w:val="center"/>
              <w:rPr>
                <w:rFonts w:cstheme="majorBidi"/>
                <w:sz w:val="20"/>
                <w:szCs w:val="20"/>
              </w:rPr>
            </w:pPr>
          </w:p>
        </w:tc>
        <w:tc>
          <w:tcPr>
            <w:tcW w:w="2102" w:type="dxa"/>
            <w:tcBorders>
              <w:bottom w:val="single" w:sz="4" w:space="0" w:color="auto"/>
            </w:tcBorders>
            <w:vAlign w:val="center"/>
          </w:tcPr>
          <w:p w14:paraId="2F992849" w14:textId="6F8741E7"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023" w:type="dxa"/>
            <w:tcBorders>
              <w:bottom w:val="single" w:sz="4" w:space="0" w:color="auto"/>
            </w:tcBorders>
            <w:vAlign w:val="center"/>
          </w:tcPr>
          <w:p w14:paraId="21AB37C3" w14:textId="32F82DC9" w:rsidR="0004264F" w:rsidRPr="0004264F" w:rsidRDefault="0004264F" w:rsidP="0004264F">
            <w:pPr>
              <w:jc w:val="center"/>
              <w:rPr>
                <w:rFonts w:cstheme="majorBidi"/>
                <w:sz w:val="20"/>
                <w:szCs w:val="20"/>
              </w:rPr>
            </w:pPr>
          </w:p>
        </w:tc>
        <w:tc>
          <w:tcPr>
            <w:tcW w:w="1681" w:type="dxa"/>
            <w:tcBorders>
              <w:bottom w:val="single" w:sz="4" w:space="0" w:color="auto"/>
            </w:tcBorders>
            <w:vAlign w:val="center"/>
          </w:tcPr>
          <w:p w14:paraId="4086F301" w14:textId="76013D07"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1652" w:type="dxa"/>
            <w:tcBorders>
              <w:bottom w:val="single" w:sz="4" w:space="0" w:color="auto"/>
            </w:tcBorders>
            <w:vAlign w:val="center"/>
          </w:tcPr>
          <w:p w14:paraId="14254BED" w14:textId="288F1A8C" w:rsidR="0004264F" w:rsidRPr="0004264F" w:rsidRDefault="0004264F" w:rsidP="0004264F">
            <w:pPr>
              <w:jc w:val="center"/>
              <w:rPr>
                <w:rFonts w:cstheme="majorBidi"/>
                <w:sz w:val="20"/>
                <w:szCs w:val="20"/>
              </w:rPr>
            </w:pPr>
          </w:p>
        </w:tc>
        <w:tc>
          <w:tcPr>
            <w:tcW w:w="2093" w:type="dxa"/>
            <w:tcBorders>
              <w:bottom w:val="single" w:sz="4" w:space="0" w:color="auto"/>
            </w:tcBorders>
            <w:vAlign w:val="center"/>
          </w:tcPr>
          <w:p w14:paraId="75DE7F69" w14:textId="14FA4102" w:rsidR="0004264F" w:rsidRPr="0004264F" w:rsidRDefault="0004264F" w:rsidP="0004264F">
            <w:pPr>
              <w:jc w:val="center"/>
              <w:rPr>
                <w:rFonts w:cstheme="majorBidi"/>
                <w:sz w:val="20"/>
                <w:szCs w:val="20"/>
              </w:rPr>
            </w:pPr>
            <w:r w:rsidRPr="0004264F">
              <w:rPr>
                <w:rFonts w:cstheme="majorBidi"/>
                <w:sz w:val="18"/>
                <w:szCs w:val="18"/>
              </w:rPr>
              <w:sym w:font="Wingdings" w:char="F0FC"/>
            </w:r>
          </w:p>
        </w:tc>
        <w:tc>
          <w:tcPr>
            <w:tcW w:w="2078" w:type="dxa"/>
            <w:tcBorders>
              <w:bottom w:val="single" w:sz="4" w:space="0" w:color="auto"/>
            </w:tcBorders>
            <w:vAlign w:val="center"/>
          </w:tcPr>
          <w:p w14:paraId="73CAE7D0" w14:textId="5F9C9C87" w:rsidR="0004264F" w:rsidRPr="0004264F" w:rsidRDefault="0004264F" w:rsidP="0004264F">
            <w:pPr>
              <w:jc w:val="center"/>
              <w:rPr>
                <w:rFonts w:cstheme="majorBidi"/>
                <w:sz w:val="20"/>
                <w:szCs w:val="20"/>
              </w:rPr>
            </w:pPr>
          </w:p>
        </w:tc>
        <w:tc>
          <w:tcPr>
            <w:tcW w:w="2188" w:type="dxa"/>
            <w:tcBorders>
              <w:bottom w:val="single" w:sz="4" w:space="0" w:color="auto"/>
            </w:tcBorders>
            <w:vAlign w:val="center"/>
          </w:tcPr>
          <w:p w14:paraId="4A2BFC64" w14:textId="162DC6BB" w:rsidR="0004264F" w:rsidRPr="0004264F" w:rsidRDefault="0004264F" w:rsidP="0004264F">
            <w:pPr>
              <w:jc w:val="center"/>
              <w:rPr>
                <w:rFonts w:cstheme="majorBidi"/>
                <w:sz w:val="20"/>
                <w:szCs w:val="20"/>
              </w:rPr>
            </w:pPr>
          </w:p>
        </w:tc>
      </w:tr>
      <w:tr w:rsidR="0004264F" w:rsidRPr="0004264F" w14:paraId="287AFC83" w14:textId="77777777" w:rsidTr="00015CEF">
        <w:trPr>
          <w:trHeight w:val="253"/>
          <w:jc w:val="center"/>
        </w:trPr>
        <w:tc>
          <w:tcPr>
            <w:tcW w:w="17822" w:type="dxa"/>
            <w:gridSpan w:val="9"/>
            <w:tcBorders>
              <w:top w:val="single" w:sz="4" w:space="0" w:color="auto"/>
            </w:tcBorders>
          </w:tcPr>
          <w:p w14:paraId="6810D30C" w14:textId="77777777" w:rsidR="0004264F" w:rsidRPr="0004264F" w:rsidRDefault="0004264F" w:rsidP="0004264F">
            <w:pPr>
              <w:widowControl w:val="0"/>
              <w:autoSpaceDE w:val="0"/>
              <w:autoSpaceDN w:val="0"/>
              <w:adjustRightInd w:val="0"/>
              <w:jc w:val="both"/>
              <w:rPr>
                <w:rFonts w:cstheme="majorBidi"/>
                <w:sz w:val="20"/>
                <w:szCs w:val="20"/>
              </w:rPr>
            </w:pPr>
            <w:r w:rsidRPr="0004264F">
              <w:rPr>
                <w:rFonts w:cstheme="majorBidi"/>
                <w:sz w:val="20"/>
                <w:szCs w:val="20"/>
              </w:rPr>
              <w:t>Notes. Standard errors are in parentheses. Standard errors of columns 1-4 are clustered at the state-level. Standard errors of columns 5-8 are clustered at the county-level. The regressions are weighted using county-level mean of population over the sample period.</w:t>
            </w:r>
          </w:p>
          <w:p w14:paraId="687D56F0" w14:textId="77777777" w:rsidR="0004264F" w:rsidRPr="0004264F" w:rsidRDefault="0004264F" w:rsidP="0004264F">
            <w:pPr>
              <w:widowControl w:val="0"/>
              <w:autoSpaceDE w:val="0"/>
              <w:autoSpaceDN w:val="0"/>
              <w:adjustRightInd w:val="0"/>
              <w:jc w:val="both"/>
              <w:rPr>
                <w:rFonts w:cstheme="majorBidi"/>
                <w:sz w:val="20"/>
                <w:szCs w:val="20"/>
              </w:rPr>
            </w:pPr>
            <w:r w:rsidRPr="0004264F">
              <w:rPr>
                <w:rFonts w:cstheme="majorBidi"/>
                <w:sz w:val="20"/>
                <w:szCs w:val="20"/>
              </w:rPr>
              <w:t>*** p&lt;0.01, ** p&lt;0.05, * p&lt;0.1</w:t>
            </w:r>
          </w:p>
          <w:p w14:paraId="467242D7" w14:textId="77777777" w:rsidR="0004264F" w:rsidRPr="0004264F" w:rsidRDefault="0004264F" w:rsidP="0004264F">
            <w:pPr>
              <w:jc w:val="center"/>
              <w:rPr>
                <w:rFonts w:cstheme="majorBidi"/>
                <w:sz w:val="20"/>
                <w:szCs w:val="20"/>
              </w:rPr>
            </w:pPr>
          </w:p>
        </w:tc>
      </w:tr>
    </w:tbl>
    <w:p w14:paraId="66DAA464" w14:textId="282B53B5" w:rsidR="00814A6D" w:rsidRPr="0004264F" w:rsidRDefault="00814A6D" w:rsidP="00F32C69">
      <w:pPr>
        <w:rPr>
          <w:rFonts w:cstheme="majorBidi"/>
          <w:b/>
          <w:bCs/>
          <w:sz w:val="20"/>
          <w:szCs w:val="20"/>
        </w:rPr>
      </w:pPr>
    </w:p>
    <w:p w14:paraId="475D928B" w14:textId="137ABBFC" w:rsidR="00204C5C" w:rsidRPr="0004264F" w:rsidRDefault="00204C5C" w:rsidP="00F32C69">
      <w:pPr>
        <w:rPr>
          <w:rFonts w:cstheme="majorBidi"/>
          <w:b/>
          <w:bCs/>
          <w:sz w:val="20"/>
          <w:szCs w:val="20"/>
        </w:rPr>
      </w:pPr>
    </w:p>
    <w:p w14:paraId="668A73CF" w14:textId="041A16AD" w:rsidR="00204C5C" w:rsidRPr="0004264F" w:rsidRDefault="00204C5C" w:rsidP="00F32C69">
      <w:pPr>
        <w:rPr>
          <w:rFonts w:cstheme="majorBidi"/>
          <w:b/>
          <w:bCs/>
          <w:sz w:val="20"/>
          <w:szCs w:val="20"/>
        </w:rPr>
      </w:pPr>
    </w:p>
    <w:p w14:paraId="4B9C1A74" w14:textId="5622A751" w:rsidR="00204C5C" w:rsidRPr="0004264F" w:rsidRDefault="00204C5C" w:rsidP="003D19B5">
      <w:pPr>
        <w:spacing w:after="0"/>
        <w:rPr>
          <w:rFonts w:cstheme="majorBidi"/>
          <w:b/>
          <w:bCs/>
          <w:sz w:val="20"/>
          <w:szCs w:val="20"/>
        </w:rPr>
      </w:pPr>
    </w:p>
    <w:p w14:paraId="0A79C0FF" w14:textId="7AE243AC" w:rsidR="00015CEF" w:rsidRPr="0004264F" w:rsidRDefault="00015CEF" w:rsidP="003D19B5">
      <w:pPr>
        <w:spacing w:after="0"/>
        <w:rPr>
          <w:rFonts w:cstheme="majorBidi"/>
          <w:b/>
          <w:bCs/>
          <w:sz w:val="20"/>
          <w:szCs w:val="20"/>
        </w:rPr>
      </w:pPr>
    </w:p>
    <w:p w14:paraId="554B29AD" w14:textId="2ABD598F" w:rsidR="00015CEF" w:rsidRPr="0004264F" w:rsidRDefault="00015CEF" w:rsidP="003D19B5">
      <w:pPr>
        <w:spacing w:after="0"/>
        <w:rPr>
          <w:rFonts w:cstheme="majorBidi"/>
          <w:b/>
          <w:bCs/>
          <w:sz w:val="20"/>
          <w:szCs w:val="20"/>
        </w:rPr>
      </w:pPr>
    </w:p>
    <w:p w14:paraId="71B567CF" w14:textId="77777777" w:rsidR="008A24B8" w:rsidRPr="0004264F" w:rsidRDefault="008A24B8" w:rsidP="003D19B5">
      <w:pPr>
        <w:spacing w:after="0"/>
        <w:rPr>
          <w:rFonts w:cstheme="majorBidi"/>
          <w:b/>
          <w:bCs/>
          <w:sz w:val="20"/>
          <w:szCs w:val="20"/>
        </w:rPr>
        <w:sectPr w:rsidR="008A24B8" w:rsidRPr="0004264F" w:rsidSect="00015CEF">
          <w:pgSz w:w="20160" w:h="12240" w:orient="landscape" w:code="5"/>
          <w:pgMar w:top="1440" w:right="1440" w:bottom="1440" w:left="1440" w:header="720" w:footer="720" w:gutter="0"/>
          <w:cols w:space="720"/>
          <w:docGrid w:linePitch="360"/>
        </w:sectPr>
      </w:pPr>
    </w:p>
    <w:p w14:paraId="3D218FAD" w14:textId="09D38EDB" w:rsidR="00015CEF" w:rsidRPr="0004264F" w:rsidRDefault="00015CEF" w:rsidP="003D19B5">
      <w:pPr>
        <w:spacing w:after="0"/>
        <w:rPr>
          <w:rFonts w:cstheme="majorBidi"/>
          <w:b/>
          <w:bCs/>
          <w:sz w:val="20"/>
          <w:szCs w:val="20"/>
        </w:rPr>
      </w:pPr>
    </w:p>
    <w:p w14:paraId="141C11BF" w14:textId="77777777" w:rsidR="008A24B8" w:rsidRPr="0004264F" w:rsidRDefault="008A24B8" w:rsidP="003D19B5">
      <w:pPr>
        <w:spacing w:after="0"/>
        <w:rPr>
          <w:rFonts w:cstheme="majorBidi"/>
          <w:b/>
          <w:bCs/>
          <w:sz w:val="20"/>
          <w:szCs w:val="20"/>
        </w:rPr>
      </w:pPr>
    </w:p>
    <w:p w14:paraId="4A618137" w14:textId="77777777" w:rsidR="00015CEF" w:rsidRPr="0004264F" w:rsidRDefault="00015CEF" w:rsidP="003D19B5">
      <w:pPr>
        <w:spacing w:after="0"/>
        <w:rPr>
          <w:rFonts w:cstheme="majorBidi"/>
          <w:b/>
          <w:bCs/>
          <w:sz w:val="20"/>
          <w:szCs w:val="20"/>
        </w:rPr>
      </w:pPr>
    </w:p>
    <w:p w14:paraId="387D3A09" w14:textId="3DB4E4B8" w:rsidR="00204C5C" w:rsidRPr="0004264F" w:rsidRDefault="00204C5C" w:rsidP="003D19B5">
      <w:pPr>
        <w:spacing w:after="0"/>
        <w:rPr>
          <w:rFonts w:cstheme="majorBidi"/>
          <w:b/>
          <w:bCs/>
          <w:sz w:val="20"/>
          <w:szCs w:val="20"/>
        </w:rPr>
      </w:pPr>
    </w:p>
    <w:p w14:paraId="2EDCA180" w14:textId="435D9E7E" w:rsidR="00204C5C" w:rsidRPr="0004264F" w:rsidRDefault="00204C5C" w:rsidP="003D19B5">
      <w:pPr>
        <w:spacing w:after="0"/>
        <w:rPr>
          <w:rFonts w:cstheme="majorBidi"/>
          <w:b/>
          <w:bCs/>
          <w:sz w:val="20"/>
          <w:szCs w:val="20"/>
        </w:rPr>
      </w:pPr>
    </w:p>
    <w:p w14:paraId="79961B8A" w14:textId="2390EE7F" w:rsidR="00204C5C" w:rsidRPr="0004264F" w:rsidRDefault="00204C5C" w:rsidP="003D19B5">
      <w:pPr>
        <w:spacing w:after="0"/>
        <w:rPr>
          <w:rFonts w:cstheme="majorBidi"/>
          <w:b/>
          <w:bCs/>
          <w:sz w:val="20"/>
          <w:szCs w:val="20"/>
        </w:rPr>
      </w:pPr>
    </w:p>
    <w:p w14:paraId="18667054" w14:textId="5A4EC77B" w:rsidR="00150774" w:rsidRPr="0004264F" w:rsidRDefault="00150774" w:rsidP="00150774">
      <w:pPr>
        <w:pStyle w:val="Caption"/>
        <w:keepNext/>
        <w:bidi w:val="0"/>
        <w:rPr>
          <w:rFonts w:cstheme="majorBidi"/>
        </w:rPr>
      </w:pPr>
      <w:bookmarkStart w:id="17" w:name="_Ref97928819"/>
      <w:r w:rsidRPr="0004264F">
        <w:rPr>
          <w:rFonts w:cstheme="majorBidi"/>
        </w:rPr>
        <w:t xml:space="preserve">Table </w:t>
      </w:r>
      <w:r w:rsidR="00AD3D04" w:rsidRPr="0004264F">
        <w:rPr>
          <w:rFonts w:cstheme="majorBidi"/>
        </w:rPr>
        <w:fldChar w:fldCharType="begin"/>
      </w:r>
      <w:r w:rsidR="00AD3D04" w:rsidRPr="0004264F">
        <w:rPr>
          <w:rFonts w:cstheme="majorBidi"/>
        </w:rPr>
        <w:instrText xml:space="preserve"> SEQ Table \* ARABIC </w:instrText>
      </w:r>
      <w:r w:rsidR="00AD3D04" w:rsidRPr="0004264F">
        <w:rPr>
          <w:rFonts w:cstheme="majorBidi"/>
        </w:rPr>
        <w:fldChar w:fldCharType="separate"/>
      </w:r>
      <w:r w:rsidR="00CA5B9D" w:rsidRPr="0004264F">
        <w:rPr>
          <w:rFonts w:cstheme="majorBidi"/>
          <w:noProof/>
        </w:rPr>
        <w:t>7</w:t>
      </w:r>
      <w:r w:rsidR="00AD3D04" w:rsidRPr="0004264F">
        <w:rPr>
          <w:rFonts w:cstheme="majorBidi"/>
          <w:noProof/>
        </w:rPr>
        <w:fldChar w:fldCharType="end"/>
      </w:r>
      <w:bookmarkEnd w:id="17"/>
      <w:r w:rsidRPr="0004264F">
        <w:rPr>
          <w:rFonts w:cstheme="majorBidi"/>
        </w:rPr>
        <w:t xml:space="preserve"> - The Correlations between Deposits per Capita and other Economic Variables (</w:t>
      </w:r>
      <w:r w:rsidR="0094632A" w:rsidRPr="0004264F">
        <w:rPr>
          <w:rFonts w:cstheme="majorBidi"/>
        </w:rPr>
        <w:t>1929</w:t>
      </w:r>
      <w:r w:rsidRPr="0004264F">
        <w:rPr>
          <w:rFonts w:cstheme="majorBidi"/>
        </w:rPr>
        <w:t>-1936)</w:t>
      </w:r>
    </w:p>
    <w:tbl>
      <w:tblPr>
        <w:tblStyle w:val="TableGrid"/>
        <w:tblW w:w="12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1542"/>
        <w:gridCol w:w="1542"/>
        <w:gridCol w:w="1542"/>
        <w:gridCol w:w="236"/>
        <w:gridCol w:w="2285"/>
        <w:gridCol w:w="2286"/>
        <w:gridCol w:w="2286"/>
      </w:tblGrid>
      <w:tr w:rsidR="00D95242" w:rsidRPr="0004264F" w14:paraId="5F6A9C97" w14:textId="77777777" w:rsidTr="00E26789">
        <w:trPr>
          <w:trHeight w:val="212"/>
          <w:jc w:val="center"/>
        </w:trPr>
        <w:tc>
          <w:tcPr>
            <w:tcW w:w="1262" w:type="dxa"/>
            <w:tcBorders>
              <w:top w:val="single" w:sz="4" w:space="0" w:color="auto"/>
            </w:tcBorders>
            <w:vAlign w:val="center"/>
          </w:tcPr>
          <w:p w14:paraId="39ABD9CF" w14:textId="77777777" w:rsidR="00D95242" w:rsidRPr="0004264F" w:rsidRDefault="00D95242" w:rsidP="00150774">
            <w:pPr>
              <w:rPr>
                <w:rFonts w:cstheme="majorBidi"/>
                <w:sz w:val="18"/>
                <w:szCs w:val="18"/>
              </w:rPr>
            </w:pPr>
          </w:p>
        </w:tc>
        <w:tc>
          <w:tcPr>
            <w:tcW w:w="4626" w:type="dxa"/>
            <w:gridSpan w:val="3"/>
            <w:tcBorders>
              <w:top w:val="single" w:sz="4" w:space="0" w:color="auto"/>
              <w:bottom w:val="single" w:sz="4" w:space="0" w:color="auto"/>
            </w:tcBorders>
          </w:tcPr>
          <w:p w14:paraId="0C996588" w14:textId="439AB8FC" w:rsidR="00D95242" w:rsidRPr="0004264F" w:rsidRDefault="00D95242" w:rsidP="00150774">
            <w:pPr>
              <w:jc w:val="center"/>
              <w:rPr>
                <w:rFonts w:cstheme="majorBidi"/>
                <w:sz w:val="18"/>
                <w:szCs w:val="18"/>
              </w:rPr>
            </w:pPr>
            <w:r w:rsidRPr="0004264F">
              <w:rPr>
                <w:rFonts w:cstheme="majorBidi"/>
                <w:sz w:val="18"/>
                <w:szCs w:val="18"/>
              </w:rPr>
              <w:t>County-Level Outcome:</w:t>
            </w:r>
          </w:p>
        </w:tc>
        <w:tc>
          <w:tcPr>
            <w:tcW w:w="236" w:type="dxa"/>
            <w:tcBorders>
              <w:top w:val="single" w:sz="4" w:space="0" w:color="auto"/>
            </w:tcBorders>
            <w:vAlign w:val="center"/>
          </w:tcPr>
          <w:p w14:paraId="73D8C162" w14:textId="77777777" w:rsidR="00D95242" w:rsidRPr="0004264F" w:rsidRDefault="00D95242" w:rsidP="00150774">
            <w:pPr>
              <w:jc w:val="center"/>
              <w:rPr>
                <w:rFonts w:cstheme="majorBidi"/>
                <w:sz w:val="18"/>
                <w:szCs w:val="18"/>
              </w:rPr>
            </w:pPr>
          </w:p>
        </w:tc>
        <w:tc>
          <w:tcPr>
            <w:tcW w:w="6857" w:type="dxa"/>
            <w:gridSpan w:val="3"/>
            <w:tcBorders>
              <w:top w:val="single" w:sz="4" w:space="0" w:color="auto"/>
              <w:bottom w:val="single" w:sz="4" w:space="0" w:color="auto"/>
            </w:tcBorders>
          </w:tcPr>
          <w:p w14:paraId="0A3CF408" w14:textId="3046B1BC" w:rsidR="00D95242" w:rsidRPr="0004264F" w:rsidRDefault="00D95242" w:rsidP="00150774">
            <w:pPr>
              <w:jc w:val="center"/>
              <w:rPr>
                <w:rFonts w:cstheme="majorBidi"/>
                <w:sz w:val="18"/>
                <w:szCs w:val="18"/>
              </w:rPr>
            </w:pPr>
            <w:r w:rsidRPr="0004264F">
              <w:rPr>
                <w:rFonts w:cstheme="majorBidi"/>
                <w:sz w:val="18"/>
                <w:szCs w:val="18"/>
              </w:rPr>
              <w:t>State-Level Outcome</w:t>
            </w:r>
          </w:p>
        </w:tc>
      </w:tr>
      <w:tr w:rsidR="00D95242" w:rsidRPr="0004264F" w14:paraId="56BDCDF6" w14:textId="77777777" w:rsidTr="00E26789">
        <w:trPr>
          <w:trHeight w:val="227"/>
          <w:jc w:val="center"/>
        </w:trPr>
        <w:tc>
          <w:tcPr>
            <w:tcW w:w="1262" w:type="dxa"/>
            <w:vAlign w:val="center"/>
          </w:tcPr>
          <w:p w14:paraId="0281E9DE" w14:textId="77777777" w:rsidR="00D95242" w:rsidRPr="0004264F" w:rsidRDefault="00D95242" w:rsidP="00150774">
            <w:pPr>
              <w:rPr>
                <w:rFonts w:cstheme="majorBidi"/>
                <w:sz w:val="18"/>
                <w:szCs w:val="18"/>
              </w:rPr>
            </w:pPr>
          </w:p>
        </w:tc>
        <w:tc>
          <w:tcPr>
            <w:tcW w:w="4626" w:type="dxa"/>
            <w:gridSpan w:val="3"/>
            <w:tcBorders>
              <w:top w:val="single" w:sz="4" w:space="0" w:color="auto"/>
              <w:bottom w:val="single" w:sz="4" w:space="0" w:color="auto"/>
            </w:tcBorders>
          </w:tcPr>
          <w:p w14:paraId="06CA5898" w14:textId="1680E43E" w:rsidR="00D95242" w:rsidRPr="0004264F" w:rsidRDefault="00D95242" w:rsidP="00150774">
            <w:pPr>
              <w:jc w:val="center"/>
              <w:rPr>
                <w:rFonts w:cstheme="majorBidi"/>
                <w:sz w:val="18"/>
                <w:szCs w:val="18"/>
              </w:rPr>
            </w:pPr>
            <w:r w:rsidRPr="0004264F">
              <w:rPr>
                <w:rFonts w:cstheme="majorBidi"/>
                <w:sz w:val="18"/>
                <w:szCs w:val="18"/>
              </w:rPr>
              <w:t>Per Capita Retail Sale (STD)</w:t>
            </w:r>
          </w:p>
        </w:tc>
        <w:tc>
          <w:tcPr>
            <w:tcW w:w="236" w:type="dxa"/>
            <w:vAlign w:val="center"/>
          </w:tcPr>
          <w:p w14:paraId="1BB57A6A" w14:textId="77777777" w:rsidR="00D95242" w:rsidRPr="0004264F" w:rsidRDefault="00D95242" w:rsidP="00150774">
            <w:pPr>
              <w:jc w:val="center"/>
              <w:rPr>
                <w:rFonts w:cstheme="majorBidi"/>
                <w:sz w:val="18"/>
                <w:szCs w:val="18"/>
              </w:rPr>
            </w:pPr>
          </w:p>
        </w:tc>
        <w:tc>
          <w:tcPr>
            <w:tcW w:w="6857" w:type="dxa"/>
            <w:gridSpan w:val="3"/>
            <w:tcBorders>
              <w:top w:val="single" w:sz="4" w:space="0" w:color="auto"/>
              <w:bottom w:val="single" w:sz="4" w:space="0" w:color="auto"/>
            </w:tcBorders>
          </w:tcPr>
          <w:p w14:paraId="781B9F5E" w14:textId="344DD6F1" w:rsidR="00D95242" w:rsidRPr="0004264F" w:rsidRDefault="00D95242" w:rsidP="00150774">
            <w:pPr>
              <w:jc w:val="center"/>
              <w:rPr>
                <w:rFonts w:cstheme="majorBidi"/>
                <w:sz w:val="18"/>
                <w:szCs w:val="18"/>
              </w:rPr>
            </w:pPr>
            <w:r w:rsidRPr="0004264F">
              <w:rPr>
                <w:rFonts w:cstheme="majorBidi"/>
                <w:sz w:val="18"/>
                <w:szCs w:val="18"/>
              </w:rPr>
              <w:t>Per Capita Income (STD)</w:t>
            </w:r>
          </w:p>
        </w:tc>
      </w:tr>
      <w:tr w:rsidR="00E26789" w:rsidRPr="0004264F" w14:paraId="0E5BDBA2" w14:textId="77777777" w:rsidTr="00E26789">
        <w:trPr>
          <w:trHeight w:val="212"/>
          <w:jc w:val="center"/>
        </w:trPr>
        <w:tc>
          <w:tcPr>
            <w:tcW w:w="1262" w:type="dxa"/>
            <w:tcBorders>
              <w:bottom w:val="single" w:sz="4" w:space="0" w:color="auto"/>
            </w:tcBorders>
            <w:vAlign w:val="center"/>
          </w:tcPr>
          <w:p w14:paraId="4A933719" w14:textId="77777777" w:rsidR="00D95242" w:rsidRPr="0004264F" w:rsidRDefault="00D95242" w:rsidP="00D95242">
            <w:pPr>
              <w:rPr>
                <w:rFonts w:cstheme="majorBidi"/>
                <w:sz w:val="18"/>
                <w:szCs w:val="18"/>
              </w:rPr>
            </w:pPr>
          </w:p>
        </w:tc>
        <w:tc>
          <w:tcPr>
            <w:tcW w:w="1542" w:type="dxa"/>
            <w:tcBorders>
              <w:top w:val="single" w:sz="4" w:space="0" w:color="auto"/>
              <w:bottom w:val="single" w:sz="4" w:space="0" w:color="auto"/>
            </w:tcBorders>
            <w:vAlign w:val="center"/>
          </w:tcPr>
          <w:p w14:paraId="7E929410" w14:textId="01AFBBDE" w:rsidR="00D95242" w:rsidRPr="0004264F" w:rsidRDefault="00D95242" w:rsidP="00D95242">
            <w:pPr>
              <w:jc w:val="center"/>
              <w:rPr>
                <w:rFonts w:cstheme="majorBidi"/>
                <w:sz w:val="18"/>
                <w:szCs w:val="18"/>
              </w:rPr>
            </w:pPr>
            <w:r w:rsidRPr="0004264F">
              <w:rPr>
                <w:rFonts w:cstheme="majorBidi"/>
                <w:sz w:val="18"/>
                <w:szCs w:val="18"/>
              </w:rPr>
              <w:t>(1)</w:t>
            </w:r>
          </w:p>
        </w:tc>
        <w:tc>
          <w:tcPr>
            <w:tcW w:w="1542" w:type="dxa"/>
            <w:tcBorders>
              <w:top w:val="single" w:sz="4" w:space="0" w:color="auto"/>
              <w:bottom w:val="single" w:sz="4" w:space="0" w:color="auto"/>
            </w:tcBorders>
            <w:vAlign w:val="center"/>
          </w:tcPr>
          <w:p w14:paraId="0CB5A708" w14:textId="06E7104A" w:rsidR="00D95242" w:rsidRPr="0004264F" w:rsidRDefault="00D95242" w:rsidP="00D95242">
            <w:pPr>
              <w:jc w:val="center"/>
              <w:rPr>
                <w:rFonts w:cstheme="majorBidi"/>
                <w:sz w:val="18"/>
                <w:szCs w:val="18"/>
              </w:rPr>
            </w:pPr>
            <w:r w:rsidRPr="0004264F">
              <w:rPr>
                <w:rFonts w:cstheme="majorBidi"/>
                <w:sz w:val="18"/>
                <w:szCs w:val="18"/>
              </w:rPr>
              <w:t>(2)</w:t>
            </w:r>
          </w:p>
        </w:tc>
        <w:tc>
          <w:tcPr>
            <w:tcW w:w="1542" w:type="dxa"/>
            <w:tcBorders>
              <w:top w:val="single" w:sz="4" w:space="0" w:color="auto"/>
              <w:bottom w:val="single" w:sz="4" w:space="0" w:color="auto"/>
            </w:tcBorders>
            <w:vAlign w:val="center"/>
          </w:tcPr>
          <w:p w14:paraId="2FD5956E" w14:textId="6968A5D2" w:rsidR="00D95242" w:rsidRPr="0004264F" w:rsidRDefault="00D95242" w:rsidP="00D95242">
            <w:pPr>
              <w:jc w:val="center"/>
              <w:rPr>
                <w:rFonts w:cstheme="majorBidi"/>
                <w:sz w:val="18"/>
                <w:szCs w:val="18"/>
              </w:rPr>
            </w:pPr>
            <w:r w:rsidRPr="0004264F">
              <w:rPr>
                <w:rFonts w:cstheme="majorBidi"/>
                <w:sz w:val="18"/>
                <w:szCs w:val="18"/>
              </w:rPr>
              <w:t>(3)</w:t>
            </w:r>
            <w:r w:rsidRPr="0004264F" w:rsidDel="00D95242">
              <w:rPr>
                <w:rFonts w:cstheme="majorBidi"/>
                <w:sz w:val="18"/>
                <w:szCs w:val="18"/>
              </w:rPr>
              <w:t xml:space="preserve"> </w:t>
            </w:r>
          </w:p>
        </w:tc>
        <w:tc>
          <w:tcPr>
            <w:tcW w:w="236" w:type="dxa"/>
            <w:tcBorders>
              <w:bottom w:val="single" w:sz="4" w:space="0" w:color="auto"/>
            </w:tcBorders>
            <w:vAlign w:val="center"/>
          </w:tcPr>
          <w:p w14:paraId="2FD2674B" w14:textId="77777777" w:rsidR="00D95242" w:rsidRPr="0004264F" w:rsidRDefault="00D95242" w:rsidP="00D95242">
            <w:pPr>
              <w:jc w:val="center"/>
              <w:rPr>
                <w:rFonts w:cstheme="majorBidi"/>
                <w:sz w:val="18"/>
                <w:szCs w:val="18"/>
              </w:rPr>
            </w:pPr>
          </w:p>
        </w:tc>
        <w:tc>
          <w:tcPr>
            <w:tcW w:w="2285" w:type="dxa"/>
            <w:tcBorders>
              <w:top w:val="single" w:sz="4" w:space="0" w:color="auto"/>
              <w:bottom w:val="single" w:sz="4" w:space="0" w:color="auto"/>
            </w:tcBorders>
          </w:tcPr>
          <w:p w14:paraId="044AFD3E" w14:textId="34483A0A" w:rsidR="00D95242" w:rsidRPr="0004264F" w:rsidRDefault="00D95242" w:rsidP="00D95242">
            <w:pPr>
              <w:jc w:val="center"/>
              <w:rPr>
                <w:rFonts w:cstheme="majorBidi"/>
                <w:sz w:val="18"/>
                <w:szCs w:val="18"/>
              </w:rPr>
            </w:pPr>
            <w:r w:rsidRPr="0004264F">
              <w:rPr>
                <w:rFonts w:cstheme="majorBidi"/>
                <w:sz w:val="18"/>
                <w:szCs w:val="18"/>
              </w:rPr>
              <w:t>(4)</w:t>
            </w:r>
          </w:p>
        </w:tc>
        <w:tc>
          <w:tcPr>
            <w:tcW w:w="2286" w:type="dxa"/>
            <w:tcBorders>
              <w:top w:val="single" w:sz="4" w:space="0" w:color="auto"/>
              <w:bottom w:val="single" w:sz="4" w:space="0" w:color="auto"/>
            </w:tcBorders>
            <w:vAlign w:val="center"/>
          </w:tcPr>
          <w:p w14:paraId="35D162EA" w14:textId="6EAE594E" w:rsidR="00D95242" w:rsidRPr="0004264F" w:rsidRDefault="00D95242" w:rsidP="00D95242">
            <w:pPr>
              <w:jc w:val="center"/>
              <w:rPr>
                <w:rFonts w:cstheme="majorBidi"/>
                <w:sz w:val="18"/>
                <w:szCs w:val="18"/>
              </w:rPr>
            </w:pPr>
            <w:r w:rsidRPr="0004264F">
              <w:rPr>
                <w:rFonts w:cstheme="majorBidi"/>
                <w:sz w:val="18"/>
                <w:szCs w:val="18"/>
              </w:rPr>
              <w:t>(5)</w:t>
            </w:r>
          </w:p>
        </w:tc>
        <w:tc>
          <w:tcPr>
            <w:tcW w:w="2286" w:type="dxa"/>
            <w:tcBorders>
              <w:top w:val="single" w:sz="4" w:space="0" w:color="auto"/>
              <w:bottom w:val="single" w:sz="4" w:space="0" w:color="auto"/>
            </w:tcBorders>
            <w:vAlign w:val="center"/>
          </w:tcPr>
          <w:p w14:paraId="3CCC8D77" w14:textId="31A4F462" w:rsidR="00D95242" w:rsidRPr="0004264F" w:rsidRDefault="00D95242" w:rsidP="00D95242">
            <w:pPr>
              <w:jc w:val="center"/>
              <w:rPr>
                <w:rFonts w:cstheme="majorBidi"/>
                <w:sz w:val="18"/>
                <w:szCs w:val="18"/>
              </w:rPr>
            </w:pPr>
            <w:r w:rsidRPr="0004264F">
              <w:rPr>
                <w:rFonts w:cstheme="majorBidi"/>
                <w:sz w:val="18"/>
                <w:szCs w:val="18"/>
              </w:rPr>
              <w:t>(6)</w:t>
            </w:r>
          </w:p>
        </w:tc>
      </w:tr>
      <w:tr w:rsidR="00384FD5" w:rsidRPr="0004264F" w14:paraId="2CDACB4C" w14:textId="77777777" w:rsidTr="00E26789">
        <w:trPr>
          <w:trHeight w:val="212"/>
          <w:jc w:val="center"/>
        </w:trPr>
        <w:tc>
          <w:tcPr>
            <w:tcW w:w="1262" w:type="dxa"/>
            <w:vMerge w:val="restart"/>
            <w:tcBorders>
              <w:top w:val="single" w:sz="4" w:space="0" w:color="auto"/>
            </w:tcBorders>
            <w:vAlign w:val="center"/>
          </w:tcPr>
          <w:p w14:paraId="7505A1AD" w14:textId="031A661F" w:rsidR="00384FD5" w:rsidRPr="0004264F" w:rsidRDefault="00384FD5" w:rsidP="00384FD5">
            <w:pPr>
              <w:rPr>
                <w:rFonts w:cstheme="majorBidi"/>
                <w:sz w:val="18"/>
                <w:szCs w:val="18"/>
              </w:rPr>
            </w:pPr>
            <w:r w:rsidRPr="0004264F">
              <w:rPr>
                <w:rFonts w:cstheme="majorBidi"/>
                <w:sz w:val="18"/>
                <w:szCs w:val="18"/>
              </w:rPr>
              <w:t>Deposits per Capita (STD)</w:t>
            </w:r>
          </w:p>
        </w:tc>
        <w:tc>
          <w:tcPr>
            <w:tcW w:w="1542" w:type="dxa"/>
            <w:tcBorders>
              <w:top w:val="single" w:sz="4" w:space="0" w:color="auto"/>
            </w:tcBorders>
          </w:tcPr>
          <w:p w14:paraId="3F4E742A" w14:textId="2E4C52F9" w:rsidR="00384FD5" w:rsidRPr="0004264F" w:rsidRDefault="00384FD5" w:rsidP="00384FD5">
            <w:pPr>
              <w:jc w:val="center"/>
              <w:rPr>
                <w:rFonts w:cstheme="majorBidi"/>
                <w:sz w:val="18"/>
                <w:szCs w:val="18"/>
              </w:rPr>
            </w:pPr>
            <w:r w:rsidRPr="0004264F">
              <w:rPr>
                <w:rFonts w:cstheme="majorBidi"/>
                <w:sz w:val="20"/>
                <w:szCs w:val="20"/>
              </w:rPr>
              <w:t>.86484***</w:t>
            </w:r>
          </w:p>
        </w:tc>
        <w:tc>
          <w:tcPr>
            <w:tcW w:w="1542" w:type="dxa"/>
            <w:tcBorders>
              <w:top w:val="single" w:sz="4" w:space="0" w:color="auto"/>
            </w:tcBorders>
          </w:tcPr>
          <w:p w14:paraId="74186327" w14:textId="4117F3B2" w:rsidR="00384FD5" w:rsidRPr="0004264F" w:rsidRDefault="00384FD5" w:rsidP="00384FD5">
            <w:pPr>
              <w:jc w:val="center"/>
              <w:rPr>
                <w:rFonts w:cstheme="majorBidi"/>
                <w:sz w:val="18"/>
                <w:szCs w:val="18"/>
              </w:rPr>
            </w:pPr>
            <w:r w:rsidRPr="0004264F">
              <w:rPr>
                <w:rFonts w:cstheme="majorBidi"/>
                <w:sz w:val="20"/>
                <w:szCs w:val="20"/>
              </w:rPr>
              <w:t>.18034***</w:t>
            </w:r>
          </w:p>
        </w:tc>
        <w:tc>
          <w:tcPr>
            <w:tcW w:w="1542" w:type="dxa"/>
            <w:tcBorders>
              <w:top w:val="single" w:sz="4" w:space="0" w:color="auto"/>
            </w:tcBorders>
          </w:tcPr>
          <w:p w14:paraId="66A0D25E" w14:textId="542000E4" w:rsidR="00384FD5" w:rsidRPr="0004264F" w:rsidRDefault="00384FD5" w:rsidP="00384FD5">
            <w:pPr>
              <w:jc w:val="center"/>
              <w:rPr>
                <w:rFonts w:cstheme="majorBidi"/>
                <w:sz w:val="18"/>
                <w:szCs w:val="18"/>
              </w:rPr>
            </w:pPr>
            <w:r w:rsidRPr="0004264F">
              <w:rPr>
                <w:rFonts w:cstheme="majorBidi"/>
                <w:sz w:val="20"/>
                <w:szCs w:val="20"/>
              </w:rPr>
              <w:t>.14568***</w:t>
            </w:r>
          </w:p>
        </w:tc>
        <w:tc>
          <w:tcPr>
            <w:tcW w:w="236" w:type="dxa"/>
            <w:tcBorders>
              <w:top w:val="single" w:sz="4" w:space="0" w:color="auto"/>
            </w:tcBorders>
          </w:tcPr>
          <w:p w14:paraId="42B33C16" w14:textId="4808215B" w:rsidR="00384FD5" w:rsidRPr="0004264F" w:rsidRDefault="00384FD5" w:rsidP="00384FD5">
            <w:pPr>
              <w:jc w:val="center"/>
              <w:rPr>
                <w:rFonts w:cstheme="majorBidi"/>
                <w:sz w:val="18"/>
                <w:szCs w:val="18"/>
              </w:rPr>
            </w:pPr>
          </w:p>
        </w:tc>
        <w:tc>
          <w:tcPr>
            <w:tcW w:w="2285" w:type="dxa"/>
            <w:tcBorders>
              <w:top w:val="single" w:sz="4" w:space="0" w:color="auto"/>
            </w:tcBorders>
          </w:tcPr>
          <w:p w14:paraId="32A750D9" w14:textId="6F80296B" w:rsidR="00384FD5" w:rsidRPr="0004264F" w:rsidRDefault="00384FD5" w:rsidP="00384FD5">
            <w:pPr>
              <w:jc w:val="center"/>
              <w:rPr>
                <w:rFonts w:cstheme="majorBidi"/>
                <w:sz w:val="18"/>
                <w:szCs w:val="18"/>
              </w:rPr>
            </w:pPr>
            <w:r w:rsidRPr="0004264F">
              <w:rPr>
                <w:rFonts w:cstheme="majorBidi"/>
                <w:sz w:val="20"/>
                <w:szCs w:val="20"/>
              </w:rPr>
              <w:t>.72179***</w:t>
            </w:r>
          </w:p>
        </w:tc>
        <w:tc>
          <w:tcPr>
            <w:tcW w:w="2286" w:type="dxa"/>
            <w:tcBorders>
              <w:top w:val="single" w:sz="4" w:space="0" w:color="auto"/>
            </w:tcBorders>
          </w:tcPr>
          <w:p w14:paraId="7114ECF5" w14:textId="22C1DF77" w:rsidR="00384FD5" w:rsidRPr="0004264F" w:rsidRDefault="00384FD5" w:rsidP="00384FD5">
            <w:pPr>
              <w:jc w:val="center"/>
              <w:rPr>
                <w:rFonts w:cstheme="majorBidi"/>
                <w:sz w:val="18"/>
                <w:szCs w:val="18"/>
              </w:rPr>
            </w:pPr>
            <w:r w:rsidRPr="0004264F">
              <w:rPr>
                <w:rFonts w:cstheme="majorBidi"/>
                <w:sz w:val="20"/>
                <w:szCs w:val="20"/>
              </w:rPr>
              <w:t>.38056***</w:t>
            </w:r>
          </w:p>
        </w:tc>
        <w:tc>
          <w:tcPr>
            <w:tcW w:w="2286" w:type="dxa"/>
            <w:tcBorders>
              <w:top w:val="single" w:sz="4" w:space="0" w:color="auto"/>
            </w:tcBorders>
          </w:tcPr>
          <w:p w14:paraId="4AD37275" w14:textId="02A699CC" w:rsidR="00384FD5" w:rsidRPr="0004264F" w:rsidRDefault="00384FD5" w:rsidP="00384FD5">
            <w:pPr>
              <w:jc w:val="center"/>
              <w:rPr>
                <w:rFonts w:cstheme="majorBidi"/>
                <w:sz w:val="18"/>
                <w:szCs w:val="18"/>
              </w:rPr>
            </w:pPr>
            <w:r w:rsidRPr="0004264F">
              <w:rPr>
                <w:rFonts w:cstheme="majorBidi"/>
                <w:sz w:val="20"/>
                <w:szCs w:val="20"/>
              </w:rPr>
              <w:t>.41758***</w:t>
            </w:r>
          </w:p>
        </w:tc>
      </w:tr>
      <w:tr w:rsidR="00384FD5" w:rsidRPr="0004264F" w14:paraId="3616A3B4" w14:textId="77777777" w:rsidTr="00E26789">
        <w:trPr>
          <w:trHeight w:val="456"/>
          <w:jc w:val="center"/>
        </w:trPr>
        <w:tc>
          <w:tcPr>
            <w:tcW w:w="1262" w:type="dxa"/>
            <w:vMerge/>
            <w:vAlign w:val="center"/>
          </w:tcPr>
          <w:p w14:paraId="60B5DF73" w14:textId="77777777" w:rsidR="00384FD5" w:rsidRPr="0004264F" w:rsidRDefault="00384FD5" w:rsidP="00384FD5">
            <w:pPr>
              <w:rPr>
                <w:rFonts w:cstheme="majorBidi"/>
                <w:sz w:val="18"/>
                <w:szCs w:val="18"/>
              </w:rPr>
            </w:pPr>
          </w:p>
        </w:tc>
        <w:tc>
          <w:tcPr>
            <w:tcW w:w="1542" w:type="dxa"/>
          </w:tcPr>
          <w:p w14:paraId="7638A4CF" w14:textId="4C66D81D" w:rsidR="00384FD5" w:rsidRPr="0004264F" w:rsidRDefault="00384FD5" w:rsidP="00384FD5">
            <w:pPr>
              <w:jc w:val="center"/>
              <w:rPr>
                <w:rFonts w:cstheme="majorBidi"/>
                <w:sz w:val="18"/>
                <w:szCs w:val="18"/>
              </w:rPr>
            </w:pPr>
            <w:r w:rsidRPr="0004264F">
              <w:rPr>
                <w:rFonts w:cstheme="majorBidi"/>
                <w:sz w:val="20"/>
                <w:szCs w:val="20"/>
              </w:rPr>
              <w:t>(.2771)</w:t>
            </w:r>
          </w:p>
        </w:tc>
        <w:tc>
          <w:tcPr>
            <w:tcW w:w="1542" w:type="dxa"/>
          </w:tcPr>
          <w:p w14:paraId="3C4A2B80" w14:textId="207DA270" w:rsidR="00384FD5" w:rsidRPr="0004264F" w:rsidRDefault="00384FD5" w:rsidP="00384FD5">
            <w:pPr>
              <w:jc w:val="center"/>
              <w:rPr>
                <w:rFonts w:cstheme="majorBidi"/>
                <w:sz w:val="18"/>
                <w:szCs w:val="18"/>
              </w:rPr>
            </w:pPr>
            <w:r w:rsidRPr="0004264F">
              <w:rPr>
                <w:rFonts w:cstheme="majorBidi"/>
                <w:sz w:val="20"/>
                <w:szCs w:val="20"/>
              </w:rPr>
              <w:t>(.06852)</w:t>
            </w:r>
          </w:p>
        </w:tc>
        <w:tc>
          <w:tcPr>
            <w:tcW w:w="1542" w:type="dxa"/>
          </w:tcPr>
          <w:p w14:paraId="0473967C" w14:textId="6ACF02DE" w:rsidR="00384FD5" w:rsidRPr="0004264F" w:rsidRDefault="00384FD5" w:rsidP="00384FD5">
            <w:pPr>
              <w:jc w:val="center"/>
              <w:rPr>
                <w:rFonts w:cstheme="majorBidi"/>
                <w:sz w:val="18"/>
                <w:szCs w:val="18"/>
              </w:rPr>
            </w:pPr>
            <w:r w:rsidRPr="0004264F">
              <w:rPr>
                <w:rFonts w:cstheme="majorBidi"/>
                <w:sz w:val="20"/>
                <w:szCs w:val="20"/>
              </w:rPr>
              <w:t>(.05264)</w:t>
            </w:r>
          </w:p>
        </w:tc>
        <w:tc>
          <w:tcPr>
            <w:tcW w:w="236" w:type="dxa"/>
          </w:tcPr>
          <w:p w14:paraId="6160C360" w14:textId="12C6BDC5" w:rsidR="00384FD5" w:rsidRPr="0004264F" w:rsidRDefault="00384FD5" w:rsidP="00384FD5">
            <w:pPr>
              <w:jc w:val="center"/>
              <w:rPr>
                <w:rFonts w:cstheme="majorBidi"/>
                <w:sz w:val="18"/>
                <w:szCs w:val="18"/>
              </w:rPr>
            </w:pPr>
          </w:p>
        </w:tc>
        <w:tc>
          <w:tcPr>
            <w:tcW w:w="2285" w:type="dxa"/>
          </w:tcPr>
          <w:p w14:paraId="308DDEF8" w14:textId="7732D222" w:rsidR="00384FD5" w:rsidRPr="0004264F" w:rsidRDefault="00384FD5" w:rsidP="00384FD5">
            <w:pPr>
              <w:jc w:val="center"/>
              <w:rPr>
                <w:rFonts w:cstheme="majorBidi"/>
                <w:sz w:val="18"/>
                <w:szCs w:val="18"/>
              </w:rPr>
            </w:pPr>
            <w:r w:rsidRPr="0004264F">
              <w:rPr>
                <w:rFonts w:cstheme="majorBidi"/>
                <w:sz w:val="20"/>
                <w:szCs w:val="20"/>
              </w:rPr>
              <w:t>(.17681)</w:t>
            </w:r>
          </w:p>
        </w:tc>
        <w:tc>
          <w:tcPr>
            <w:tcW w:w="2286" w:type="dxa"/>
          </w:tcPr>
          <w:p w14:paraId="583419C8" w14:textId="73B4566A" w:rsidR="00384FD5" w:rsidRPr="0004264F" w:rsidRDefault="00384FD5" w:rsidP="00384FD5">
            <w:pPr>
              <w:jc w:val="center"/>
              <w:rPr>
                <w:rFonts w:cstheme="majorBidi"/>
                <w:sz w:val="18"/>
                <w:szCs w:val="18"/>
              </w:rPr>
            </w:pPr>
            <w:r w:rsidRPr="0004264F">
              <w:rPr>
                <w:rFonts w:cstheme="majorBidi"/>
                <w:sz w:val="20"/>
                <w:szCs w:val="20"/>
              </w:rPr>
              <w:t>(.07804)</w:t>
            </w:r>
          </w:p>
        </w:tc>
        <w:tc>
          <w:tcPr>
            <w:tcW w:w="2286" w:type="dxa"/>
          </w:tcPr>
          <w:p w14:paraId="61CDFAAD" w14:textId="68640848" w:rsidR="00384FD5" w:rsidRPr="0004264F" w:rsidRDefault="00384FD5" w:rsidP="00384FD5">
            <w:pPr>
              <w:jc w:val="center"/>
              <w:rPr>
                <w:rFonts w:cstheme="majorBidi"/>
                <w:sz w:val="18"/>
                <w:szCs w:val="18"/>
              </w:rPr>
            </w:pPr>
            <w:r w:rsidRPr="0004264F">
              <w:rPr>
                <w:rFonts w:cstheme="majorBidi"/>
                <w:sz w:val="20"/>
                <w:szCs w:val="20"/>
              </w:rPr>
              <w:t>(.07123)</w:t>
            </w:r>
          </w:p>
        </w:tc>
      </w:tr>
      <w:tr w:rsidR="00384FD5" w:rsidRPr="0004264F" w14:paraId="64E94F8A" w14:textId="77777777" w:rsidTr="00E26789">
        <w:trPr>
          <w:trHeight w:val="439"/>
          <w:jc w:val="center"/>
        </w:trPr>
        <w:tc>
          <w:tcPr>
            <w:tcW w:w="1262" w:type="dxa"/>
            <w:vAlign w:val="center"/>
          </w:tcPr>
          <w:p w14:paraId="1D92F69A" w14:textId="26CC68B0" w:rsidR="00384FD5" w:rsidRPr="0004264F" w:rsidRDefault="00384FD5" w:rsidP="00384FD5">
            <w:pPr>
              <w:rPr>
                <w:rFonts w:cstheme="majorBidi"/>
                <w:sz w:val="18"/>
                <w:szCs w:val="18"/>
              </w:rPr>
            </w:pPr>
            <w:r w:rsidRPr="0004264F">
              <w:rPr>
                <w:rFonts w:cstheme="majorBidi"/>
                <w:sz w:val="18"/>
                <w:szCs w:val="18"/>
              </w:rPr>
              <w:t>Observations</w:t>
            </w:r>
          </w:p>
        </w:tc>
        <w:tc>
          <w:tcPr>
            <w:tcW w:w="1542" w:type="dxa"/>
          </w:tcPr>
          <w:p w14:paraId="01E93BA8" w14:textId="609EA206" w:rsidR="00384FD5" w:rsidRPr="0004264F" w:rsidRDefault="00384FD5" w:rsidP="00384FD5">
            <w:pPr>
              <w:jc w:val="center"/>
              <w:rPr>
                <w:rFonts w:cstheme="majorBidi"/>
                <w:sz w:val="18"/>
                <w:szCs w:val="18"/>
              </w:rPr>
            </w:pPr>
            <w:r w:rsidRPr="0004264F">
              <w:rPr>
                <w:rFonts w:cstheme="majorBidi"/>
                <w:sz w:val="20"/>
                <w:szCs w:val="20"/>
              </w:rPr>
              <w:t>20237</w:t>
            </w:r>
          </w:p>
        </w:tc>
        <w:tc>
          <w:tcPr>
            <w:tcW w:w="1542" w:type="dxa"/>
          </w:tcPr>
          <w:p w14:paraId="2A0B2CFE" w14:textId="40BAA149" w:rsidR="00384FD5" w:rsidRPr="0004264F" w:rsidRDefault="00384FD5" w:rsidP="00384FD5">
            <w:pPr>
              <w:jc w:val="center"/>
              <w:rPr>
                <w:rFonts w:cstheme="majorBidi"/>
                <w:sz w:val="18"/>
                <w:szCs w:val="18"/>
              </w:rPr>
            </w:pPr>
            <w:r w:rsidRPr="0004264F">
              <w:rPr>
                <w:rFonts w:cstheme="majorBidi"/>
                <w:sz w:val="20"/>
                <w:szCs w:val="20"/>
              </w:rPr>
              <w:t>20236</w:t>
            </w:r>
          </w:p>
        </w:tc>
        <w:tc>
          <w:tcPr>
            <w:tcW w:w="1542" w:type="dxa"/>
          </w:tcPr>
          <w:p w14:paraId="09C9C4D9" w14:textId="22ADE8E6" w:rsidR="00384FD5" w:rsidRPr="0004264F" w:rsidRDefault="00384FD5" w:rsidP="00384FD5">
            <w:pPr>
              <w:jc w:val="center"/>
              <w:rPr>
                <w:rFonts w:cstheme="majorBidi"/>
                <w:sz w:val="18"/>
                <w:szCs w:val="18"/>
              </w:rPr>
            </w:pPr>
            <w:r w:rsidRPr="0004264F">
              <w:rPr>
                <w:rFonts w:cstheme="majorBidi"/>
                <w:sz w:val="20"/>
                <w:szCs w:val="20"/>
              </w:rPr>
              <w:t>19574</w:t>
            </w:r>
          </w:p>
        </w:tc>
        <w:tc>
          <w:tcPr>
            <w:tcW w:w="236" w:type="dxa"/>
          </w:tcPr>
          <w:p w14:paraId="1C9171A1" w14:textId="3896CFDC" w:rsidR="00384FD5" w:rsidRPr="0004264F" w:rsidRDefault="00384FD5" w:rsidP="00384FD5">
            <w:pPr>
              <w:jc w:val="center"/>
              <w:rPr>
                <w:rFonts w:cstheme="majorBidi"/>
                <w:sz w:val="18"/>
                <w:szCs w:val="18"/>
              </w:rPr>
            </w:pPr>
          </w:p>
        </w:tc>
        <w:tc>
          <w:tcPr>
            <w:tcW w:w="2285" w:type="dxa"/>
          </w:tcPr>
          <w:p w14:paraId="66D20A99" w14:textId="37764B32" w:rsidR="00384FD5" w:rsidRPr="0004264F" w:rsidRDefault="00384FD5" w:rsidP="00384FD5">
            <w:pPr>
              <w:jc w:val="center"/>
              <w:rPr>
                <w:rFonts w:cstheme="majorBidi"/>
                <w:sz w:val="18"/>
                <w:szCs w:val="18"/>
              </w:rPr>
            </w:pPr>
            <w:r w:rsidRPr="0004264F">
              <w:rPr>
                <w:rFonts w:cstheme="majorBidi"/>
                <w:sz w:val="20"/>
                <w:szCs w:val="20"/>
              </w:rPr>
              <w:t>376</w:t>
            </w:r>
          </w:p>
        </w:tc>
        <w:tc>
          <w:tcPr>
            <w:tcW w:w="2286" w:type="dxa"/>
          </w:tcPr>
          <w:p w14:paraId="12C0FB31" w14:textId="502F895E" w:rsidR="00384FD5" w:rsidRPr="0004264F" w:rsidRDefault="00384FD5" w:rsidP="00384FD5">
            <w:pPr>
              <w:jc w:val="center"/>
              <w:rPr>
                <w:rFonts w:cstheme="majorBidi"/>
                <w:sz w:val="18"/>
                <w:szCs w:val="18"/>
              </w:rPr>
            </w:pPr>
            <w:r w:rsidRPr="0004264F">
              <w:rPr>
                <w:rFonts w:cstheme="majorBidi"/>
                <w:sz w:val="20"/>
                <w:szCs w:val="20"/>
              </w:rPr>
              <w:t>376</w:t>
            </w:r>
          </w:p>
        </w:tc>
        <w:tc>
          <w:tcPr>
            <w:tcW w:w="2286" w:type="dxa"/>
          </w:tcPr>
          <w:p w14:paraId="10714824" w14:textId="4AB5AA92" w:rsidR="00384FD5" w:rsidRPr="0004264F" w:rsidRDefault="00384FD5" w:rsidP="00384FD5">
            <w:pPr>
              <w:jc w:val="center"/>
              <w:rPr>
                <w:rFonts w:cstheme="majorBidi"/>
                <w:sz w:val="18"/>
                <w:szCs w:val="18"/>
              </w:rPr>
            </w:pPr>
            <w:r w:rsidRPr="0004264F">
              <w:rPr>
                <w:rFonts w:cstheme="majorBidi"/>
                <w:sz w:val="20"/>
                <w:szCs w:val="20"/>
              </w:rPr>
              <w:t>376</w:t>
            </w:r>
          </w:p>
        </w:tc>
      </w:tr>
      <w:tr w:rsidR="00384FD5" w:rsidRPr="0004264F" w14:paraId="3383CD91" w14:textId="77777777" w:rsidTr="00E26789">
        <w:trPr>
          <w:trHeight w:val="227"/>
          <w:jc w:val="center"/>
        </w:trPr>
        <w:tc>
          <w:tcPr>
            <w:tcW w:w="1262" w:type="dxa"/>
            <w:vAlign w:val="center"/>
          </w:tcPr>
          <w:p w14:paraId="659D3F64" w14:textId="0AD8EEFA" w:rsidR="00384FD5" w:rsidRPr="0004264F" w:rsidRDefault="00384FD5" w:rsidP="00384FD5">
            <w:pPr>
              <w:rPr>
                <w:rFonts w:cstheme="majorBidi"/>
                <w:sz w:val="18"/>
                <w:szCs w:val="18"/>
              </w:rPr>
            </w:pPr>
            <w:r w:rsidRPr="0004264F">
              <w:rPr>
                <w:rFonts w:cstheme="majorBidi"/>
                <w:sz w:val="18"/>
                <w:szCs w:val="18"/>
              </w:rPr>
              <w:t>R-squared</w:t>
            </w:r>
          </w:p>
        </w:tc>
        <w:tc>
          <w:tcPr>
            <w:tcW w:w="1542" w:type="dxa"/>
          </w:tcPr>
          <w:p w14:paraId="4A9219C4" w14:textId="365D918F" w:rsidR="00384FD5" w:rsidRPr="0004264F" w:rsidRDefault="00384FD5" w:rsidP="00384FD5">
            <w:pPr>
              <w:jc w:val="center"/>
              <w:rPr>
                <w:rFonts w:cstheme="majorBidi"/>
                <w:sz w:val="18"/>
                <w:szCs w:val="18"/>
              </w:rPr>
            </w:pPr>
            <w:r w:rsidRPr="0004264F">
              <w:rPr>
                <w:rFonts w:cstheme="majorBidi"/>
                <w:sz w:val="20"/>
                <w:szCs w:val="20"/>
              </w:rPr>
              <w:t>.31861</w:t>
            </w:r>
          </w:p>
        </w:tc>
        <w:tc>
          <w:tcPr>
            <w:tcW w:w="1542" w:type="dxa"/>
          </w:tcPr>
          <w:p w14:paraId="5C95CC7F" w14:textId="3EA5F1B7" w:rsidR="00384FD5" w:rsidRPr="0004264F" w:rsidRDefault="00384FD5" w:rsidP="00384FD5">
            <w:pPr>
              <w:jc w:val="center"/>
              <w:rPr>
                <w:rFonts w:cstheme="majorBidi"/>
                <w:sz w:val="18"/>
                <w:szCs w:val="18"/>
              </w:rPr>
            </w:pPr>
            <w:r w:rsidRPr="0004264F">
              <w:rPr>
                <w:rFonts w:cstheme="majorBidi"/>
                <w:sz w:val="20"/>
                <w:szCs w:val="20"/>
              </w:rPr>
              <w:t>.97957</w:t>
            </w:r>
          </w:p>
        </w:tc>
        <w:tc>
          <w:tcPr>
            <w:tcW w:w="1542" w:type="dxa"/>
          </w:tcPr>
          <w:p w14:paraId="79D316EC" w14:textId="04CC88EA" w:rsidR="00384FD5" w:rsidRPr="0004264F" w:rsidRDefault="00384FD5" w:rsidP="00384FD5">
            <w:pPr>
              <w:jc w:val="center"/>
              <w:rPr>
                <w:rFonts w:cstheme="majorBidi"/>
                <w:sz w:val="18"/>
                <w:szCs w:val="18"/>
              </w:rPr>
            </w:pPr>
            <w:r w:rsidRPr="0004264F">
              <w:rPr>
                <w:rFonts w:cstheme="majorBidi"/>
                <w:sz w:val="20"/>
                <w:szCs w:val="20"/>
              </w:rPr>
              <w:t>.99003</w:t>
            </w:r>
          </w:p>
        </w:tc>
        <w:tc>
          <w:tcPr>
            <w:tcW w:w="236" w:type="dxa"/>
          </w:tcPr>
          <w:p w14:paraId="3223666E" w14:textId="7B19A0A7" w:rsidR="00384FD5" w:rsidRPr="0004264F" w:rsidRDefault="00384FD5" w:rsidP="00384FD5">
            <w:pPr>
              <w:jc w:val="center"/>
              <w:rPr>
                <w:rFonts w:cstheme="majorBidi"/>
                <w:sz w:val="18"/>
                <w:szCs w:val="18"/>
              </w:rPr>
            </w:pPr>
          </w:p>
        </w:tc>
        <w:tc>
          <w:tcPr>
            <w:tcW w:w="2285" w:type="dxa"/>
          </w:tcPr>
          <w:p w14:paraId="0C33C068" w14:textId="7749EBF5" w:rsidR="00384FD5" w:rsidRPr="0004264F" w:rsidRDefault="00384FD5" w:rsidP="00384FD5">
            <w:pPr>
              <w:jc w:val="center"/>
              <w:rPr>
                <w:rFonts w:cstheme="majorBidi"/>
                <w:sz w:val="18"/>
                <w:szCs w:val="18"/>
              </w:rPr>
            </w:pPr>
            <w:r w:rsidRPr="0004264F">
              <w:rPr>
                <w:rFonts w:cstheme="majorBidi"/>
                <w:sz w:val="20"/>
                <w:szCs w:val="20"/>
              </w:rPr>
              <w:t>.50444</w:t>
            </w:r>
          </w:p>
        </w:tc>
        <w:tc>
          <w:tcPr>
            <w:tcW w:w="2286" w:type="dxa"/>
          </w:tcPr>
          <w:p w14:paraId="131D45D5" w14:textId="69EDFB3B" w:rsidR="00384FD5" w:rsidRPr="0004264F" w:rsidRDefault="00384FD5" w:rsidP="00384FD5">
            <w:pPr>
              <w:jc w:val="center"/>
              <w:rPr>
                <w:rFonts w:cstheme="majorBidi"/>
                <w:sz w:val="18"/>
                <w:szCs w:val="18"/>
              </w:rPr>
            </w:pPr>
            <w:r w:rsidRPr="0004264F">
              <w:rPr>
                <w:rFonts w:cstheme="majorBidi"/>
                <w:sz w:val="20"/>
                <w:szCs w:val="20"/>
              </w:rPr>
              <w:t>.96404</w:t>
            </w:r>
          </w:p>
        </w:tc>
        <w:tc>
          <w:tcPr>
            <w:tcW w:w="2286" w:type="dxa"/>
          </w:tcPr>
          <w:p w14:paraId="650CB4DF" w14:textId="69CBEF8E" w:rsidR="00384FD5" w:rsidRPr="0004264F" w:rsidRDefault="00384FD5" w:rsidP="00384FD5">
            <w:pPr>
              <w:jc w:val="center"/>
              <w:rPr>
                <w:rFonts w:cstheme="majorBidi"/>
                <w:sz w:val="18"/>
                <w:szCs w:val="18"/>
              </w:rPr>
            </w:pPr>
            <w:r w:rsidRPr="0004264F">
              <w:rPr>
                <w:rFonts w:cstheme="majorBidi"/>
                <w:sz w:val="20"/>
                <w:szCs w:val="20"/>
              </w:rPr>
              <w:t>.98016</w:t>
            </w:r>
          </w:p>
        </w:tc>
      </w:tr>
      <w:tr w:rsidR="00384FD5" w:rsidRPr="0004264F" w14:paraId="37D949AF" w14:textId="77777777" w:rsidTr="00E26789">
        <w:trPr>
          <w:trHeight w:val="227"/>
          <w:jc w:val="center"/>
        </w:trPr>
        <w:tc>
          <w:tcPr>
            <w:tcW w:w="1262" w:type="dxa"/>
            <w:vAlign w:val="center"/>
          </w:tcPr>
          <w:p w14:paraId="6272057F" w14:textId="3F54986E" w:rsidR="00384FD5" w:rsidRPr="0004264F" w:rsidRDefault="00384FD5" w:rsidP="00384FD5">
            <w:pPr>
              <w:rPr>
                <w:rFonts w:cstheme="majorBidi"/>
                <w:sz w:val="18"/>
                <w:szCs w:val="18"/>
              </w:rPr>
            </w:pPr>
            <w:r w:rsidRPr="0004264F">
              <w:rPr>
                <w:rFonts w:cstheme="majorBidi"/>
                <w:sz w:val="18"/>
                <w:szCs w:val="18"/>
              </w:rPr>
              <w:t>Mean DV</w:t>
            </w:r>
          </w:p>
        </w:tc>
        <w:tc>
          <w:tcPr>
            <w:tcW w:w="1542" w:type="dxa"/>
          </w:tcPr>
          <w:p w14:paraId="4E7308C1" w14:textId="4FB214B8" w:rsidR="00384FD5" w:rsidRPr="0004264F" w:rsidRDefault="00384FD5" w:rsidP="00384FD5">
            <w:pPr>
              <w:jc w:val="center"/>
              <w:rPr>
                <w:rFonts w:cstheme="majorBidi"/>
                <w:sz w:val="18"/>
                <w:szCs w:val="18"/>
              </w:rPr>
            </w:pPr>
            <w:r w:rsidRPr="0004264F">
              <w:rPr>
                <w:rFonts w:cstheme="majorBidi"/>
                <w:sz w:val="20"/>
                <w:szCs w:val="20"/>
              </w:rPr>
              <w:t>0.000</w:t>
            </w:r>
          </w:p>
        </w:tc>
        <w:tc>
          <w:tcPr>
            <w:tcW w:w="1542" w:type="dxa"/>
          </w:tcPr>
          <w:p w14:paraId="4B49C076" w14:textId="7DD1B387" w:rsidR="00384FD5" w:rsidRPr="0004264F" w:rsidRDefault="00384FD5" w:rsidP="00384FD5">
            <w:pPr>
              <w:jc w:val="center"/>
              <w:rPr>
                <w:rFonts w:cstheme="majorBidi"/>
                <w:sz w:val="18"/>
                <w:szCs w:val="18"/>
              </w:rPr>
            </w:pPr>
            <w:r w:rsidRPr="0004264F">
              <w:rPr>
                <w:rFonts w:cstheme="majorBidi"/>
                <w:sz w:val="20"/>
                <w:szCs w:val="20"/>
              </w:rPr>
              <w:t>0.000</w:t>
            </w:r>
          </w:p>
        </w:tc>
        <w:tc>
          <w:tcPr>
            <w:tcW w:w="1542" w:type="dxa"/>
          </w:tcPr>
          <w:p w14:paraId="67695B36" w14:textId="35AD25D1" w:rsidR="00384FD5" w:rsidRPr="0004264F" w:rsidRDefault="00384FD5" w:rsidP="00384FD5">
            <w:pPr>
              <w:jc w:val="center"/>
              <w:rPr>
                <w:rFonts w:cstheme="majorBidi"/>
                <w:sz w:val="18"/>
                <w:szCs w:val="18"/>
              </w:rPr>
            </w:pPr>
            <w:r w:rsidRPr="0004264F">
              <w:rPr>
                <w:rFonts w:cstheme="majorBidi"/>
                <w:sz w:val="20"/>
                <w:szCs w:val="20"/>
              </w:rPr>
              <w:t>-0.009</w:t>
            </w:r>
          </w:p>
        </w:tc>
        <w:tc>
          <w:tcPr>
            <w:tcW w:w="236" w:type="dxa"/>
          </w:tcPr>
          <w:p w14:paraId="4FDD197B" w14:textId="0B60F5F5" w:rsidR="00384FD5" w:rsidRPr="0004264F" w:rsidRDefault="00384FD5" w:rsidP="00384FD5">
            <w:pPr>
              <w:jc w:val="center"/>
              <w:rPr>
                <w:rFonts w:cstheme="majorBidi"/>
                <w:sz w:val="18"/>
                <w:szCs w:val="18"/>
              </w:rPr>
            </w:pPr>
          </w:p>
        </w:tc>
        <w:tc>
          <w:tcPr>
            <w:tcW w:w="2285" w:type="dxa"/>
          </w:tcPr>
          <w:p w14:paraId="2FA38583" w14:textId="0AEE3120" w:rsidR="00384FD5" w:rsidRPr="0004264F" w:rsidRDefault="00384FD5" w:rsidP="00384FD5">
            <w:pPr>
              <w:jc w:val="center"/>
              <w:rPr>
                <w:rFonts w:cstheme="majorBidi"/>
                <w:sz w:val="18"/>
                <w:szCs w:val="18"/>
              </w:rPr>
            </w:pPr>
            <w:r w:rsidRPr="0004264F">
              <w:rPr>
                <w:rFonts w:cstheme="majorBidi"/>
                <w:sz w:val="20"/>
                <w:szCs w:val="20"/>
              </w:rPr>
              <w:t>0.000</w:t>
            </w:r>
          </w:p>
        </w:tc>
        <w:tc>
          <w:tcPr>
            <w:tcW w:w="2286" w:type="dxa"/>
          </w:tcPr>
          <w:p w14:paraId="70276EFA" w14:textId="6EDF4ECC" w:rsidR="00384FD5" w:rsidRPr="0004264F" w:rsidRDefault="00384FD5" w:rsidP="00384FD5">
            <w:pPr>
              <w:jc w:val="center"/>
              <w:rPr>
                <w:rFonts w:cstheme="majorBidi"/>
                <w:sz w:val="18"/>
                <w:szCs w:val="18"/>
              </w:rPr>
            </w:pPr>
            <w:r w:rsidRPr="0004264F">
              <w:rPr>
                <w:rFonts w:cstheme="majorBidi"/>
                <w:sz w:val="20"/>
                <w:szCs w:val="20"/>
              </w:rPr>
              <w:t>0.000</w:t>
            </w:r>
          </w:p>
        </w:tc>
        <w:tc>
          <w:tcPr>
            <w:tcW w:w="2286" w:type="dxa"/>
          </w:tcPr>
          <w:p w14:paraId="33D97138" w14:textId="07DECE77" w:rsidR="00384FD5" w:rsidRPr="0004264F" w:rsidRDefault="00384FD5" w:rsidP="00384FD5">
            <w:pPr>
              <w:jc w:val="center"/>
              <w:rPr>
                <w:rFonts w:cstheme="majorBidi"/>
                <w:sz w:val="18"/>
                <w:szCs w:val="18"/>
              </w:rPr>
            </w:pPr>
            <w:r w:rsidRPr="0004264F">
              <w:rPr>
                <w:rFonts w:cstheme="majorBidi"/>
                <w:sz w:val="20"/>
                <w:szCs w:val="20"/>
              </w:rPr>
              <w:t>0.000</w:t>
            </w:r>
          </w:p>
        </w:tc>
      </w:tr>
      <w:tr w:rsidR="00E26789" w:rsidRPr="0004264F" w14:paraId="560C7CFA" w14:textId="77777777" w:rsidTr="00E26789">
        <w:trPr>
          <w:trHeight w:val="212"/>
          <w:jc w:val="center"/>
        </w:trPr>
        <w:tc>
          <w:tcPr>
            <w:tcW w:w="1262" w:type="dxa"/>
            <w:tcBorders>
              <w:top w:val="single" w:sz="4" w:space="0" w:color="auto"/>
            </w:tcBorders>
            <w:vAlign w:val="center"/>
          </w:tcPr>
          <w:p w14:paraId="0C79D828" w14:textId="556496B7" w:rsidR="00D37C69" w:rsidRPr="0004264F" w:rsidRDefault="00D37C69" w:rsidP="00D37C69">
            <w:pPr>
              <w:rPr>
                <w:rFonts w:cstheme="majorBidi"/>
                <w:sz w:val="18"/>
                <w:szCs w:val="18"/>
              </w:rPr>
            </w:pPr>
            <w:r w:rsidRPr="0004264F">
              <w:rPr>
                <w:rFonts w:cstheme="majorBidi"/>
                <w:sz w:val="18"/>
                <w:szCs w:val="18"/>
              </w:rPr>
              <w:t>County FE</w:t>
            </w:r>
          </w:p>
        </w:tc>
        <w:tc>
          <w:tcPr>
            <w:tcW w:w="1542" w:type="dxa"/>
            <w:tcBorders>
              <w:top w:val="single" w:sz="4" w:space="0" w:color="auto"/>
            </w:tcBorders>
            <w:vAlign w:val="center"/>
          </w:tcPr>
          <w:p w14:paraId="4E9337A2" w14:textId="4E908E3A" w:rsidR="00D37C69" w:rsidRPr="0004264F" w:rsidRDefault="00D37C69" w:rsidP="00D37C69">
            <w:pPr>
              <w:jc w:val="center"/>
              <w:rPr>
                <w:rFonts w:cstheme="majorBidi"/>
                <w:sz w:val="18"/>
                <w:szCs w:val="18"/>
              </w:rPr>
            </w:pPr>
          </w:p>
        </w:tc>
        <w:tc>
          <w:tcPr>
            <w:tcW w:w="1542" w:type="dxa"/>
            <w:tcBorders>
              <w:top w:val="single" w:sz="4" w:space="0" w:color="auto"/>
            </w:tcBorders>
            <w:vAlign w:val="center"/>
          </w:tcPr>
          <w:p w14:paraId="39661C4C" w14:textId="1AAD35F7" w:rsidR="00D37C69" w:rsidRPr="0004264F" w:rsidRDefault="00F26D5E" w:rsidP="00D37C69">
            <w:pPr>
              <w:jc w:val="center"/>
              <w:rPr>
                <w:rFonts w:cstheme="majorBidi"/>
                <w:sz w:val="18"/>
                <w:szCs w:val="18"/>
              </w:rPr>
            </w:pPr>
            <w:r w:rsidRPr="0004264F">
              <w:rPr>
                <w:rFonts w:cstheme="majorBidi"/>
                <w:sz w:val="18"/>
                <w:szCs w:val="18"/>
              </w:rPr>
              <w:sym w:font="Wingdings" w:char="F0FC"/>
            </w:r>
          </w:p>
        </w:tc>
        <w:tc>
          <w:tcPr>
            <w:tcW w:w="1542" w:type="dxa"/>
            <w:tcBorders>
              <w:top w:val="single" w:sz="4" w:space="0" w:color="auto"/>
            </w:tcBorders>
            <w:vAlign w:val="center"/>
          </w:tcPr>
          <w:p w14:paraId="1D585811" w14:textId="01FC17FB" w:rsidR="00D37C69" w:rsidRPr="0004264F" w:rsidRDefault="00F26D5E" w:rsidP="00D37C69">
            <w:pPr>
              <w:jc w:val="center"/>
              <w:rPr>
                <w:rFonts w:cstheme="majorBidi"/>
                <w:sz w:val="18"/>
                <w:szCs w:val="18"/>
              </w:rPr>
            </w:pPr>
            <w:r w:rsidRPr="0004264F">
              <w:rPr>
                <w:rFonts w:cstheme="majorBidi"/>
                <w:sz w:val="18"/>
                <w:szCs w:val="18"/>
              </w:rPr>
              <w:sym w:font="Wingdings" w:char="F0FC"/>
            </w:r>
          </w:p>
        </w:tc>
        <w:tc>
          <w:tcPr>
            <w:tcW w:w="236" w:type="dxa"/>
            <w:tcBorders>
              <w:top w:val="single" w:sz="4" w:space="0" w:color="auto"/>
            </w:tcBorders>
            <w:vAlign w:val="center"/>
          </w:tcPr>
          <w:p w14:paraId="61375073" w14:textId="77777777" w:rsidR="00D37C69" w:rsidRPr="0004264F" w:rsidRDefault="00D37C69" w:rsidP="00D37C69">
            <w:pPr>
              <w:jc w:val="center"/>
              <w:rPr>
                <w:rFonts w:cstheme="majorBidi"/>
                <w:sz w:val="18"/>
                <w:szCs w:val="18"/>
              </w:rPr>
            </w:pPr>
          </w:p>
        </w:tc>
        <w:tc>
          <w:tcPr>
            <w:tcW w:w="2285" w:type="dxa"/>
            <w:tcBorders>
              <w:top w:val="single" w:sz="4" w:space="0" w:color="auto"/>
            </w:tcBorders>
            <w:vAlign w:val="center"/>
          </w:tcPr>
          <w:p w14:paraId="04B40AF8" w14:textId="3F30A418" w:rsidR="00D37C69" w:rsidRPr="0004264F" w:rsidRDefault="00D37C69" w:rsidP="00D37C69">
            <w:pPr>
              <w:jc w:val="center"/>
              <w:rPr>
                <w:rFonts w:cstheme="majorBidi"/>
                <w:sz w:val="18"/>
                <w:szCs w:val="18"/>
              </w:rPr>
            </w:pPr>
          </w:p>
        </w:tc>
        <w:tc>
          <w:tcPr>
            <w:tcW w:w="2286" w:type="dxa"/>
            <w:tcBorders>
              <w:top w:val="single" w:sz="4" w:space="0" w:color="auto"/>
            </w:tcBorders>
            <w:vAlign w:val="center"/>
          </w:tcPr>
          <w:p w14:paraId="22164889" w14:textId="4813F121" w:rsidR="00D37C69" w:rsidRPr="0004264F" w:rsidRDefault="00D37C69" w:rsidP="00D37C69">
            <w:pPr>
              <w:jc w:val="center"/>
              <w:rPr>
                <w:rFonts w:cstheme="majorBidi"/>
                <w:sz w:val="18"/>
                <w:szCs w:val="18"/>
              </w:rPr>
            </w:pPr>
          </w:p>
        </w:tc>
        <w:tc>
          <w:tcPr>
            <w:tcW w:w="2286" w:type="dxa"/>
            <w:tcBorders>
              <w:top w:val="single" w:sz="4" w:space="0" w:color="auto"/>
            </w:tcBorders>
            <w:vAlign w:val="center"/>
          </w:tcPr>
          <w:p w14:paraId="4BE973CE" w14:textId="4016699D" w:rsidR="00D37C69" w:rsidRPr="0004264F" w:rsidRDefault="00D37C69" w:rsidP="00D37C69">
            <w:pPr>
              <w:jc w:val="center"/>
              <w:rPr>
                <w:rFonts w:cstheme="majorBidi"/>
                <w:sz w:val="18"/>
                <w:szCs w:val="18"/>
              </w:rPr>
            </w:pPr>
          </w:p>
        </w:tc>
      </w:tr>
      <w:tr w:rsidR="00F26D5E" w:rsidRPr="0004264F" w14:paraId="41AE781B" w14:textId="77777777" w:rsidTr="00E26789">
        <w:trPr>
          <w:trHeight w:val="227"/>
          <w:jc w:val="center"/>
        </w:trPr>
        <w:tc>
          <w:tcPr>
            <w:tcW w:w="1262" w:type="dxa"/>
            <w:vAlign w:val="center"/>
          </w:tcPr>
          <w:p w14:paraId="3823662D" w14:textId="0EF6D854" w:rsidR="00F26D5E" w:rsidRPr="0004264F" w:rsidRDefault="00F26D5E" w:rsidP="00F26D5E">
            <w:pPr>
              <w:rPr>
                <w:rFonts w:cstheme="majorBidi"/>
                <w:sz w:val="18"/>
                <w:szCs w:val="18"/>
              </w:rPr>
            </w:pPr>
            <w:r w:rsidRPr="0004264F">
              <w:rPr>
                <w:rFonts w:cstheme="majorBidi"/>
                <w:sz w:val="18"/>
                <w:szCs w:val="18"/>
              </w:rPr>
              <w:t>State FE</w:t>
            </w:r>
          </w:p>
        </w:tc>
        <w:tc>
          <w:tcPr>
            <w:tcW w:w="1542" w:type="dxa"/>
            <w:vAlign w:val="center"/>
          </w:tcPr>
          <w:p w14:paraId="64CEA462" w14:textId="36DE71B8" w:rsidR="00F26D5E" w:rsidRPr="0004264F" w:rsidRDefault="00F26D5E" w:rsidP="00F26D5E">
            <w:pPr>
              <w:jc w:val="center"/>
              <w:rPr>
                <w:rFonts w:cstheme="majorBidi"/>
                <w:sz w:val="18"/>
                <w:szCs w:val="18"/>
              </w:rPr>
            </w:pPr>
          </w:p>
        </w:tc>
        <w:tc>
          <w:tcPr>
            <w:tcW w:w="1542" w:type="dxa"/>
            <w:vAlign w:val="center"/>
          </w:tcPr>
          <w:p w14:paraId="4113A0A4" w14:textId="0EBD76D7" w:rsidR="00F26D5E" w:rsidRPr="0004264F" w:rsidRDefault="00F26D5E" w:rsidP="00F26D5E">
            <w:pPr>
              <w:jc w:val="center"/>
              <w:rPr>
                <w:rFonts w:cstheme="majorBidi"/>
                <w:sz w:val="18"/>
                <w:szCs w:val="18"/>
              </w:rPr>
            </w:pPr>
          </w:p>
        </w:tc>
        <w:tc>
          <w:tcPr>
            <w:tcW w:w="1542" w:type="dxa"/>
            <w:vAlign w:val="center"/>
          </w:tcPr>
          <w:p w14:paraId="29069AAE" w14:textId="1584C52A" w:rsidR="00F26D5E" w:rsidRPr="0004264F" w:rsidRDefault="00F26D5E" w:rsidP="00F26D5E">
            <w:pPr>
              <w:jc w:val="center"/>
              <w:rPr>
                <w:rFonts w:cstheme="majorBidi"/>
                <w:sz w:val="18"/>
                <w:szCs w:val="18"/>
              </w:rPr>
            </w:pPr>
          </w:p>
        </w:tc>
        <w:tc>
          <w:tcPr>
            <w:tcW w:w="236" w:type="dxa"/>
            <w:vAlign w:val="center"/>
          </w:tcPr>
          <w:p w14:paraId="7D68DCA6" w14:textId="77777777" w:rsidR="00F26D5E" w:rsidRPr="0004264F" w:rsidRDefault="00F26D5E" w:rsidP="00F26D5E">
            <w:pPr>
              <w:jc w:val="center"/>
              <w:rPr>
                <w:rFonts w:cstheme="majorBidi"/>
                <w:sz w:val="18"/>
                <w:szCs w:val="18"/>
              </w:rPr>
            </w:pPr>
          </w:p>
        </w:tc>
        <w:tc>
          <w:tcPr>
            <w:tcW w:w="2285" w:type="dxa"/>
            <w:vAlign w:val="center"/>
          </w:tcPr>
          <w:p w14:paraId="76449047" w14:textId="218C926F" w:rsidR="00F26D5E" w:rsidRPr="0004264F" w:rsidRDefault="00F26D5E" w:rsidP="00F26D5E">
            <w:pPr>
              <w:jc w:val="center"/>
              <w:rPr>
                <w:rFonts w:cstheme="majorBidi"/>
                <w:sz w:val="18"/>
                <w:szCs w:val="18"/>
              </w:rPr>
            </w:pPr>
          </w:p>
        </w:tc>
        <w:tc>
          <w:tcPr>
            <w:tcW w:w="2286" w:type="dxa"/>
          </w:tcPr>
          <w:p w14:paraId="3AE5CB89" w14:textId="28DA6C51" w:rsidR="00F26D5E" w:rsidRPr="0004264F" w:rsidRDefault="00F26D5E" w:rsidP="00F26D5E">
            <w:pPr>
              <w:jc w:val="center"/>
              <w:rPr>
                <w:rFonts w:cstheme="majorBidi"/>
                <w:sz w:val="18"/>
                <w:szCs w:val="18"/>
              </w:rPr>
            </w:pPr>
            <w:r w:rsidRPr="0004264F">
              <w:rPr>
                <w:rFonts w:cstheme="majorBidi"/>
                <w:sz w:val="18"/>
                <w:szCs w:val="18"/>
              </w:rPr>
              <w:sym w:font="Wingdings" w:char="F0FC"/>
            </w:r>
          </w:p>
        </w:tc>
        <w:tc>
          <w:tcPr>
            <w:tcW w:w="2286" w:type="dxa"/>
          </w:tcPr>
          <w:p w14:paraId="1CBE0ABB" w14:textId="5E7A178C" w:rsidR="00F26D5E" w:rsidRPr="0004264F" w:rsidRDefault="00F26D5E" w:rsidP="00F26D5E">
            <w:pPr>
              <w:jc w:val="center"/>
              <w:rPr>
                <w:rFonts w:cstheme="majorBidi"/>
                <w:sz w:val="18"/>
                <w:szCs w:val="18"/>
              </w:rPr>
            </w:pPr>
            <w:r w:rsidRPr="0004264F">
              <w:rPr>
                <w:rFonts w:cstheme="majorBidi"/>
                <w:sz w:val="18"/>
                <w:szCs w:val="18"/>
              </w:rPr>
              <w:sym w:font="Wingdings" w:char="F0FC"/>
            </w:r>
          </w:p>
        </w:tc>
      </w:tr>
      <w:tr w:rsidR="00F26D5E" w:rsidRPr="0004264F" w14:paraId="5D66C991" w14:textId="77777777" w:rsidTr="00E26789">
        <w:trPr>
          <w:trHeight w:val="227"/>
          <w:jc w:val="center"/>
        </w:trPr>
        <w:tc>
          <w:tcPr>
            <w:tcW w:w="1262" w:type="dxa"/>
            <w:vAlign w:val="center"/>
          </w:tcPr>
          <w:p w14:paraId="5D428B48" w14:textId="2ED5CCEF" w:rsidR="00F26D5E" w:rsidRPr="0004264F" w:rsidRDefault="00F26D5E" w:rsidP="00F26D5E">
            <w:pPr>
              <w:rPr>
                <w:rFonts w:cstheme="majorBidi"/>
                <w:sz w:val="18"/>
                <w:szCs w:val="18"/>
              </w:rPr>
            </w:pPr>
            <w:r w:rsidRPr="0004264F">
              <w:rPr>
                <w:rFonts w:cstheme="majorBidi"/>
                <w:sz w:val="18"/>
                <w:szCs w:val="18"/>
              </w:rPr>
              <w:t>Year FE</w:t>
            </w:r>
          </w:p>
        </w:tc>
        <w:tc>
          <w:tcPr>
            <w:tcW w:w="1542" w:type="dxa"/>
            <w:vAlign w:val="center"/>
          </w:tcPr>
          <w:p w14:paraId="209B5D94" w14:textId="0CE63193" w:rsidR="00F26D5E" w:rsidRPr="0004264F" w:rsidRDefault="00F26D5E" w:rsidP="00F26D5E">
            <w:pPr>
              <w:jc w:val="center"/>
              <w:rPr>
                <w:rFonts w:cstheme="majorBidi"/>
                <w:sz w:val="18"/>
                <w:szCs w:val="18"/>
              </w:rPr>
            </w:pPr>
          </w:p>
        </w:tc>
        <w:tc>
          <w:tcPr>
            <w:tcW w:w="1542" w:type="dxa"/>
            <w:vAlign w:val="center"/>
          </w:tcPr>
          <w:p w14:paraId="5CE64370" w14:textId="76089477" w:rsidR="00F26D5E" w:rsidRPr="0004264F" w:rsidRDefault="00F26D5E" w:rsidP="00F26D5E">
            <w:pPr>
              <w:jc w:val="center"/>
              <w:rPr>
                <w:rFonts w:cstheme="majorBidi"/>
                <w:sz w:val="18"/>
                <w:szCs w:val="18"/>
              </w:rPr>
            </w:pPr>
            <w:r w:rsidRPr="0004264F">
              <w:rPr>
                <w:rFonts w:cstheme="majorBidi"/>
                <w:sz w:val="18"/>
                <w:szCs w:val="18"/>
              </w:rPr>
              <w:sym w:font="Wingdings" w:char="F0FC"/>
            </w:r>
          </w:p>
        </w:tc>
        <w:tc>
          <w:tcPr>
            <w:tcW w:w="1542" w:type="dxa"/>
          </w:tcPr>
          <w:p w14:paraId="08B60A50" w14:textId="42347EAF" w:rsidR="00F26D5E" w:rsidRPr="0004264F" w:rsidRDefault="00F26D5E" w:rsidP="00F26D5E">
            <w:pPr>
              <w:jc w:val="center"/>
              <w:rPr>
                <w:rFonts w:cstheme="majorBidi"/>
                <w:sz w:val="18"/>
                <w:szCs w:val="18"/>
              </w:rPr>
            </w:pPr>
            <w:r w:rsidRPr="0004264F">
              <w:rPr>
                <w:rFonts w:cstheme="majorBidi"/>
                <w:sz w:val="18"/>
                <w:szCs w:val="18"/>
              </w:rPr>
              <w:sym w:font="Wingdings" w:char="F0FC"/>
            </w:r>
          </w:p>
        </w:tc>
        <w:tc>
          <w:tcPr>
            <w:tcW w:w="236" w:type="dxa"/>
            <w:vAlign w:val="center"/>
          </w:tcPr>
          <w:p w14:paraId="4AB664BF" w14:textId="77777777" w:rsidR="00F26D5E" w:rsidRPr="0004264F" w:rsidRDefault="00F26D5E" w:rsidP="00F26D5E">
            <w:pPr>
              <w:jc w:val="center"/>
              <w:rPr>
                <w:rFonts w:cstheme="majorBidi"/>
                <w:sz w:val="18"/>
                <w:szCs w:val="18"/>
              </w:rPr>
            </w:pPr>
          </w:p>
        </w:tc>
        <w:tc>
          <w:tcPr>
            <w:tcW w:w="2285" w:type="dxa"/>
            <w:vAlign w:val="center"/>
          </w:tcPr>
          <w:p w14:paraId="5C1DF20B" w14:textId="72ECD750" w:rsidR="00F26D5E" w:rsidRPr="0004264F" w:rsidRDefault="00F26D5E" w:rsidP="00F26D5E">
            <w:pPr>
              <w:jc w:val="center"/>
              <w:rPr>
                <w:rFonts w:cstheme="majorBidi"/>
                <w:sz w:val="18"/>
                <w:szCs w:val="18"/>
              </w:rPr>
            </w:pPr>
          </w:p>
        </w:tc>
        <w:tc>
          <w:tcPr>
            <w:tcW w:w="2286" w:type="dxa"/>
          </w:tcPr>
          <w:p w14:paraId="5243CA61" w14:textId="030D0CCE" w:rsidR="00F26D5E" w:rsidRPr="0004264F" w:rsidRDefault="00F26D5E" w:rsidP="00F26D5E">
            <w:pPr>
              <w:jc w:val="center"/>
              <w:rPr>
                <w:rFonts w:cstheme="majorBidi"/>
                <w:sz w:val="18"/>
                <w:szCs w:val="18"/>
              </w:rPr>
            </w:pPr>
            <w:r w:rsidRPr="0004264F">
              <w:rPr>
                <w:rFonts w:cstheme="majorBidi"/>
                <w:sz w:val="18"/>
                <w:szCs w:val="18"/>
              </w:rPr>
              <w:sym w:font="Wingdings" w:char="F0FC"/>
            </w:r>
          </w:p>
        </w:tc>
        <w:tc>
          <w:tcPr>
            <w:tcW w:w="2286" w:type="dxa"/>
          </w:tcPr>
          <w:p w14:paraId="0DB7C0A9" w14:textId="26B0EE50" w:rsidR="00F26D5E" w:rsidRPr="0004264F" w:rsidRDefault="00F26D5E" w:rsidP="00F26D5E">
            <w:pPr>
              <w:jc w:val="center"/>
              <w:rPr>
                <w:rFonts w:cstheme="majorBidi"/>
                <w:sz w:val="18"/>
                <w:szCs w:val="18"/>
              </w:rPr>
            </w:pPr>
            <w:r w:rsidRPr="0004264F">
              <w:rPr>
                <w:rFonts w:cstheme="majorBidi"/>
                <w:sz w:val="18"/>
                <w:szCs w:val="18"/>
              </w:rPr>
              <w:sym w:font="Wingdings" w:char="F0FC"/>
            </w:r>
          </w:p>
        </w:tc>
      </w:tr>
      <w:tr w:rsidR="00F26D5E" w:rsidRPr="0004264F" w14:paraId="6F719FEE" w14:textId="77777777" w:rsidTr="00E26789">
        <w:trPr>
          <w:trHeight w:val="439"/>
          <w:jc w:val="center"/>
        </w:trPr>
        <w:tc>
          <w:tcPr>
            <w:tcW w:w="1262" w:type="dxa"/>
            <w:vAlign w:val="center"/>
          </w:tcPr>
          <w:p w14:paraId="4B4FA607" w14:textId="6CB344BC" w:rsidR="00F26D5E" w:rsidRPr="0004264F" w:rsidRDefault="00F26D5E" w:rsidP="00F26D5E">
            <w:pPr>
              <w:rPr>
                <w:rFonts w:cstheme="majorBidi"/>
                <w:sz w:val="18"/>
                <w:szCs w:val="18"/>
              </w:rPr>
            </w:pPr>
            <w:r w:rsidRPr="0004264F">
              <w:rPr>
                <w:rFonts w:cstheme="majorBidi"/>
                <w:sz w:val="18"/>
                <w:szCs w:val="18"/>
              </w:rPr>
              <w:t>SEA-by-Year FE</w:t>
            </w:r>
          </w:p>
        </w:tc>
        <w:tc>
          <w:tcPr>
            <w:tcW w:w="1542" w:type="dxa"/>
            <w:vAlign w:val="center"/>
          </w:tcPr>
          <w:p w14:paraId="582E1744" w14:textId="3460D0B1" w:rsidR="00F26D5E" w:rsidRPr="0004264F" w:rsidRDefault="00F26D5E" w:rsidP="00F26D5E">
            <w:pPr>
              <w:jc w:val="center"/>
              <w:rPr>
                <w:rFonts w:cstheme="majorBidi"/>
                <w:sz w:val="18"/>
                <w:szCs w:val="18"/>
              </w:rPr>
            </w:pPr>
          </w:p>
        </w:tc>
        <w:tc>
          <w:tcPr>
            <w:tcW w:w="1542" w:type="dxa"/>
            <w:vAlign w:val="center"/>
          </w:tcPr>
          <w:p w14:paraId="49A13907" w14:textId="0132DB77" w:rsidR="00F26D5E" w:rsidRPr="0004264F" w:rsidRDefault="00F26D5E" w:rsidP="00F26D5E">
            <w:pPr>
              <w:jc w:val="center"/>
              <w:rPr>
                <w:rFonts w:cstheme="majorBidi"/>
                <w:sz w:val="18"/>
                <w:szCs w:val="18"/>
              </w:rPr>
            </w:pPr>
          </w:p>
        </w:tc>
        <w:tc>
          <w:tcPr>
            <w:tcW w:w="1542" w:type="dxa"/>
          </w:tcPr>
          <w:p w14:paraId="49159D41" w14:textId="171A0A72" w:rsidR="00F26D5E" w:rsidRPr="0004264F" w:rsidRDefault="00F26D5E" w:rsidP="00F26D5E">
            <w:pPr>
              <w:jc w:val="center"/>
              <w:rPr>
                <w:rFonts w:cstheme="majorBidi"/>
                <w:sz w:val="18"/>
                <w:szCs w:val="18"/>
              </w:rPr>
            </w:pPr>
            <w:r w:rsidRPr="0004264F">
              <w:rPr>
                <w:rFonts w:cstheme="majorBidi"/>
                <w:sz w:val="18"/>
                <w:szCs w:val="18"/>
              </w:rPr>
              <w:sym w:font="Wingdings" w:char="F0FC"/>
            </w:r>
          </w:p>
        </w:tc>
        <w:tc>
          <w:tcPr>
            <w:tcW w:w="236" w:type="dxa"/>
            <w:vAlign w:val="center"/>
          </w:tcPr>
          <w:p w14:paraId="5D3EAD0A" w14:textId="77777777" w:rsidR="00F26D5E" w:rsidRPr="0004264F" w:rsidRDefault="00F26D5E" w:rsidP="00F26D5E">
            <w:pPr>
              <w:jc w:val="center"/>
              <w:rPr>
                <w:rFonts w:cstheme="majorBidi"/>
                <w:sz w:val="18"/>
                <w:szCs w:val="18"/>
              </w:rPr>
            </w:pPr>
          </w:p>
        </w:tc>
        <w:tc>
          <w:tcPr>
            <w:tcW w:w="2285" w:type="dxa"/>
            <w:vAlign w:val="center"/>
          </w:tcPr>
          <w:p w14:paraId="133BAB22" w14:textId="5D0F8351" w:rsidR="00F26D5E" w:rsidRPr="0004264F" w:rsidRDefault="00F26D5E" w:rsidP="00F26D5E">
            <w:pPr>
              <w:jc w:val="center"/>
              <w:rPr>
                <w:rFonts w:cstheme="majorBidi"/>
                <w:sz w:val="18"/>
                <w:szCs w:val="18"/>
              </w:rPr>
            </w:pPr>
          </w:p>
        </w:tc>
        <w:tc>
          <w:tcPr>
            <w:tcW w:w="2286" w:type="dxa"/>
            <w:vAlign w:val="center"/>
          </w:tcPr>
          <w:p w14:paraId="48813E16" w14:textId="372D9FD8" w:rsidR="00F26D5E" w:rsidRPr="0004264F" w:rsidRDefault="00F26D5E" w:rsidP="00F26D5E">
            <w:pPr>
              <w:jc w:val="center"/>
              <w:rPr>
                <w:rFonts w:cstheme="majorBidi"/>
                <w:sz w:val="18"/>
                <w:szCs w:val="18"/>
              </w:rPr>
            </w:pPr>
          </w:p>
        </w:tc>
        <w:tc>
          <w:tcPr>
            <w:tcW w:w="2286" w:type="dxa"/>
            <w:vAlign w:val="center"/>
          </w:tcPr>
          <w:p w14:paraId="2137A996" w14:textId="6C59E25B" w:rsidR="00F26D5E" w:rsidRPr="0004264F" w:rsidRDefault="00F26D5E" w:rsidP="00F26D5E">
            <w:pPr>
              <w:jc w:val="center"/>
              <w:rPr>
                <w:rFonts w:cstheme="majorBidi"/>
                <w:sz w:val="18"/>
                <w:szCs w:val="18"/>
              </w:rPr>
            </w:pPr>
          </w:p>
        </w:tc>
      </w:tr>
      <w:tr w:rsidR="00E26789" w:rsidRPr="0004264F" w14:paraId="473AB9B9" w14:textId="77777777" w:rsidTr="00E26789">
        <w:trPr>
          <w:trHeight w:val="439"/>
          <w:jc w:val="center"/>
        </w:trPr>
        <w:tc>
          <w:tcPr>
            <w:tcW w:w="1262" w:type="dxa"/>
            <w:tcBorders>
              <w:bottom w:val="single" w:sz="4" w:space="0" w:color="auto"/>
            </w:tcBorders>
            <w:vAlign w:val="center"/>
          </w:tcPr>
          <w:p w14:paraId="75114F64" w14:textId="028CC758" w:rsidR="00D37C69" w:rsidRPr="0004264F" w:rsidRDefault="00D37C69" w:rsidP="00D37C69">
            <w:pPr>
              <w:rPr>
                <w:rFonts w:cstheme="majorBidi"/>
                <w:sz w:val="18"/>
                <w:szCs w:val="18"/>
              </w:rPr>
            </w:pPr>
            <w:r w:rsidRPr="0004264F">
              <w:rPr>
                <w:rFonts w:cstheme="majorBidi"/>
                <w:sz w:val="18"/>
                <w:szCs w:val="18"/>
              </w:rPr>
              <w:t>Region-by-Year FE</w:t>
            </w:r>
          </w:p>
        </w:tc>
        <w:tc>
          <w:tcPr>
            <w:tcW w:w="1542" w:type="dxa"/>
            <w:tcBorders>
              <w:bottom w:val="single" w:sz="4" w:space="0" w:color="auto"/>
            </w:tcBorders>
            <w:vAlign w:val="center"/>
          </w:tcPr>
          <w:p w14:paraId="4DEA4BD8" w14:textId="4F4DA270" w:rsidR="00D37C69" w:rsidRPr="0004264F" w:rsidRDefault="00D37C69" w:rsidP="00D37C69">
            <w:pPr>
              <w:jc w:val="center"/>
              <w:rPr>
                <w:rFonts w:cstheme="majorBidi"/>
                <w:sz w:val="18"/>
                <w:szCs w:val="18"/>
              </w:rPr>
            </w:pPr>
          </w:p>
        </w:tc>
        <w:tc>
          <w:tcPr>
            <w:tcW w:w="1542" w:type="dxa"/>
            <w:tcBorders>
              <w:bottom w:val="single" w:sz="4" w:space="0" w:color="auto"/>
            </w:tcBorders>
            <w:vAlign w:val="center"/>
          </w:tcPr>
          <w:p w14:paraId="341F98C1" w14:textId="705D7362" w:rsidR="00D37C69" w:rsidRPr="0004264F" w:rsidRDefault="00D37C69" w:rsidP="00D37C69">
            <w:pPr>
              <w:jc w:val="center"/>
              <w:rPr>
                <w:rFonts w:cstheme="majorBidi"/>
                <w:sz w:val="18"/>
                <w:szCs w:val="18"/>
              </w:rPr>
            </w:pPr>
          </w:p>
        </w:tc>
        <w:tc>
          <w:tcPr>
            <w:tcW w:w="1542" w:type="dxa"/>
            <w:tcBorders>
              <w:bottom w:val="single" w:sz="4" w:space="0" w:color="auto"/>
            </w:tcBorders>
            <w:vAlign w:val="center"/>
          </w:tcPr>
          <w:p w14:paraId="3B33ED78" w14:textId="4C20687E" w:rsidR="00D37C69" w:rsidRPr="0004264F" w:rsidRDefault="00D37C69" w:rsidP="00D37C69">
            <w:pPr>
              <w:jc w:val="center"/>
              <w:rPr>
                <w:rFonts w:cstheme="majorBidi"/>
                <w:sz w:val="18"/>
                <w:szCs w:val="18"/>
              </w:rPr>
            </w:pPr>
          </w:p>
        </w:tc>
        <w:tc>
          <w:tcPr>
            <w:tcW w:w="236" w:type="dxa"/>
            <w:tcBorders>
              <w:bottom w:val="single" w:sz="4" w:space="0" w:color="auto"/>
            </w:tcBorders>
            <w:vAlign w:val="center"/>
          </w:tcPr>
          <w:p w14:paraId="5229E7C3" w14:textId="77777777" w:rsidR="00D37C69" w:rsidRPr="0004264F" w:rsidRDefault="00D37C69" w:rsidP="00D37C69">
            <w:pPr>
              <w:jc w:val="center"/>
              <w:rPr>
                <w:rFonts w:cstheme="majorBidi"/>
                <w:sz w:val="18"/>
                <w:szCs w:val="18"/>
              </w:rPr>
            </w:pPr>
          </w:p>
        </w:tc>
        <w:tc>
          <w:tcPr>
            <w:tcW w:w="2285" w:type="dxa"/>
            <w:tcBorders>
              <w:bottom w:val="single" w:sz="4" w:space="0" w:color="auto"/>
            </w:tcBorders>
            <w:vAlign w:val="center"/>
          </w:tcPr>
          <w:p w14:paraId="5244E885" w14:textId="12558736" w:rsidR="00D37C69" w:rsidRPr="0004264F" w:rsidRDefault="00D37C69" w:rsidP="00D37C69">
            <w:pPr>
              <w:jc w:val="center"/>
              <w:rPr>
                <w:rFonts w:cstheme="majorBidi"/>
                <w:sz w:val="18"/>
                <w:szCs w:val="18"/>
              </w:rPr>
            </w:pPr>
          </w:p>
        </w:tc>
        <w:tc>
          <w:tcPr>
            <w:tcW w:w="2286" w:type="dxa"/>
            <w:tcBorders>
              <w:bottom w:val="single" w:sz="4" w:space="0" w:color="auto"/>
            </w:tcBorders>
            <w:vAlign w:val="center"/>
          </w:tcPr>
          <w:p w14:paraId="2CAD1582" w14:textId="7630E97F" w:rsidR="00D37C69" w:rsidRPr="0004264F" w:rsidRDefault="00D37C69" w:rsidP="00D37C69">
            <w:pPr>
              <w:jc w:val="center"/>
              <w:rPr>
                <w:rFonts w:cstheme="majorBidi"/>
                <w:sz w:val="18"/>
                <w:szCs w:val="18"/>
              </w:rPr>
            </w:pPr>
          </w:p>
        </w:tc>
        <w:tc>
          <w:tcPr>
            <w:tcW w:w="2286" w:type="dxa"/>
            <w:tcBorders>
              <w:bottom w:val="single" w:sz="4" w:space="0" w:color="auto"/>
            </w:tcBorders>
            <w:vAlign w:val="center"/>
          </w:tcPr>
          <w:p w14:paraId="071EE4C3" w14:textId="4D7AA6E5" w:rsidR="00D37C69" w:rsidRPr="0004264F" w:rsidRDefault="00F26D5E" w:rsidP="00D37C69">
            <w:pPr>
              <w:jc w:val="center"/>
              <w:rPr>
                <w:rFonts w:cstheme="majorBidi"/>
                <w:sz w:val="18"/>
                <w:szCs w:val="18"/>
              </w:rPr>
            </w:pPr>
            <w:r w:rsidRPr="0004264F">
              <w:rPr>
                <w:rFonts w:cstheme="majorBidi"/>
                <w:sz w:val="18"/>
                <w:szCs w:val="18"/>
              </w:rPr>
              <w:sym w:font="Wingdings" w:char="F0FC"/>
            </w:r>
          </w:p>
        </w:tc>
      </w:tr>
      <w:tr w:rsidR="00D37C69" w:rsidRPr="0004264F" w14:paraId="273D418F" w14:textId="77777777" w:rsidTr="00E26789">
        <w:trPr>
          <w:trHeight w:val="457"/>
          <w:jc w:val="center"/>
        </w:trPr>
        <w:tc>
          <w:tcPr>
            <w:tcW w:w="12981" w:type="dxa"/>
            <w:gridSpan w:val="8"/>
            <w:tcBorders>
              <w:top w:val="single" w:sz="4" w:space="0" w:color="auto"/>
            </w:tcBorders>
          </w:tcPr>
          <w:p w14:paraId="5264CACF" w14:textId="4954475F" w:rsidR="00D37C69" w:rsidRPr="0004264F" w:rsidRDefault="00D37C69" w:rsidP="00D37C69">
            <w:pPr>
              <w:widowControl w:val="0"/>
              <w:autoSpaceDE w:val="0"/>
              <w:autoSpaceDN w:val="0"/>
              <w:adjustRightInd w:val="0"/>
              <w:jc w:val="both"/>
              <w:rPr>
                <w:rFonts w:cstheme="majorBidi"/>
                <w:sz w:val="18"/>
                <w:szCs w:val="18"/>
              </w:rPr>
            </w:pPr>
            <w:r w:rsidRPr="0004264F">
              <w:rPr>
                <w:rFonts w:cstheme="majorBidi"/>
                <w:sz w:val="18"/>
                <w:szCs w:val="18"/>
              </w:rPr>
              <w:t>Notes. Standard errors, reported in parentheses, are clustered at the county-level for columns 1-2 and state-level for columns 3-4. The regressions are weighted using county-level</w:t>
            </w:r>
            <w:r w:rsidR="00FA23CB" w:rsidRPr="0004264F">
              <w:rPr>
                <w:rFonts w:cstheme="majorBidi"/>
                <w:sz w:val="18"/>
                <w:szCs w:val="18"/>
              </w:rPr>
              <w:t xml:space="preserve">/state-level mean of </w:t>
            </w:r>
            <w:r w:rsidRPr="0004264F">
              <w:rPr>
                <w:rFonts w:cstheme="majorBidi"/>
                <w:sz w:val="18"/>
                <w:szCs w:val="18"/>
              </w:rPr>
              <w:t xml:space="preserve">population. </w:t>
            </w:r>
          </w:p>
          <w:p w14:paraId="7FC543CF" w14:textId="77777777" w:rsidR="00D37C69" w:rsidRPr="0004264F" w:rsidRDefault="00D37C69" w:rsidP="00D37C69">
            <w:pPr>
              <w:widowControl w:val="0"/>
              <w:autoSpaceDE w:val="0"/>
              <w:autoSpaceDN w:val="0"/>
              <w:adjustRightInd w:val="0"/>
              <w:rPr>
                <w:rFonts w:cstheme="majorBidi"/>
                <w:sz w:val="18"/>
                <w:szCs w:val="18"/>
              </w:rPr>
            </w:pPr>
            <w:r w:rsidRPr="0004264F">
              <w:rPr>
                <w:rFonts w:cstheme="majorBidi"/>
                <w:sz w:val="18"/>
                <w:szCs w:val="18"/>
              </w:rPr>
              <w:t>*** p&lt;0.01, ** p&lt;0.05, * p&lt;0.1</w:t>
            </w:r>
          </w:p>
          <w:p w14:paraId="03C492B8" w14:textId="77777777" w:rsidR="00D37C69" w:rsidRPr="0004264F" w:rsidRDefault="00D37C69" w:rsidP="00D37C69">
            <w:pPr>
              <w:rPr>
                <w:rFonts w:cstheme="majorBidi"/>
                <w:sz w:val="18"/>
                <w:szCs w:val="18"/>
              </w:rPr>
            </w:pPr>
          </w:p>
        </w:tc>
      </w:tr>
    </w:tbl>
    <w:p w14:paraId="57920489" w14:textId="77777777" w:rsidR="00204C5C" w:rsidRPr="0004264F" w:rsidRDefault="00204C5C" w:rsidP="00F32C69">
      <w:pPr>
        <w:rPr>
          <w:rFonts w:cstheme="majorBidi"/>
          <w:b/>
          <w:bCs/>
          <w:sz w:val="20"/>
          <w:szCs w:val="20"/>
        </w:rPr>
      </w:pPr>
    </w:p>
    <w:p w14:paraId="75F5CB53" w14:textId="77777777" w:rsidR="008729FE" w:rsidRPr="0004264F" w:rsidRDefault="008729FE" w:rsidP="00F32C69">
      <w:pPr>
        <w:rPr>
          <w:rFonts w:cstheme="majorBidi"/>
          <w:b/>
          <w:bCs/>
          <w:sz w:val="20"/>
          <w:szCs w:val="20"/>
        </w:rPr>
      </w:pPr>
    </w:p>
    <w:p w14:paraId="3FF6B44B" w14:textId="77777777" w:rsidR="008729FE" w:rsidRPr="0004264F" w:rsidRDefault="008729FE" w:rsidP="00F32C69">
      <w:pPr>
        <w:rPr>
          <w:rFonts w:cstheme="majorBidi"/>
          <w:b/>
          <w:bCs/>
          <w:sz w:val="20"/>
          <w:szCs w:val="20"/>
        </w:rPr>
        <w:sectPr w:rsidR="008729FE" w:rsidRPr="0004264F" w:rsidSect="008A24B8">
          <w:pgSz w:w="15840" w:h="12240" w:orient="landscape" w:code="1"/>
          <w:pgMar w:top="1440" w:right="1440" w:bottom="1440" w:left="1440" w:header="720" w:footer="720" w:gutter="0"/>
          <w:cols w:space="720"/>
          <w:docGrid w:linePitch="360"/>
        </w:sectPr>
      </w:pPr>
    </w:p>
    <w:p w14:paraId="766F7FE1" w14:textId="1144FB47" w:rsidR="008729FE" w:rsidRPr="0004264F" w:rsidRDefault="008729FE" w:rsidP="008729FE">
      <w:pPr>
        <w:pStyle w:val="Caption"/>
        <w:keepNext/>
        <w:bidi w:val="0"/>
        <w:rPr>
          <w:rFonts w:cstheme="majorBidi"/>
        </w:rPr>
      </w:pPr>
      <w:bookmarkStart w:id="18" w:name="_Ref97968602"/>
      <w:r w:rsidRPr="0004264F">
        <w:rPr>
          <w:rFonts w:cstheme="majorBidi"/>
        </w:rPr>
        <w:lastRenderedPageBreak/>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8</w:t>
      </w:r>
      <w:r w:rsidRPr="0004264F">
        <w:rPr>
          <w:rFonts w:cstheme="majorBidi"/>
          <w:noProof/>
        </w:rPr>
        <w:fldChar w:fldCharType="end"/>
      </w:r>
      <w:bookmarkEnd w:id="18"/>
      <w:r w:rsidRPr="0004264F">
        <w:rPr>
          <w:rFonts w:cstheme="majorBidi"/>
        </w:rPr>
        <w:t xml:space="preserve"> - Robustness Checks</w:t>
      </w:r>
    </w:p>
    <w:tbl>
      <w:tblPr>
        <w:tblStyle w:val="TableGrid"/>
        <w:tblW w:w="114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390"/>
        <w:gridCol w:w="2163"/>
        <w:gridCol w:w="390"/>
        <w:gridCol w:w="2163"/>
        <w:gridCol w:w="390"/>
        <w:gridCol w:w="2164"/>
        <w:gridCol w:w="390"/>
      </w:tblGrid>
      <w:tr w:rsidR="00B62A43" w:rsidRPr="0004264F" w14:paraId="04FC3529" w14:textId="77777777" w:rsidTr="00021E25">
        <w:trPr>
          <w:trHeight w:val="259"/>
          <w:jc w:val="center"/>
        </w:trPr>
        <w:tc>
          <w:tcPr>
            <w:tcW w:w="3381" w:type="dxa"/>
            <w:tcBorders>
              <w:top w:val="single" w:sz="4" w:space="0" w:color="auto"/>
            </w:tcBorders>
            <w:vAlign w:val="center"/>
          </w:tcPr>
          <w:p w14:paraId="2E89C463" w14:textId="77777777" w:rsidR="00021E25" w:rsidRPr="0004264F" w:rsidRDefault="00021E25" w:rsidP="00021E25">
            <w:pPr>
              <w:rPr>
                <w:rFonts w:cstheme="majorBidi"/>
                <w:sz w:val="18"/>
                <w:szCs w:val="18"/>
              </w:rPr>
            </w:pPr>
          </w:p>
        </w:tc>
        <w:tc>
          <w:tcPr>
            <w:tcW w:w="390" w:type="dxa"/>
            <w:tcBorders>
              <w:top w:val="single" w:sz="4" w:space="0" w:color="auto"/>
            </w:tcBorders>
            <w:vAlign w:val="center"/>
          </w:tcPr>
          <w:p w14:paraId="763FE84C" w14:textId="77777777" w:rsidR="00021E25" w:rsidRPr="0004264F" w:rsidRDefault="00021E25" w:rsidP="00021E25">
            <w:pPr>
              <w:jc w:val="center"/>
              <w:rPr>
                <w:rFonts w:cstheme="majorBidi"/>
                <w:sz w:val="18"/>
                <w:szCs w:val="18"/>
              </w:rPr>
            </w:pPr>
          </w:p>
        </w:tc>
        <w:tc>
          <w:tcPr>
            <w:tcW w:w="2163" w:type="dxa"/>
            <w:tcBorders>
              <w:top w:val="single" w:sz="4" w:space="0" w:color="auto"/>
              <w:bottom w:val="single" w:sz="4" w:space="0" w:color="auto"/>
            </w:tcBorders>
            <w:vAlign w:val="center"/>
          </w:tcPr>
          <w:p w14:paraId="0CBF9FC0" w14:textId="6DBEDACF" w:rsidR="00021E25" w:rsidRPr="0004264F" w:rsidRDefault="00021E25" w:rsidP="00021E25">
            <w:pPr>
              <w:jc w:val="center"/>
              <w:rPr>
                <w:rFonts w:cstheme="majorBidi"/>
                <w:sz w:val="20"/>
                <w:szCs w:val="20"/>
              </w:rPr>
            </w:pPr>
            <w:r w:rsidRPr="0004264F">
              <w:rPr>
                <w:rFonts w:cstheme="majorBidi"/>
                <w:sz w:val="18"/>
                <w:szCs w:val="18"/>
              </w:rPr>
              <w:t xml:space="preserve">Column </w:t>
            </w:r>
            <w:r w:rsidR="00060936" w:rsidRPr="0004264F">
              <w:rPr>
                <w:rFonts w:cstheme="majorBidi"/>
                <w:sz w:val="18"/>
                <w:szCs w:val="18"/>
              </w:rPr>
              <w:t xml:space="preserve">4 </w:t>
            </w:r>
            <w:r w:rsidR="00060936" w:rsidRPr="0004264F">
              <w:rPr>
                <w:rFonts w:cstheme="majorBidi"/>
                <w:sz w:val="18"/>
                <w:szCs w:val="18"/>
              </w:rPr>
              <w:fldChar w:fldCharType="begin"/>
            </w:r>
            <w:r w:rsidR="00060936" w:rsidRPr="0004264F">
              <w:rPr>
                <w:rFonts w:cstheme="majorBidi"/>
                <w:sz w:val="18"/>
                <w:szCs w:val="18"/>
              </w:rPr>
              <w:instrText xml:space="preserve"> REF _Ref111322750 \h  \* MERGEFORMAT </w:instrText>
            </w:r>
            <w:r w:rsidR="00060936" w:rsidRPr="0004264F">
              <w:rPr>
                <w:rFonts w:cstheme="majorBidi"/>
                <w:sz w:val="18"/>
                <w:szCs w:val="18"/>
              </w:rPr>
            </w:r>
            <w:r w:rsidR="00060936" w:rsidRPr="0004264F">
              <w:rPr>
                <w:rFonts w:cstheme="majorBidi"/>
                <w:sz w:val="18"/>
                <w:szCs w:val="18"/>
              </w:rPr>
              <w:fldChar w:fldCharType="separate"/>
            </w:r>
            <w:r w:rsidR="00CA5B9D" w:rsidRPr="0004264F">
              <w:rPr>
                <w:rFonts w:cstheme="majorBidi"/>
                <w:sz w:val="18"/>
                <w:szCs w:val="18"/>
              </w:rPr>
              <w:t xml:space="preserve">Table </w:t>
            </w:r>
            <w:r w:rsidR="00CA5B9D" w:rsidRPr="0004264F">
              <w:rPr>
                <w:rFonts w:cstheme="majorBidi"/>
                <w:noProof/>
                <w:sz w:val="18"/>
                <w:szCs w:val="18"/>
              </w:rPr>
              <w:t>4</w:t>
            </w:r>
            <w:r w:rsidR="00060936" w:rsidRPr="0004264F">
              <w:rPr>
                <w:rFonts w:cstheme="majorBidi"/>
                <w:sz w:val="18"/>
                <w:szCs w:val="18"/>
              </w:rPr>
              <w:fldChar w:fldCharType="end"/>
            </w:r>
          </w:p>
        </w:tc>
        <w:tc>
          <w:tcPr>
            <w:tcW w:w="390" w:type="dxa"/>
            <w:tcBorders>
              <w:top w:val="single" w:sz="4" w:space="0" w:color="auto"/>
            </w:tcBorders>
            <w:vAlign w:val="center"/>
          </w:tcPr>
          <w:p w14:paraId="2E605135" w14:textId="77777777" w:rsidR="00021E25" w:rsidRPr="0004264F" w:rsidRDefault="00021E25" w:rsidP="00021E25">
            <w:pPr>
              <w:jc w:val="center"/>
              <w:rPr>
                <w:rFonts w:cstheme="majorBidi"/>
                <w:sz w:val="18"/>
                <w:szCs w:val="18"/>
              </w:rPr>
            </w:pPr>
          </w:p>
        </w:tc>
        <w:tc>
          <w:tcPr>
            <w:tcW w:w="2163" w:type="dxa"/>
            <w:tcBorders>
              <w:top w:val="single" w:sz="4" w:space="0" w:color="auto"/>
              <w:bottom w:val="single" w:sz="4" w:space="0" w:color="auto"/>
            </w:tcBorders>
            <w:vAlign w:val="center"/>
          </w:tcPr>
          <w:p w14:paraId="40182A88" w14:textId="77CAB0DA" w:rsidR="00021E25" w:rsidRPr="0004264F" w:rsidRDefault="00021E25" w:rsidP="00021E25">
            <w:pPr>
              <w:jc w:val="center"/>
              <w:rPr>
                <w:rFonts w:cstheme="majorBidi"/>
                <w:sz w:val="18"/>
                <w:szCs w:val="18"/>
              </w:rPr>
            </w:pPr>
            <w:r w:rsidRPr="0004264F">
              <w:rPr>
                <w:rFonts w:cstheme="majorBidi"/>
                <w:sz w:val="18"/>
                <w:szCs w:val="18"/>
              </w:rPr>
              <w:t xml:space="preserve">Adding County-by-Individual FE </w:t>
            </w:r>
          </w:p>
        </w:tc>
        <w:tc>
          <w:tcPr>
            <w:tcW w:w="390" w:type="dxa"/>
            <w:tcBorders>
              <w:top w:val="single" w:sz="4" w:space="0" w:color="auto"/>
            </w:tcBorders>
            <w:vAlign w:val="center"/>
          </w:tcPr>
          <w:p w14:paraId="7A2479CC" w14:textId="77777777" w:rsidR="00021E25" w:rsidRPr="0004264F" w:rsidRDefault="00021E25" w:rsidP="00021E25">
            <w:pPr>
              <w:jc w:val="center"/>
              <w:rPr>
                <w:rFonts w:cstheme="majorBidi"/>
                <w:sz w:val="18"/>
                <w:szCs w:val="18"/>
              </w:rPr>
            </w:pPr>
          </w:p>
        </w:tc>
        <w:tc>
          <w:tcPr>
            <w:tcW w:w="2164" w:type="dxa"/>
            <w:tcBorders>
              <w:top w:val="single" w:sz="4" w:space="0" w:color="auto"/>
              <w:bottom w:val="single" w:sz="4" w:space="0" w:color="auto"/>
            </w:tcBorders>
            <w:vAlign w:val="center"/>
          </w:tcPr>
          <w:p w14:paraId="64617181" w14:textId="35EF8273" w:rsidR="00021E25" w:rsidRPr="0004264F" w:rsidRDefault="00021E25" w:rsidP="00021E25">
            <w:pPr>
              <w:jc w:val="center"/>
              <w:rPr>
                <w:rFonts w:cstheme="majorBidi"/>
                <w:sz w:val="18"/>
                <w:szCs w:val="18"/>
              </w:rPr>
            </w:pPr>
            <w:r w:rsidRPr="0004264F">
              <w:rPr>
                <w:rFonts w:cstheme="majorBidi"/>
                <w:sz w:val="18"/>
                <w:szCs w:val="18"/>
              </w:rPr>
              <w:t>Adding County-by-Parental Covariates FE</w:t>
            </w:r>
          </w:p>
        </w:tc>
        <w:tc>
          <w:tcPr>
            <w:tcW w:w="390" w:type="dxa"/>
            <w:tcBorders>
              <w:top w:val="single" w:sz="4" w:space="0" w:color="auto"/>
            </w:tcBorders>
            <w:vAlign w:val="center"/>
          </w:tcPr>
          <w:p w14:paraId="094C5F5F" w14:textId="77777777" w:rsidR="00021E25" w:rsidRPr="0004264F" w:rsidRDefault="00021E25" w:rsidP="00021E25">
            <w:pPr>
              <w:jc w:val="center"/>
              <w:rPr>
                <w:rFonts w:cstheme="majorBidi"/>
                <w:sz w:val="18"/>
                <w:szCs w:val="18"/>
              </w:rPr>
            </w:pPr>
          </w:p>
        </w:tc>
      </w:tr>
      <w:tr w:rsidR="00B62A43" w:rsidRPr="0004264F" w14:paraId="626553FD" w14:textId="77777777" w:rsidTr="00021E25">
        <w:trPr>
          <w:trHeight w:val="259"/>
          <w:jc w:val="center"/>
        </w:trPr>
        <w:tc>
          <w:tcPr>
            <w:tcW w:w="3381" w:type="dxa"/>
            <w:tcBorders>
              <w:bottom w:val="single" w:sz="4" w:space="0" w:color="auto"/>
            </w:tcBorders>
            <w:vAlign w:val="center"/>
          </w:tcPr>
          <w:p w14:paraId="5A9026A2" w14:textId="77777777" w:rsidR="00021E25" w:rsidRPr="0004264F" w:rsidRDefault="00021E25" w:rsidP="00021E25">
            <w:pPr>
              <w:rPr>
                <w:rFonts w:cstheme="majorBidi"/>
                <w:sz w:val="18"/>
                <w:szCs w:val="18"/>
              </w:rPr>
            </w:pPr>
          </w:p>
        </w:tc>
        <w:tc>
          <w:tcPr>
            <w:tcW w:w="390" w:type="dxa"/>
            <w:tcBorders>
              <w:bottom w:val="single" w:sz="4" w:space="0" w:color="auto"/>
            </w:tcBorders>
            <w:vAlign w:val="center"/>
          </w:tcPr>
          <w:p w14:paraId="6726EC4A" w14:textId="77777777" w:rsidR="00021E25" w:rsidRPr="0004264F" w:rsidRDefault="00021E25" w:rsidP="00021E25">
            <w:pPr>
              <w:jc w:val="center"/>
              <w:rPr>
                <w:rFonts w:cstheme="majorBidi"/>
                <w:sz w:val="18"/>
                <w:szCs w:val="18"/>
              </w:rPr>
            </w:pPr>
          </w:p>
        </w:tc>
        <w:tc>
          <w:tcPr>
            <w:tcW w:w="2163" w:type="dxa"/>
            <w:tcBorders>
              <w:top w:val="single" w:sz="4" w:space="0" w:color="auto"/>
              <w:bottom w:val="single" w:sz="4" w:space="0" w:color="auto"/>
            </w:tcBorders>
            <w:vAlign w:val="center"/>
          </w:tcPr>
          <w:p w14:paraId="5B43D21C" w14:textId="77777777" w:rsidR="00021E25" w:rsidRPr="0004264F" w:rsidRDefault="00021E25" w:rsidP="00021E25">
            <w:pPr>
              <w:jc w:val="center"/>
              <w:rPr>
                <w:rFonts w:cstheme="majorBidi"/>
                <w:sz w:val="18"/>
                <w:szCs w:val="18"/>
              </w:rPr>
            </w:pPr>
            <w:r w:rsidRPr="0004264F">
              <w:rPr>
                <w:rFonts w:cstheme="majorBidi"/>
                <w:sz w:val="18"/>
                <w:szCs w:val="18"/>
              </w:rPr>
              <w:t>(1)</w:t>
            </w:r>
          </w:p>
        </w:tc>
        <w:tc>
          <w:tcPr>
            <w:tcW w:w="390" w:type="dxa"/>
            <w:tcBorders>
              <w:bottom w:val="single" w:sz="4" w:space="0" w:color="auto"/>
            </w:tcBorders>
            <w:vAlign w:val="center"/>
          </w:tcPr>
          <w:p w14:paraId="53E06658" w14:textId="77777777" w:rsidR="00021E25" w:rsidRPr="0004264F" w:rsidRDefault="00021E25" w:rsidP="00021E25">
            <w:pPr>
              <w:jc w:val="center"/>
              <w:rPr>
                <w:rFonts w:cstheme="majorBidi"/>
                <w:sz w:val="18"/>
                <w:szCs w:val="18"/>
              </w:rPr>
            </w:pPr>
          </w:p>
        </w:tc>
        <w:tc>
          <w:tcPr>
            <w:tcW w:w="2163" w:type="dxa"/>
            <w:tcBorders>
              <w:top w:val="single" w:sz="4" w:space="0" w:color="auto"/>
              <w:bottom w:val="single" w:sz="4" w:space="0" w:color="auto"/>
            </w:tcBorders>
            <w:vAlign w:val="center"/>
          </w:tcPr>
          <w:p w14:paraId="62C32691" w14:textId="77777777" w:rsidR="00021E25" w:rsidRPr="0004264F" w:rsidRDefault="00021E25" w:rsidP="00021E25">
            <w:pPr>
              <w:jc w:val="center"/>
              <w:rPr>
                <w:rFonts w:cstheme="majorBidi"/>
                <w:sz w:val="18"/>
                <w:szCs w:val="18"/>
              </w:rPr>
            </w:pPr>
            <w:r w:rsidRPr="0004264F">
              <w:rPr>
                <w:rFonts w:cstheme="majorBidi"/>
                <w:sz w:val="18"/>
                <w:szCs w:val="18"/>
              </w:rPr>
              <w:t>(2)</w:t>
            </w:r>
          </w:p>
        </w:tc>
        <w:tc>
          <w:tcPr>
            <w:tcW w:w="390" w:type="dxa"/>
            <w:tcBorders>
              <w:bottom w:val="single" w:sz="4" w:space="0" w:color="auto"/>
            </w:tcBorders>
            <w:vAlign w:val="center"/>
          </w:tcPr>
          <w:p w14:paraId="73AB7864" w14:textId="77777777" w:rsidR="00021E25" w:rsidRPr="0004264F" w:rsidRDefault="00021E25" w:rsidP="00021E25">
            <w:pPr>
              <w:jc w:val="center"/>
              <w:rPr>
                <w:rFonts w:cstheme="majorBidi"/>
                <w:sz w:val="18"/>
                <w:szCs w:val="18"/>
              </w:rPr>
            </w:pPr>
          </w:p>
        </w:tc>
        <w:tc>
          <w:tcPr>
            <w:tcW w:w="2164" w:type="dxa"/>
            <w:tcBorders>
              <w:top w:val="single" w:sz="4" w:space="0" w:color="auto"/>
              <w:bottom w:val="single" w:sz="4" w:space="0" w:color="auto"/>
            </w:tcBorders>
            <w:vAlign w:val="center"/>
          </w:tcPr>
          <w:p w14:paraId="14368DDD" w14:textId="77777777" w:rsidR="00021E25" w:rsidRPr="0004264F" w:rsidRDefault="00021E25" w:rsidP="00021E25">
            <w:pPr>
              <w:jc w:val="center"/>
              <w:rPr>
                <w:rFonts w:cstheme="majorBidi"/>
                <w:sz w:val="18"/>
                <w:szCs w:val="18"/>
              </w:rPr>
            </w:pPr>
            <w:r w:rsidRPr="0004264F">
              <w:rPr>
                <w:rFonts w:cstheme="majorBidi"/>
                <w:sz w:val="18"/>
                <w:szCs w:val="18"/>
              </w:rPr>
              <w:t>(3)</w:t>
            </w:r>
          </w:p>
        </w:tc>
        <w:tc>
          <w:tcPr>
            <w:tcW w:w="390" w:type="dxa"/>
            <w:tcBorders>
              <w:bottom w:val="single" w:sz="4" w:space="0" w:color="auto"/>
            </w:tcBorders>
            <w:vAlign w:val="center"/>
          </w:tcPr>
          <w:p w14:paraId="0BED22BE" w14:textId="77777777" w:rsidR="00021E25" w:rsidRPr="0004264F" w:rsidRDefault="00021E25" w:rsidP="00021E25">
            <w:pPr>
              <w:jc w:val="center"/>
              <w:rPr>
                <w:rFonts w:cstheme="majorBidi"/>
                <w:sz w:val="18"/>
                <w:szCs w:val="18"/>
              </w:rPr>
            </w:pPr>
          </w:p>
        </w:tc>
      </w:tr>
      <w:tr w:rsidR="00B62A43" w:rsidRPr="0004264F" w14:paraId="607D88C6" w14:textId="77777777" w:rsidTr="00604FB1">
        <w:trPr>
          <w:trHeight w:val="259"/>
          <w:jc w:val="center"/>
        </w:trPr>
        <w:tc>
          <w:tcPr>
            <w:tcW w:w="3381" w:type="dxa"/>
            <w:vMerge w:val="restart"/>
            <w:tcBorders>
              <w:top w:val="single" w:sz="4" w:space="0" w:color="auto"/>
            </w:tcBorders>
            <w:vAlign w:val="center"/>
          </w:tcPr>
          <w:p w14:paraId="64540A4B" w14:textId="77777777" w:rsidR="00B62A43" w:rsidRPr="0004264F" w:rsidRDefault="00B62A43" w:rsidP="00B62A43">
            <w:pPr>
              <w:rPr>
                <w:rFonts w:cstheme="majorBidi"/>
                <w:sz w:val="18"/>
                <w:szCs w:val="18"/>
              </w:rPr>
            </w:pPr>
            <w:r w:rsidRPr="0004264F">
              <w:rPr>
                <w:rFonts w:cstheme="majorBidi"/>
                <w:sz w:val="18"/>
                <w:szCs w:val="18"/>
              </w:rPr>
              <w:t>Deposits per Capita (STD)</w:t>
            </w:r>
          </w:p>
        </w:tc>
        <w:tc>
          <w:tcPr>
            <w:tcW w:w="390" w:type="dxa"/>
            <w:tcBorders>
              <w:top w:val="single" w:sz="4" w:space="0" w:color="auto"/>
            </w:tcBorders>
            <w:vAlign w:val="center"/>
          </w:tcPr>
          <w:p w14:paraId="071BC2FB" w14:textId="77777777" w:rsidR="00B62A43" w:rsidRPr="0004264F" w:rsidRDefault="00B62A43" w:rsidP="00B62A43">
            <w:pPr>
              <w:jc w:val="center"/>
              <w:rPr>
                <w:rFonts w:cstheme="majorBidi"/>
                <w:sz w:val="18"/>
                <w:szCs w:val="18"/>
              </w:rPr>
            </w:pPr>
          </w:p>
        </w:tc>
        <w:tc>
          <w:tcPr>
            <w:tcW w:w="2163" w:type="dxa"/>
            <w:tcBorders>
              <w:top w:val="single" w:sz="4" w:space="0" w:color="auto"/>
            </w:tcBorders>
          </w:tcPr>
          <w:p w14:paraId="4F13C198" w14:textId="3DA9EDF5" w:rsidR="00B62A43" w:rsidRPr="0004264F" w:rsidRDefault="00B62A43" w:rsidP="00B62A43">
            <w:pPr>
              <w:jc w:val="center"/>
              <w:rPr>
                <w:rFonts w:cstheme="majorBidi"/>
                <w:sz w:val="18"/>
                <w:szCs w:val="18"/>
              </w:rPr>
            </w:pPr>
            <w:r w:rsidRPr="0004264F">
              <w:rPr>
                <w:rFonts w:cstheme="majorBidi"/>
                <w:sz w:val="20"/>
                <w:szCs w:val="20"/>
              </w:rPr>
              <w:t>1.72552**</w:t>
            </w:r>
          </w:p>
        </w:tc>
        <w:tc>
          <w:tcPr>
            <w:tcW w:w="390" w:type="dxa"/>
            <w:tcBorders>
              <w:top w:val="single" w:sz="4" w:space="0" w:color="auto"/>
            </w:tcBorders>
          </w:tcPr>
          <w:p w14:paraId="43F6B6B7" w14:textId="2E6F6248" w:rsidR="00B62A43" w:rsidRPr="0004264F" w:rsidRDefault="00B62A43" w:rsidP="00B62A43">
            <w:pPr>
              <w:jc w:val="center"/>
              <w:rPr>
                <w:rFonts w:cstheme="majorBidi"/>
                <w:sz w:val="18"/>
                <w:szCs w:val="18"/>
              </w:rPr>
            </w:pPr>
          </w:p>
        </w:tc>
        <w:tc>
          <w:tcPr>
            <w:tcW w:w="2163" w:type="dxa"/>
            <w:tcBorders>
              <w:top w:val="single" w:sz="4" w:space="0" w:color="auto"/>
            </w:tcBorders>
          </w:tcPr>
          <w:p w14:paraId="6ACC63CB" w14:textId="3B1A94A4" w:rsidR="00B62A43" w:rsidRPr="0004264F" w:rsidRDefault="00B62A43" w:rsidP="00B62A43">
            <w:pPr>
              <w:jc w:val="center"/>
              <w:rPr>
                <w:rFonts w:cstheme="majorBidi"/>
                <w:sz w:val="18"/>
                <w:szCs w:val="18"/>
              </w:rPr>
            </w:pPr>
            <w:r w:rsidRPr="0004264F">
              <w:rPr>
                <w:rFonts w:cstheme="majorBidi"/>
                <w:sz w:val="20"/>
                <w:szCs w:val="20"/>
              </w:rPr>
              <w:t>1.72981**</w:t>
            </w:r>
          </w:p>
        </w:tc>
        <w:tc>
          <w:tcPr>
            <w:tcW w:w="390" w:type="dxa"/>
            <w:tcBorders>
              <w:top w:val="single" w:sz="4" w:space="0" w:color="auto"/>
            </w:tcBorders>
          </w:tcPr>
          <w:p w14:paraId="3E1D505E" w14:textId="388712DC" w:rsidR="00B62A43" w:rsidRPr="0004264F" w:rsidRDefault="00B62A43" w:rsidP="00B62A43">
            <w:pPr>
              <w:jc w:val="center"/>
              <w:rPr>
                <w:rFonts w:cstheme="majorBidi"/>
                <w:sz w:val="18"/>
                <w:szCs w:val="18"/>
              </w:rPr>
            </w:pPr>
          </w:p>
        </w:tc>
        <w:tc>
          <w:tcPr>
            <w:tcW w:w="2164" w:type="dxa"/>
            <w:tcBorders>
              <w:top w:val="single" w:sz="4" w:space="0" w:color="auto"/>
            </w:tcBorders>
          </w:tcPr>
          <w:p w14:paraId="05A0F61A" w14:textId="05C519BE" w:rsidR="00B62A43" w:rsidRPr="0004264F" w:rsidRDefault="00B62A43" w:rsidP="00B62A43">
            <w:pPr>
              <w:jc w:val="center"/>
              <w:rPr>
                <w:rFonts w:cstheme="majorBidi"/>
                <w:sz w:val="18"/>
                <w:szCs w:val="18"/>
              </w:rPr>
            </w:pPr>
            <w:r w:rsidRPr="0004264F">
              <w:rPr>
                <w:rFonts w:cstheme="majorBidi"/>
                <w:sz w:val="20"/>
                <w:szCs w:val="20"/>
              </w:rPr>
              <w:t>1.79781**</w:t>
            </w:r>
          </w:p>
        </w:tc>
        <w:tc>
          <w:tcPr>
            <w:tcW w:w="390" w:type="dxa"/>
            <w:tcBorders>
              <w:top w:val="single" w:sz="4" w:space="0" w:color="auto"/>
            </w:tcBorders>
          </w:tcPr>
          <w:p w14:paraId="0B0DEFA8" w14:textId="77777777" w:rsidR="00B62A43" w:rsidRPr="0004264F" w:rsidRDefault="00B62A43" w:rsidP="00B62A43">
            <w:pPr>
              <w:jc w:val="center"/>
              <w:rPr>
                <w:rFonts w:cstheme="majorBidi"/>
                <w:sz w:val="18"/>
                <w:szCs w:val="18"/>
              </w:rPr>
            </w:pPr>
          </w:p>
        </w:tc>
      </w:tr>
      <w:tr w:rsidR="00B62A43" w:rsidRPr="0004264F" w14:paraId="66CD1C6C" w14:textId="77777777" w:rsidTr="00604FB1">
        <w:trPr>
          <w:trHeight w:val="259"/>
          <w:jc w:val="center"/>
        </w:trPr>
        <w:tc>
          <w:tcPr>
            <w:tcW w:w="3381" w:type="dxa"/>
            <w:vMerge/>
            <w:vAlign w:val="center"/>
          </w:tcPr>
          <w:p w14:paraId="4AF50A8A" w14:textId="77777777" w:rsidR="00B62A43" w:rsidRPr="0004264F" w:rsidRDefault="00B62A43" w:rsidP="00B62A43">
            <w:pPr>
              <w:rPr>
                <w:rFonts w:cstheme="majorBidi"/>
                <w:sz w:val="18"/>
                <w:szCs w:val="18"/>
              </w:rPr>
            </w:pPr>
          </w:p>
        </w:tc>
        <w:tc>
          <w:tcPr>
            <w:tcW w:w="390" w:type="dxa"/>
            <w:vAlign w:val="center"/>
          </w:tcPr>
          <w:p w14:paraId="35A23E94" w14:textId="77777777" w:rsidR="00B62A43" w:rsidRPr="0004264F" w:rsidRDefault="00B62A43" w:rsidP="00B62A43">
            <w:pPr>
              <w:jc w:val="center"/>
              <w:rPr>
                <w:rFonts w:cstheme="majorBidi"/>
                <w:sz w:val="18"/>
                <w:szCs w:val="18"/>
              </w:rPr>
            </w:pPr>
          </w:p>
        </w:tc>
        <w:tc>
          <w:tcPr>
            <w:tcW w:w="2163" w:type="dxa"/>
          </w:tcPr>
          <w:p w14:paraId="2C478391" w14:textId="75795068" w:rsidR="00B62A43" w:rsidRPr="0004264F" w:rsidRDefault="00B62A43" w:rsidP="00B62A43">
            <w:pPr>
              <w:jc w:val="center"/>
              <w:rPr>
                <w:rFonts w:cstheme="majorBidi"/>
                <w:sz w:val="18"/>
                <w:szCs w:val="18"/>
              </w:rPr>
            </w:pPr>
            <w:r w:rsidRPr="0004264F">
              <w:rPr>
                <w:rFonts w:cstheme="majorBidi"/>
                <w:sz w:val="20"/>
                <w:szCs w:val="20"/>
              </w:rPr>
              <w:t>(.72026)</w:t>
            </w:r>
          </w:p>
        </w:tc>
        <w:tc>
          <w:tcPr>
            <w:tcW w:w="390" w:type="dxa"/>
          </w:tcPr>
          <w:p w14:paraId="4E8F164F" w14:textId="43A6B2DC" w:rsidR="00B62A43" w:rsidRPr="0004264F" w:rsidRDefault="00B62A43" w:rsidP="00B62A43">
            <w:pPr>
              <w:jc w:val="center"/>
              <w:rPr>
                <w:rFonts w:cstheme="majorBidi"/>
                <w:sz w:val="18"/>
                <w:szCs w:val="18"/>
              </w:rPr>
            </w:pPr>
          </w:p>
        </w:tc>
        <w:tc>
          <w:tcPr>
            <w:tcW w:w="2163" w:type="dxa"/>
          </w:tcPr>
          <w:p w14:paraId="6257BD39" w14:textId="4A0EA370" w:rsidR="00B62A43" w:rsidRPr="0004264F" w:rsidRDefault="00B62A43" w:rsidP="00B62A43">
            <w:pPr>
              <w:jc w:val="center"/>
              <w:rPr>
                <w:rFonts w:cstheme="majorBidi"/>
                <w:sz w:val="18"/>
                <w:szCs w:val="18"/>
              </w:rPr>
            </w:pPr>
            <w:r w:rsidRPr="0004264F">
              <w:rPr>
                <w:rFonts w:cstheme="majorBidi"/>
                <w:sz w:val="20"/>
                <w:szCs w:val="20"/>
              </w:rPr>
              <w:t>(.71853)</w:t>
            </w:r>
          </w:p>
        </w:tc>
        <w:tc>
          <w:tcPr>
            <w:tcW w:w="390" w:type="dxa"/>
          </w:tcPr>
          <w:p w14:paraId="5B031C75" w14:textId="30EB4655" w:rsidR="00B62A43" w:rsidRPr="0004264F" w:rsidRDefault="00B62A43" w:rsidP="00B62A43">
            <w:pPr>
              <w:jc w:val="center"/>
              <w:rPr>
                <w:rFonts w:cstheme="majorBidi"/>
                <w:sz w:val="18"/>
                <w:szCs w:val="18"/>
              </w:rPr>
            </w:pPr>
          </w:p>
        </w:tc>
        <w:tc>
          <w:tcPr>
            <w:tcW w:w="2164" w:type="dxa"/>
          </w:tcPr>
          <w:p w14:paraId="21678BCC" w14:textId="2EA0CAB1" w:rsidR="00B62A43" w:rsidRPr="0004264F" w:rsidRDefault="00B62A43" w:rsidP="00B62A43">
            <w:pPr>
              <w:jc w:val="center"/>
              <w:rPr>
                <w:rFonts w:cstheme="majorBidi"/>
                <w:sz w:val="18"/>
                <w:szCs w:val="18"/>
              </w:rPr>
            </w:pPr>
            <w:r w:rsidRPr="0004264F">
              <w:rPr>
                <w:rFonts w:cstheme="majorBidi"/>
                <w:sz w:val="20"/>
                <w:szCs w:val="20"/>
              </w:rPr>
              <w:t>(.70769)</w:t>
            </w:r>
          </w:p>
        </w:tc>
        <w:tc>
          <w:tcPr>
            <w:tcW w:w="390" w:type="dxa"/>
          </w:tcPr>
          <w:p w14:paraId="1C6ADC0A" w14:textId="77777777" w:rsidR="00B62A43" w:rsidRPr="0004264F" w:rsidRDefault="00B62A43" w:rsidP="00B62A43">
            <w:pPr>
              <w:jc w:val="center"/>
              <w:rPr>
                <w:rFonts w:cstheme="majorBidi"/>
                <w:sz w:val="18"/>
                <w:szCs w:val="18"/>
              </w:rPr>
            </w:pPr>
          </w:p>
        </w:tc>
      </w:tr>
      <w:tr w:rsidR="00B62A43" w:rsidRPr="0004264F" w14:paraId="22DED677" w14:textId="77777777" w:rsidTr="00604FB1">
        <w:trPr>
          <w:trHeight w:val="259"/>
          <w:jc w:val="center"/>
        </w:trPr>
        <w:tc>
          <w:tcPr>
            <w:tcW w:w="3381" w:type="dxa"/>
            <w:vAlign w:val="center"/>
          </w:tcPr>
          <w:p w14:paraId="65C851FE" w14:textId="77777777" w:rsidR="00B62A43" w:rsidRPr="0004264F" w:rsidRDefault="00B62A43" w:rsidP="00B62A43">
            <w:pPr>
              <w:rPr>
                <w:rFonts w:cstheme="majorBidi"/>
                <w:sz w:val="18"/>
                <w:szCs w:val="18"/>
              </w:rPr>
            </w:pPr>
            <w:r w:rsidRPr="0004264F">
              <w:rPr>
                <w:rFonts w:cstheme="majorBidi"/>
                <w:sz w:val="18"/>
                <w:szCs w:val="18"/>
              </w:rPr>
              <w:t>Observations</w:t>
            </w:r>
          </w:p>
        </w:tc>
        <w:tc>
          <w:tcPr>
            <w:tcW w:w="390" w:type="dxa"/>
            <w:vAlign w:val="center"/>
          </w:tcPr>
          <w:p w14:paraId="50FE79A7" w14:textId="77777777" w:rsidR="00B62A43" w:rsidRPr="0004264F" w:rsidRDefault="00B62A43" w:rsidP="00B62A43">
            <w:pPr>
              <w:jc w:val="center"/>
              <w:rPr>
                <w:rFonts w:cstheme="majorBidi"/>
                <w:sz w:val="18"/>
                <w:szCs w:val="18"/>
              </w:rPr>
            </w:pPr>
          </w:p>
        </w:tc>
        <w:tc>
          <w:tcPr>
            <w:tcW w:w="2163" w:type="dxa"/>
          </w:tcPr>
          <w:p w14:paraId="4D8DE996" w14:textId="698CBB52" w:rsidR="00B62A43" w:rsidRPr="0004264F" w:rsidRDefault="00B62A43" w:rsidP="00B62A43">
            <w:pPr>
              <w:jc w:val="center"/>
              <w:rPr>
                <w:rFonts w:cstheme="majorBidi"/>
                <w:sz w:val="18"/>
                <w:szCs w:val="18"/>
              </w:rPr>
            </w:pPr>
            <w:r w:rsidRPr="0004264F">
              <w:rPr>
                <w:rFonts w:cstheme="majorBidi"/>
                <w:sz w:val="20"/>
                <w:szCs w:val="20"/>
              </w:rPr>
              <w:t>1221113</w:t>
            </w:r>
          </w:p>
        </w:tc>
        <w:tc>
          <w:tcPr>
            <w:tcW w:w="390" w:type="dxa"/>
          </w:tcPr>
          <w:p w14:paraId="58470B3D" w14:textId="46B8FE26" w:rsidR="00B62A43" w:rsidRPr="0004264F" w:rsidRDefault="00B62A43" w:rsidP="00B62A43">
            <w:pPr>
              <w:jc w:val="center"/>
              <w:rPr>
                <w:rFonts w:cstheme="majorBidi"/>
                <w:sz w:val="18"/>
                <w:szCs w:val="18"/>
              </w:rPr>
            </w:pPr>
          </w:p>
        </w:tc>
        <w:tc>
          <w:tcPr>
            <w:tcW w:w="2163" w:type="dxa"/>
          </w:tcPr>
          <w:p w14:paraId="388704A5" w14:textId="56FB1C84" w:rsidR="00B62A43" w:rsidRPr="0004264F" w:rsidRDefault="00B62A43" w:rsidP="00B62A43">
            <w:pPr>
              <w:jc w:val="center"/>
              <w:rPr>
                <w:rFonts w:cstheme="majorBidi"/>
                <w:sz w:val="18"/>
                <w:szCs w:val="18"/>
              </w:rPr>
            </w:pPr>
            <w:r w:rsidRPr="0004264F">
              <w:rPr>
                <w:rFonts w:cstheme="majorBidi"/>
                <w:sz w:val="20"/>
                <w:szCs w:val="20"/>
              </w:rPr>
              <w:t>1220764</w:t>
            </w:r>
          </w:p>
        </w:tc>
        <w:tc>
          <w:tcPr>
            <w:tcW w:w="390" w:type="dxa"/>
          </w:tcPr>
          <w:p w14:paraId="2EC9ED7B" w14:textId="4CF5FE80" w:rsidR="00B62A43" w:rsidRPr="0004264F" w:rsidRDefault="00B62A43" w:rsidP="00B62A43">
            <w:pPr>
              <w:jc w:val="center"/>
              <w:rPr>
                <w:rFonts w:cstheme="majorBidi"/>
                <w:sz w:val="18"/>
                <w:szCs w:val="18"/>
              </w:rPr>
            </w:pPr>
          </w:p>
        </w:tc>
        <w:tc>
          <w:tcPr>
            <w:tcW w:w="2164" w:type="dxa"/>
          </w:tcPr>
          <w:p w14:paraId="13A862B9" w14:textId="7A81EB16" w:rsidR="00B62A43" w:rsidRPr="0004264F" w:rsidRDefault="00B62A43" w:rsidP="00B62A43">
            <w:pPr>
              <w:jc w:val="center"/>
              <w:rPr>
                <w:rFonts w:cstheme="majorBidi"/>
                <w:sz w:val="18"/>
                <w:szCs w:val="18"/>
              </w:rPr>
            </w:pPr>
            <w:r w:rsidRPr="0004264F">
              <w:rPr>
                <w:rFonts w:cstheme="majorBidi"/>
                <w:sz w:val="20"/>
                <w:szCs w:val="20"/>
              </w:rPr>
              <w:t>1220880</w:t>
            </w:r>
          </w:p>
        </w:tc>
        <w:tc>
          <w:tcPr>
            <w:tcW w:w="390" w:type="dxa"/>
          </w:tcPr>
          <w:p w14:paraId="3DE02148" w14:textId="77777777" w:rsidR="00B62A43" w:rsidRPr="0004264F" w:rsidRDefault="00B62A43" w:rsidP="00B62A43">
            <w:pPr>
              <w:jc w:val="center"/>
              <w:rPr>
                <w:rFonts w:cstheme="majorBidi"/>
                <w:sz w:val="18"/>
                <w:szCs w:val="18"/>
              </w:rPr>
            </w:pPr>
          </w:p>
        </w:tc>
      </w:tr>
      <w:tr w:rsidR="00B62A43" w:rsidRPr="0004264F" w14:paraId="68606AFD" w14:textId="77777777" w:rsidTr="00604FB1">
        <w:trPr>
          <w:trHeight w:val="259"/>
          <w:jc w:val="center"/>
        </w:trPr>
        <w:tc>
          <w:tcPr>
            <w:tcW w:w="3381" w:type="dxa"/>
            <w:vAlign w:val="center"/>
          </w:tcPr>
          <w:p w14:paraId="59D64D00" w14:textId="77777777" w:rsidR="00B62A43" w:rsidRPr="0004264F" w:rsidRDefault="00B62A43" w:rsidP="00B62A43">
            <w:pPr>
              <w:rPr>
                <w:rFonts w:cstheme="majorBidi"/>
                <w:sz w:val="18"/>
                <w:szCs w:val="18"/>
              </w:rPr>
            </w:pPr>
            <w:r w:rsidRPr="0004264F">
              <w:rPr>
                <w:rFonts w:cstheme="majorBidi"/>
                <w:sz w:val="18"/>
                <w:szCs w:val="18"/>
              </w:rPr>
              <w:t>R-squared</w:t>
            </w:r>
          </w:p>
        </w:tc>
        <w:tc>
          <w:tcPr>
            <w:tcW w:w="390" w:type="dxa"/>
            <w:vAlign w:val="center"/>
          </w:tcPr>
          <w:p w14:paraId="0D54D491" w14:textId="77777777" w:rsidR="00B62A43" w:rsidRPr="0004264F" w:rsidRDefault="00B62A43" w:rsidP="00B62A43">
            <w:pPr>
              <w:jc w:val="center"/>
              <w:rPr>
                <w:rFonts w:cstheme="majorBidi"/>
                <w:sz w:val="18"/>
                <w:szCs w:val="18"/>
              </w:rPr>
            </w:pPr>
          </w:p>
        </w:tc>
        <w:tc>
          <w:tcPr>
            <w:tcW w:w="2163" w:type="dxa"/>
          </w:tcPr>
          <w:p w14:paraId="0A6B70CE" w14:textId="6524A3D9" w:rsidR="00B62A43" w:rsidRPr="0004264F" w:rsidRDefault="00B62A43" w:rsidP="00B62A43">
            <w:pPr>
              <w:jc w:val="center"/>
              <w:rPr>
                <w:rFonts w:cstheme="majorBidi"/>
                <w:sz w:val="18"/>
                <w:szCs w:val="18"/>
              </w:rPr>
            </w:pPr>
            <w:r w:rsidRPr="0004264F">
              <w:rPr>
                <w:rFonts w:cstheme="majorBidi"/>
                <w:sz w:val="20"/>
                <w:szCs w:val="20"/>
              </w:rPr>
              <w:t>.1036</w:t>
            </w:r>
          </w:p>
        </w:tc>
        <w:tc>
          <w:tcPr>
            <w:tcW w:w="390" w:type="dxa"/>
          </w:tcPr>
          <w:p w14:paraId="56D3562B" w14:textId="51295781" w:rsidR="00B62A43" w:rsidRPr="0004264F" w:rsidRDefault="00B62A43" w:rsidP="00B62A43">
            <w:pPr>
              <w:jc w:val="center"/>
              <w:rPr>
                <w:rFonts w:cstheme="majorBidi"/>
                <w:sz w:val="18"/>
                <w:szCs w:val="18"/>
              </w:rPr>
            </w:pPr>
          </w:p>
        </w:tc>
        <w:tc>
          <w:tcPr>
            <w:tcW w:w="2163" w:type="dxa"/>
          </w:tcPr>
          <w:p w14:paraId="049D8678" w14:textId="49AEBB96" w:rsidR="00B62A43" w:rsidRPr="0004264F" w:rsidRDefault="00B62A43" w:rsidP="00B62A43">
            <w:pPr>
              <w:jc w:val="center"/>
              <w:rPr>
                <w:rFonts w:cstheme="majorBidi"/>
                <w:sz w:val="18"/>
                <w:szCs w:val="18"/>
              </w:rPr>
            </w:pPr>
            <w:r w:rsidRPr="0004264F">
              <w:rPr>
                <w:rFonts w:cstheme="majorBidi"/>
                <w:sz w:val="20"/>
                <w:szCs w:val="20"/>
              </w:rPr>
              <w:t>.10389</w:t>
            </w:r>
          </w:p>
        </w:tc>
        <w:tc>
          <w:tcPr>
            <w:tcW w:w="390" w:type="dxa"/>
          </w:tcPr>
          <w:p w14:paraId="2A3C4AB7" w14:textId="14314341" w:rsidR="00B62A43" w:rsidRPr="0004264F" w:rsidRDefault="00B62A43" w:rsidP="00B62A43">
            <w:pPr>
              <w:jc w:val="center"/>
              <w:rPr>
                <w:rFonts w:cstheme="majorBidi"/>
                <w:sz w:val="18"/>
                <w:szCs w:val="18"/>
              </w:rPr>
            </w:pPr>
          </w:p>
        </w:tc>
        <w:tc>
          <w:tcPr>
            <w:tcW w:w="2164" w:type="dxa"/>
          </w:tcPr>
          <w:p w14:paraId="660B0CE5" w14:textId="4F5F37B7" w:rsidR="00B62A43" w:rsidRPr="0004264F" w:rsidRDefault="00B62A43" w:rsidP="00B62A43">
            <w:pPr>
              <w:jc w:val="center"/>
              <w:rPr>
                <w:rFonts w:cstheme="majorBidi"/>
                <w:sz w:val="18"/>
                <w:szCs w:val="18"/>
              </w:rPr>
            </w:pPr>
            <w:r w:rsidRPr="0004264F">
              <w:rPr>
                <w:rFonts w:cstheme="majorBidi"/>
                <w:sz w:val="20"/>
                <w:szCs w:val="20"/>
              </w:rPr>
              <w:t>.10501</w:t>
            </w:r>
          </w:p>
        </w:tc>
        <w:tc>
          <w:tcPr>
            <w:tcW w:w="390" w:type="dxa"/>
          </w:tcPr>
          <w:p w14:paraId="50FA92CB" w14:textId="77777777" w:rsidR="00B62A43" w:rsidRPr="0004264F" w:rsidRDefault="00B62A43" w:rsidP="00B62A43">
            <w:pPr>
              <w:jc w:val="center"/>
              <w:rPr>
                <w:rFonts w:cstheme="majorBidi"/>
                <w:sz w:val="18"/>
                <w:szCs w:val="18"/>
              </w:rPr>
            </w:pPr>
          </w:p>
        </w:tc>
      </w:tr>
      <w:tr w:rsidR="00B62A43" w:rsidRPr="0004264F" w14:paraId="5EDBA386" w14:textId="77777777" w:rsidTr="00021E25">
        <w:trPr>
          <w:trHeight w:val="259"/>
          <w:jc w:val="center"/>
        </w:trPr>
        <w:tc>
          <w:tcPr>
            <w:tcW w:w="3381" w:type="dxa"/>
            <w:vAlign w:val="center"/>
          </w:tcPr>
          <w:p w14:paraId="55F54E97" w14:textId="77777777" w:rsidR="00B62A43" w:rsidRPr="0004264F" w:rsidRDefault="00B62A43" w:rsidP="00B62A43">
            <w:pPr>
              <w:rPr>
                <w:rFonts w:cstheme="majorBidi"/>
                <w:sz w:val="18"/>
                <w:szCs w:val="18"/>
              </w:rPr>
            </w:pPr>
          </w:p>
        </w:tc>
        <w:tc>
          <w:tcPr>
            <w:tcW w:w="390" w:type="dxa"/>
            <w:vAlign w:val="center"/>
          </w:tcPr>
          <w:p w14:paraId="3ED4D929" w14:textId="77777777" w:rsidR="00B62A43" w:rsidRPr="0004264F" w:rsidRDefault="00B62A43" w:rsidP="00B62A43">
            <w:pPr>
              <w:jc w:val="center"/>
              <w:rPr>
                <w:rFonts w:cstheme="majorBidi"/>
                <w:sz w:val="18"/>
                <w:szCs w:val="18"/>
              </w:rPr>
            </w:pPr>
          </w:p>
        </w:tc>
        <w:tc>
          <w:tcPr>
            <w:tcW w:w="2163" w:type="dxa"/>
            <w:vAlign w:val="center"/>
          </w:tcPr>
          <w:p w14:paraId="069BDFBA" w14:textId="77777777" w:rsidR="00B62A43" w:rsidRPr="0004264F" w:rsidRDefault="00B62A43" w:rsidP="00B62A43">
            <w:pPr>
              <w:jc w:val="center"/>
              <w:rPr>
                <w:rFonts w:cstheme="majorBidi"/>
                <w:sz w:val="18"/>
                <w:szCs w:val="18"/>
              </w:rPr>
            </w:pPr>
          </w:p>
        </w:tc>
        <w:tc>
          <w:tcPr>
            <w:tcW w:w="390" w:type="dxa"/>
            <w:vAlign w:val="center"/>
          </w:tcPr>
          <w:p w14:paraId="24E29047" w14:textId="77777777" w:rsidR="00B62A43" w:rsidRPr="0004264F" w:rsidRDefault="00B62A43" w:rsidP="00B62A43">
            <w:pPr>
              <w:jc w:val="center"/>
              <w:rPr>
                <w:rFonts w:cstheme="majorBidi"/>
                <w:sz w:val="18"/>
                <w:szCs w:val="18"/>
              </w:rPr>
            </w:pPr>
          </w:p>
        </w:tc>
        <w:tc>
          <w:tcPr>
            <w:tcW w:w="2163" w:type="dxa"/>
            <w:vAlign w:val="center"/>
          </w:tcPr>
          <w:p w14:paraId="22C5C5FE" w14:textId="77777777" w:rsidR="00B62A43" w:rsidRPr="0004264F" w:rsidRDefault="00B62A43" w:rsidP="00B62A43">
            <w:pPr>
              <w:jc w:val="center"/>
              <w:rPr>
                <w:rFonts w:cstheme="majorBidi"/>
                <w:sz w:val="18"/>
                <w:szCs w:val="18"/>
              </w:rPr>
            </w:pPr>
          </w:p>
        </w:tc>
        <w:tc>
          <w:tcPr>
            <w:tcW w:w="390" w:type="dxa"/>
            <w:vAlign w:val="center"/>
          </w:tcPr>
          <w:p w14:paraId="18495EB8" w14:textId="77777777" w:rsidR="00B62A43" w:rsidRPr="0004264F" w:rsidRDefault="00B62A43" w:rsidP="00B62A43">
            <w:pPr>
              <w:jc w:val="center"/>
              <w:rPr>
                <w:rFonts w:cstheme="majorBidi"/>
                <w:sz w:val="18"/>
                <w:szCs w:val="18"/>
              </w:rPr>
            </w:pPr>
          </w:p>
        </w:tc>
        <w:tc>
          <w:tcPr>
            <w:tcW w:w="2164" w:type="dxa"/>
            <w:vAlign w:val="center"/>
          </w:tcPr>
          <w:p w14:paraId="51C36A39" w14:textId="77777777" w:rsidR="00B62A43" w:rsidRPr="0004264F" w:rsidRDefault="00B62A43" w:rsidP="00B62A43">
            <w:pPr>
              <w:jc w:val="center"/>
              <w:rPr>
                <w:rFonts w:cstheme="majorBidi"/>
                <w:sz w:val="18"/>
                <w:szCs w:val="18"/>
              </w:rPr>
            </w:pPr>
          </w:p>
        </w:tc>
        <w:tc>
          <w:tcPr>
            <w:tcW w:w="390" w:type="dxa"/>
            <w:vAlign w:val="center"/>
          </w:tcPr>
          <w:p w14:paraId="50CEDB15" w14:textId="77777777" w:rsidR="00B62A43" w:rsidRPr="0004264F" w:rsidRDefault="00B62A43" w:rsidP="00B62A43">
            <w:pPr>
              <w:jc w:val="center"/>
              <w:rPr>
                <w:rFonts w:cstheme="majorBidi"/>
                <w:sz w:val="18"/>
                <w:szCs w:val="18"/>
              </w:rPr>
            </w:pPr>
          </w:p>
        </w:tc>
      </w:tr>
      <w:tr w:rsidR="00B62A43" w:rsidRPr="0004264F" w14:paraId="7F03876D" w14:textId="77777777" w:rsidTr="00021E25">
        <w:trPr>
          <w:trHeight w:val="259"/>
          <w:jc w:val="center"/>
        </w:trPr>
        <w:tc>
          <w:tcPr>
            <w:tcW w:w="3381" w:type="dxa"/>
            <w:vAlign w:val="center"/>
          </w:tcPr>
          <w:p w14:paraId="2B1D2D50" w14:textId="77777777" w:rsidR="00B62A43" w:rsidRPr="0004264F" w:rsidRDefault="00B62A43" w:rsidP="00B62A43">
            <w:pPr>
              <w:rPr>
                <w:rFonts w:cstheme="majorBidi"/>
                <w:sz w:val="18"/>
                <w:szCs w:val="18"/>
              </w:rPr>
            </w:pPr>
          </w:p>
        </w:tc>
        <w:tc>
          <w:tcPr>
            <w:tcW w:w="390" w:type="dxa"/>
            <w:vAlign w:val="center"/>
          </w:tcPr>
          <w:p w14:paraId="1960238B" w14:textId="77777777" w:rsidR="00B62A43" w:rsidRPr="0004264F" w:rsidRDefault="00B62A43" w:rsidP="00B62A43">
            <w:pPr>
              <w:jc w:val="center"/>
              <w:rPr>
                <w:rFonts w:cstheme="majorBidi"/>
                <w:sz w:val="18"/>
                <w:szCs w:val="18"/>
              </w:rPr>
            </w:pPr>
          </w:p>
        </w:tc>
        <w:tc>
          <w:tcPr>
            <w:tcW w:w="2163" w:type="dxa"/>
            <w:tcBorders>
              <w:bottom w:val="single" w:sz="4" w:space="0" w:color="auto"/>
            </w:tcBorders>
            <w:vAlign w:val="center"/>
          </w:tcPr>
          <w:p w14:paraId="184037EE" w14:textId="072E77CC" w:rsidR="00B62A43" w:rsidRPr="0004264F" w:rsidRDefault="00B62A43" w:rsidP="00B62A43">
            <w:pPr>
              <w:jc w:val="center"/>
              <w:rPr>
                <w:rFonts w:cstheme="majorBidi"/>
                <w:sz w:val="18"/>
                <w:szCs w:val="18"/>
              </w:rPr>
            </w:pPr>
            <w:r w:rsidRPr="0004264F">
              <w:rPr>
                <w:rFonts w:cstheme="majorBidi"/>
                <w:sz w:val="18"/>
                <w:szCs w:val="18"/>
              </w:rPr>
              <w:t>Adding County-by-Birth-Year Trend</w:t>
            </w:r>
          </w:p>
        </w:tc>
        <w:tc>
          <w:tcPr>
            <w:tcW w:w="390" w:type="dxa"/>
            <w:vAlign w:val="center"/>
          </w:tcPr>
          <w:p w14:paraId="72AE7448" w14:textId="77777777" w:rsidR="00B62A43" w:rsidRPr="0004264F" w:rsidRDefault="00B62A43" w:rsidP="00B62A43">
            <w:pPr>
              <w:jc w:val="center"/>
              <w:rPr>
                <w:rFonts w:cstheme="majorBidi"/>
                <w:sz w:val="18"/>
                <w:szCs w:val="18"/>
              </w:rPr>
            </w:pPr>
          </w:p>
        </w:tc>
        <w:tc>
          <w:tcPr>
            <w:tcW w:w="2163" w:type="dxa"/>
            <w:tcBorders>
              <w:bottom w:val="single" w:sz="4" w:space="0" w:color="auto"/>
            </w:tcBorders>
            <w:vAlign w:val="center"/>
          </w:tcPr>
          <w:p w14:paraId="29AFF1A8" w14:textId="1CB67439" w:rsidR="00B62A43" w:rsidRPr="0004264F" w:rsidRDefault="00B62A43" w:rsidP="00B62A43">
            <w:pPr>
              <w:jc w:val="center"/>
              <w:rPr>
                <w:rFonts w:cstheme="majorBidi"/>
                <w:sz w:val="18"/>
                <w:szCs w:val="18"/>
              </w:rPr>
            </w:pPr>
            <w:r w:rsidRPr="0004264F">
              <w:rPr>
                <w:rFonts w:cstheme="majorBidi"/>
                <w:sz w:val="18"/>
                <w:szCs w:val="18"/>
              </w:rPr>
              <w:t>Adding Birth-Month and Death-Month FE</w:t>
            </w:r>
          </w:p>
        </w:tc>
        <w:tc>
          <w:tcPr>
            <w:tcW w:w="390" w:type="dxa"/>
            <w:vAlign w:val="center"/>
          </w:tcPr>
          <w:p w14:paraId="5DD68B7A" w14:textId="77777777" w:rsidR="00B62A43" w:rsidRPr="0004264F" w:rsidRDefault="00B62A43" w:rsidP="00B62A43">
            <w:pPr>
              <w:jc w:val="center"/>
              <w:rPr>
                <w:rFonts w:cstheme="majorBidi"/>
                <w:sz w:val="18"/>
                <w:szCs w:val="18"/>
              </w:rPr>
            </w:pPr>
          </w:p>
        </w:tc>
        <w:tc>
          <w:tcPr>
            <w:tcW w:w="2164" w:type="dxa"/>
            <w:tcBorders>
              <w:bottom w:val="single" w:sz="4" w:space="0" w:color="auto"/>
            </w:tcBorders>
            <w:vAlign w:val="center"/>
          </w:tcPr>
          <w:p w14:paraId="0AB1B22C" w14:textId="1E958181" w:rsidR="00B62A43" w:rsidRPr="0004264F" w:rsidRDefault="00B62A43" w:rsidP="00B62A43">
            <w:pPr>
              <w:jc w:val="center"/>
              <w:rPr>
                <w:rFonts w:cstheme="majorBidi"/>
                <w:sz w:val="18"/>
                <w:szCs w:val="18"/>
              </w:rPr>
            </w:pPr>
            <w:r w:rsidRPr="0004264F">
              <w:rPr>
                <w:rFonts w:cstheme="majorBidi"/>
                <w:sz w:val="18"/>
                <w:szCs w:val="18"/>
              </w:rPr>
              <w:t>Outcome: Log Age at Death</w:t>
            </w:r>
            <w:r w:rsidRPr="0004264F" w:rsidDel="00021E25">
              <w:rPr>
                <w:rFonts w:cstheme="majorBidi"/>
                <w:sz w:val="18"/>
                <w:szCs w:val="18"/>
              </w:rPr>
              <w:t xml:space="preserve"> </w:t>
            </w:r>
          </w:p>
        </w:tc>
        <w:tc>
          <w:tcPr>
            <w:tcW w:w="390" w:type="dxa"/>
            <w:vAlign w:val="center"/>
          </w:tcPr>
          <w:p w14:paraId="5E0CF635" w14:textId="77777777" w:rsidR="00B62A43" w:rsidRPr="0004264F" w:rsidRDefault="00B62A43" w:rsidP="00B62A43">
            <w:pPr>
              <w:jc w:val="center"/>
              <w:rPr>
                <w:rFonts w:cstheme="majorBidi"/>
                <w:sz w:val="18"/>
                <w:szCs w:val="18"/>
              </w:rPr>
            </w:pPr>
          </w:p>
        </w:tc>
      </w:tr>
      <w:tr w:rsidR="00B62A43" w:rsidRPr="0004264F" w14:paraId="1A1C3E74" w14:textId="77777777" w:rsidTr="00021E25">
        <w:trPr>
          <w:trHeight w:val="259"/>
          <w:jc w:val="center"/>
        </w:trPr>
        <w:tc>
          <w:tcPr>
            <w:tcW w:w="3381" w:type="dxa"/>
            <w:tcBorders>
              <w:bottom w:val="single" w:sz="4" w:space="0" w:color="auto"/>
            </w:tcBorders>
            <w:vAlign w:val="center"/>
          </w:tcPr>
          <w:p w14:paraId="456F58EF" w14:textId="77777777" w:rsidR="00B62A43" w:rsidRPr="0004264F" w:rsidRDefault="00B62A43" w:rsidP="00B62A43">
            <w:pPr>
              <w:rPr>
                <w:rFonts w:cstheme="majorBidi"/>
                <w:sz w:val="18"/>
                <w:szCs w:val="18"/>
              </w:rPr>
            </w:pPr>
          </w:p>
        </w:tc>
        <w:tc>
          <w:tcPr>
            <w:tcW w:w="390" w:type="dxa"/>
            <w:tcBorders>
              <w:bottom w:val="single" w:sz="4" w:space="0" w:color="auto"/>
            </w:tcBorders>
            <w:vAlign w:val="center"/>
          </w:tcPr>
          <w:p w14:paraId="5BB397DF" w14:textId="77777777" w:rsidR="00B62A43" w:rsidRPr="0004264F" w:rsidRDefault="00B62A43" w:rsidP="00B62A43">
            <w:pPr>
              <w:jc w:val="center"/>
              <w:rPr>
                <w:rFonts w:cstheme="majorBidi"/>
                <w:sz w:val="18"/>
                <w:szCs w:val="18"/>
              </w:rPr>
            </w:pPr>
          </w:p>
        </w:tc>
        <w:tc>
          <w:tcPr>
            <w:tcW w:w="2163" w:type="dxa"/>
            <w:tcBorders>
              <w:top w:val="single" w:sz="4" w:space="0" w:color="auto"/>
              <w:bottom w:val="single" w:sz="4" w:space="0" w:color="auto"/>
            </w:tcBorders>
            <w:vAlign w:val="center"/>
          </w:tcPr>
          <w:p w14:paraId="13D6380E" w14:textId="689600B0" w:rsidR="00B62A43" w:rsidRPr="0004264F" w:rsidRDefault="00B62A43" w:rsidP="00B62A43">
            <w:pPr>
              <w:jc w:val="center"/>
              <w:rPr>
                <w:rFonts w:cstheme="majorBidi"/>
                <w:sz w:val="18"/>
                <w:szCs w:val="18"/>
              </w:rPr>
            </w:pPr>
            <w:r w:rsidRPr="0004264F">
              <w:rPr>
                <w:rFonts w:cstheme="majorBidi"/>
                <w:sz w:val="18"/>
                <w:szCs w:val="18"/>
              </w:rPr>
              <w:t>(4)</w:t>
            </w:r>
          </w:p>
        </w:tc>
        <w:tc>
          <w:tcPr>
            <w:tcW w:w="390" w:type="dxa"/>
            <w:tcBorders>
              <w:bottom w:val="single" w:sz="4" w:space="0" w:color="auto"/>
            </w:tcBorders>
            <w:vAlign w:val="center"/>
          </w:tcPr>
          <w:p w14:paraId="1C313619" w14:textId="77777777" w:rsidR="00B62A43" w:rsidRPr="0004264F" w:rsidRDefault="00B62A43" w:rsidP="00B62A43">
            <w:pPr>
              <w:jc w:val="center"/>
              <w:rPr>
                <w:rFonts w:cstheme="majorBidi"/>
                <w:sz w:val="18"/>
                <w:szCs w:val="18"/>
              </w:rPr>
            </w:pPr>
          </w:p>
        </w:tc>
        <w:tc>
          <w:tcPr>
            <w:tcW w:w="2163" w:type="dxa"/>
            <w:tcBorders>
              <w:top w:val="single" w:sz="4" w:space="0" w:color="auto"/>
              <w:bottom w:val="single" w:sz="4" w:space="0" w:color="auto"/>
            </w:tcBorders>
            <w:vAlign w:val="center"/>
          </w:tcPr>
          <w:p w14:paraId="26F51BB9" w14:textId="5DA53D12" w:rsidR="00B62A43" w:rsidRPr="0004264F" w:rsidRDefault="00B62A43" w:rsidP="00B62A43">
            <w:pPr>
              <w:jc w:val="center"/>
              <w:rPr>
                <w:rFonts w:cstheme="majorBidi"/>
                <w:sz w:val="18"/>
                <w:szCs w:val="18"/>
              </w:rPr>
            </w:pPr>
            <w:r w:rsidRPr="0004264F">
              <w:rPr>
                <w:rFonts w:cstheme="majorBidi"/>
                <w:sz w:val="18"/>
                <w:szCs w:val="18"/>
              </w:rPr>
              <w:t>(5)</w:t>
            </w:r>
          </w:p>
        </w:tc>
        <w:tc>
          <w:tcPr>
            <w:tcW w:w="390" w:type="dxa"/>
            <w:tcBorders>
              <w:bottom w:val="single" w:sz="4" w:space="0" w:color="auto"/>
            </w:tcBorders>
            <w:vAlign w:val="center"/>
          </w:tcPr>
          <w:p w14:paraId="24355C5B" w14:textId="77777777" w:rsidR="00B62A43" w:rsidRPr="0004264F" w:rsidRDefault="00B62A43" w:rsidP="00B62A43">
            <w:pPr>
              <w:jc w:val="center"/>
              <w:rPr>
                <w:rFonts w:cstheme="majorBidi"/>
                <w:sz w:val="18"/>
                <w:szCs w:val="18"/>
              </w:rPr>
            </w:pPr>
          </w:p>
        </w:tc>
        <w:tc>
          <w:tcPr>
            <w:tcW w:w="2164" w:type="dxa"/>
            <w:tcBorders>
              <w:top w:val="single" w:sz="4" w:space="0" w:color="auto"/>
              <w:bottom w:val="single" w:sz="4" w:space="0" w:color="auto"/>
            </w:tcBorders>
            <w:vAlign w:val="center"/>
          </w:tcPr>
          <w:p w14:paraId="2E24C1DD" w14:textId="2724D347" w:rsidR="00B62A43" w:rsidRPr="0004264F" w:rsidRDefault="00B62A43" w:rsidP="00B62A43">
            <w:pPr>
              <w:jc w:val="center"/>
              <w:rPr>
                <w:rFonts w:cstheme="majorBidi"/>
                <w:sz w:val="18"/>
                <w:szCs w:val="18"/>
              </w:rPr>
            </w:pPr>
            <w:r w:rsidRPr="0004264F">
              <w:rPr>
                <w:rFonts w:cstheme="majorBidi"/>
                <w:sz w:val="18"/>
                <w:szCs w:val="18"/>
              </w:rPr>
              <w:t>(6)</w:t>
            </w:r>
          </w:p>
        </w:tc>
        <w:tc>
          <w:tcPr>
            <w:tcW w:w="390" w:type="dxa"/>
            <w:tcBorders>
              <w:bottom w:val="single" w:sz="4" w:space="0" w:color="auto"/>
            </w:tcBorders>
            <w:vAlign w:val="center"/>
          </w:tcPr>
          <w:p w14:paraId="532DF49B" w14:textId="77777777" w:rsidR="00B62A43" w:rsidRPr="0004264F" w:rsidRDefault="00B62A43" w:rsidP="00B62A43">
            <w:pPr>
              <w:jc w:val="center"/>
              <w:rPr>
                <w:rFonts w:cstheme="majorBidi"/>
                <w:sz w:val="18"/>
                <w:szCs w:val="18"/>
              </w:rPr>
            </w:pPr>
          </w:p>
        </w:tc>
      </w:tr>
      <w:tr w:rsidR="00B62A43" w:rsidRPr="0004264F" w14:paraId="22891774" w14:textId="77777777" w:rsidTr="00021E25">
        <w:trPr>
          <w:trHeight w:val="259"/>
          <w:jc w:val="center"/>
        </w:trPr>
        <w:tc>
          <w:tcPr>
            <w:tcW w:w="3381" w:type="dxa"/>
            <w:vMerge w:val="restart"/>
            <w:tcBorders>
              <w:top w:val="single" w:sz="4" w:space="0" w:color="auto"/>
            </w:tcBorders>
            <w:vAlign w:val="center"/>
          </w:tcPr>
          <w:p w14:paraId="4894AD39" w14:textId="77777777" w:rsidR="00B62A43" w:rsidRPr="0004264F" w:rsidRDefault="00B62A43" w:rsidP="00B62A43">
            <w:pPr>
              <w:rPr>
                <w:rFonts w:cstheme="majorBidi"/>
                <w:sz w:val="18"/>
                <w:szCs w:val="18"/>
              </w:rPr>
            </w:pPr>
            <w:r w:rsidRPr="0004264F">
              <w:rPr>
                <w:rFonts w:cstheme="majorBidi"/>
                <w:sz w:val="18"/>
                <w:szCs w:val="18"/>
              </w:rPr>
              <w:t>Deposits per Capita (STD)</w:t>
            </w:r>
          </w:p>
        </w:tc>
        <w:tc>
          <w:tcPr>
            <w:tcW w:w="390" w:type="dxa"/>
            <w:tcBorders>
              <w:top w:val="single" w:sz="4" w:space="0" w:color="auto"/>
            </w:tcBorders>
            <w:vAlign w:val="center"/>
          </w:tcPr>
          <w:p w14:paraId="0AC64FAF" w14:textId="77777777" w:rsidR="00B62A43" w:rsidRPr="0004264F" w:rsidRDefault="00B62A43" w:rsidP="00B62A43">
            <w:pPr>
              <w:jc w:val="center"/>
              <w:rPr>
                <w:rFonts w:cstheme="majorBidi"/>
                <w:sz w:val="18"/>
                <w:szCs w:val="18"/>
              </w:rPr>
            </w:pPr>
          </w:p>
        </w:tc>
        <w:tc>
          <w:tcPr>
            <w:tcW w:w="2163" w:type="dxa"/>
            <w:tcBorders>
              <w:top w:val="single" w:sz="4" w:space="0" w:color="auto"/>
            </w:tcBorders>
          </w:tcPr>
          <w:p w14:paraId="74EB963B" w14:textId="12E95999" w:rsidR="00B62A43" w:rsidRPr="0004264F" w:rsidRDefault="00B62A43" w:rsidP="00B62A43">
            <w:pPr>
              <w:jc w:val="center"/>
              <w:rPr>
                <w:rFonts w:cstheme="majorBidi"/>
                <w:sz w:val="18"/>
                <w:szCs w:val="18"/>
              </w:rPr>
            </w:pPr>
            <w:r w:rsidRPr="0004264F">
              <w:rPr>
                <w:rFonts w:cstheme="majorBidi"/>
                <w:sz w:val="20"/>
                <w:szCs w:val="20"/>
              </w:rPr>
              <w:t>2.39254***</w:t>
            </w:r>
          </w:p>
        </w:tc>
        <w:tc>
          <w:tcPr>
            <w:tcW w:w="390" w:type="dxa"/>
            <w:tcBorders>
              <w:top w:val="single" w:sz="4" w:space="0" w:color="auto"/>
            </w:tcBorders>
          </w:tcPr>
          <w:p w14:paraId="0CEF5557" w14:textId="40EF5B89" w:rsidR="00B62A43" w:rsidRPr="0004264F" w:rsidRDefault="00B62A43" w:rsidP="00B62A43">
            <w:pPr>
              <w:jc w:val="center"/>
              <w:rPr>
                <w:rFonts w:cstheme="majorBidi"/>
                <w:sz w:val="18"/>
                <w:szCs w:val="18"/>
              </w:rPr>
            </w:pPr>
          </w:p>
        </w:tc>
        <w:tc>
          <w:tcPr>
            <w:tcW w:w="2163" w:type="dxa"/>
            <w:tcBorders>
              <w:top w:val="single" w:sz="4" w:space="0" w:color="auto"/>
            </w:tcBorders>
          </w:tcPr>
          <w:p w14:paraId="54A9A07A" w14:textId="1D1F0E90" w:rsidR="00B62A43" w:rsidRPr="0004264F" w:rsidRDefault="00B62A43" w:rsidP="00B62A43">
            <w:pPr>
              <w:jc w:val="center"/>
              <w:rPr>
                <w:rFonts w:cstheme="majorBidi"/>
                <w:sz w:val="18"/>
                <w:szCs w:val="18"/>
              </w:rPr>
            </w:pPr>
            <w:r w:rsidRPr="0004264F">
              <w:rPr>
                <w:rFonts w:cstheme="majorBidi"/>
                <w:sz w:val="20"/>
                <w:szCs w:val="20"/>
              </w:rPr>
              <w:t>1.72548**</w:t>
            </w:r>
          </w:p>
        </w:tc>
        <w:tc>
          <w:tcPr>
            <w:tcW w:w="390" w:type="dxa"/>
            <w:tcBorders>
              <w:top w:val="single" w:sz="4" w:space="0" w:color="auto"/>
            </w:tcBorders>
          </w:tcPr>
          <w:p w14:paraId="0A7E592A" w14:textId="7B685829" w:rsidR="00B62A43" w:rsidRPr="0004264F" w:rsidRDefault="00B62A43" w:rsidP="00B62A43">
            <w:pPr>
              <w:jc w:val="center"/>
              <w:rPr>
                <w:rFonts w:cstheme="majorBidi"/>
                <w:sz w:val="18"/>
                <w:szCs w:val="18"/>
              </w:rPr>
            </w:pPr>
          </w:p>
        </w:tc>
        <w:tc>
          <w:tcPr>
            <w:tcW w:w="2164" w:type="dxa"/>
            <w:tcBorders>
              <w:top w:val="single" w:sz="4" w:space="0" w:color="auto"/>
            </w:tcBorders>
          </w:tcPr>
          <w:p w14:paraId="2C2F68DD" w14:textId="4B7E64D5" w:rsidR="00B62A43" w:rsidRPr="0004264F" w:rsidRDefault="00B62A43" w:rsidP="00B62A43">
            <w:pPr>
              <w:jc w:val="center"/>
              <w:rPr>
                <w:rFonts w:cstheme="majorBidi"/>
                <w:sz w:val="18"/>
                <w:szCs w:val="18"/>
              </w:rPr>
            </w:pPr>
            <w:r w:rsidRPr="0004264F">
              <w:rPr>
                <w:rFonts w:cstheme="majorBidi"/>
                <w:sz w:val="20"/>
                <w:szCs w:val="20"/>
              </w:rPr>
              <w:t>.00244**</w:t>
            </w:r>
          </w:p>
        </w:tc>
        <w:tc>
          <w:tcPr>
            <w:tcW w:w="390" w:type="dxa"/>
            <w:tcBorders>
              <w:top w:val="single" w:sz="4" w:space="0" w:color="auto"/>
            </w:tcBorders>
          </w:tcPr>
          <w:p w14:paraId="31D6C080" w14:textId="77777777" w:rsidR="00B62A43" w:rsidRPr="0004264F" w:rsidRDefault="00B62A43" w:rsidP="00B62A43">
            <w:pPr>
              <w:jc w:val="center"/>
              <w:rPr>
                <w:rFonts w:cstheme="majorBidi"/>
                <w:sz w:val="18"/>
                <w:szCs w:val="18"/>
              </w:rPr>
            </w:pPr>
          </w:p>
        </w:tc>
      </w:tr>
      <w:tr w:rsidR="00B62A43" w:rsidRPr="0004264F" w14:paraId="5A9E1D3D" w14:textId="77777777" w:rsidTr="00021E25">
        <w:trPr>
          <w:trHeight w:val="259"/>
          <w:jc w:val="center"/>
        </w:trPr>
        <w:tc>
          <w:tcPr>
            <w:tcW w:w="3381" w:type="dxa"/>
            <w:vMerge/>
            <w:vAlign w:val="center"/>
          </w:tcPr>
          <w:p w14:paraId="00558D3E" w14:textId="77777777" w:rsidR="00B62A43" w:rsidRPr="0004264F" w:rsidRDefault="00B62A43" w:rsidP="00B62A43">
            <w:pPr>
              <w:rPr>
                <w:rFonts w:cstheme="majorBidi"/>
                <w:sz w:val="18"/>
                <w:szCs w:val="18"/>
              </w:rPr>
            </w:pPr>
          </w:p>
        </w:tc>
        <w:tc>
          <w:tcPr>
            <w:tcW w:w="390" w:type="dxa"/>
            <w:vAlign w:val="center"/>
          </w:tcPr>
          <w:p w14:paraId="6D183DAA" w14:textId="77777777" w:rsidR="00B62A43" w:rsidRPr="0004264F" w:rsidRDefault="00B62A43" w:rsidP="00B62A43">
            <w:pPr>
              <w:jc w:val="center"/>
              <w:rPr>
                <w:rFonts w:cstheme="majorBidi"/>
                <w:sz w:val="18"/>
                <w:szCs w:val="18"/>
              </w:rPr>
            </w:pPr>
          </w:p>
        </w:tc>
        <w:tc>
          <w:tcPr>
            <w:tcW w:w="2163" w:type="dxa"/>
          </w:tcPr>
          <w:p w14:paraId="5602A12A" w14:textId="4AEF13E6" w:rsidR="00B62A43" w:rsidRPr="0004264F" w:rsidRDefault="00B62A43" w:rsidP="00B62A43">
            <w:pPr>
              <w:jc w:val="center"/>
              <w:rPr>
                <w:rFonts w:cstheme="majorBidi"/>
                <w:sz w:val="18"/>
                <w:szCs w:val="18"/>
              </w:rPr>
            </w:pPr>
            <w:r w:rsidRPr="0004264F">
              <w:rPr>
                <w:rFonts w:cstheme="majorBidi"/>
                <w:sz w:val="20"/>
                <w:szCs w:val="20"/>
              </w:rPr>
              <w:t>(.59011)</w:t>
            </w:r>
          </w:p>
        </w:tc>
        <w:tc>
          <w:tcPr>
            <w:tcW w:w="390" w:type="dxa"/>
          </w:tcPr>
          <w:p w14:paraId="3DED9A9B" w14:textId="7EB165E8" w:rsidR="00B62A43" w:rsidRPr="0004264F" w:rsidRDefault="00B62A43" w:rsidP="00B62A43">
            <w:pPr>
              <w:jc w:val="center"/>
              <w:rPr>
                <w:rFonts w:cstheme="majorBidi"/>
                <w:sz w:val="18"/>
                <w:szCs w:val="18"/>
              </w:rPr>
            </w:pPr>
          </w:p>
        </w:tc>
        <w:tc>
          <w:tcPr>
            <w:tcW w:w="2163" w:type="dxa"/>
          </w:tcPr>
          <w:p w14:paraId="5F50F7AF" w14:textId="50DB3432" w:rsidR="00B62A43" w:rsidRPr="0004264F" w:rsidRDefault="00B62A43" w:rsidP="00B62A43">
            <w:pPr>
              <w:jc w:val="center"/>
              <w:rPr>
                <w:rFonts w:cstheme="majorBidi"/>
                <w:sz w:val="18"/>
                <w:szCs w:val="18"/>
              </w:rPr>
            </w:pPr>
            <w:r w:rsidRPr="0004264F">
              <w:rPr>
                <w:rFonts w:cstheme="majorBidi"/>
                <w:sz w:val="20"/>
                <w:szCs w:val="20"/>
              </w:rPr>
              <w:t>(.70252)</w:t>
            </w:r>
          </w:p>
        </w:tc>
        <w:tc>
          <w:tcPr>
            <w:tcW w:w="390" w:type="dxa"/>
          </w:tcPr>
          <w:p w14:paraId="403AEA70" w14:textId="6D0B15FA" w:rsidR="00B62A43" w:rsidRPr="0004264F" w:rsidRDefault="00B62A43" w:rsidP="00B62A43">
            <w:pPr>
              <w:jc w:val="center"/>
              <w:rPr>
                <w:rFonts w:cstheme="majorBidi"/>
                <w:sz w:val="18"/>
                <w:szCs w:val="18"/>
              </w:rPr>
            </w:pPr>
          </w:p>
        </w:tc>
        <w:tc>
          <w:tcPr>
            <w:tcW w:w="2164" w:type="dxa"/>
          </w:tcPr>
          <w:p w14:paraId="2F4099D0" w14:textId="046E539C" w:rsidR="00B62A43" w:rsidRPr="0004264F" w:rsidRDefault="00B62A43" w:rsidP="00B62A43">
            <w:pPr>
              <w:jc w:val="center"/>
              <w:rPr>
                <w:rFonts w:cstheme="majorBidi"/>
                <w:sz w:val="18"/>
                <w:szCs w:val="18"/>
              </w:rPr>
            </w:pPr>
            <w:r w:rsidRPr="0004264F">
              <w:rPr>
                <w:rFonts w:cstheme="majorBidi"/>
                <w:sz w:val="20"/>
                <w:szCs w:val="20"/>
              </w:rPr>
              <w:t>(.00103)</w:t>
            </w:r>
          </w:p>
        </w:tc>
        <w:tc>
          <w:tcPr>
            <w:tcW w:w="390" w:type="dxa"/>
          </w:tcPr>
          <w:p w14:paraId="5C599335" w14:textId="77777777" w:rsidR="00B62A43" w:rsidRPr="0004264F" w:rsidRDefault="00B62A43" w:rsidP="00B62A43">
            <w:pPr>
              <w:jc w:val="center"/>
              <w:rPr>
                <w:rFonts w:cstheme="majorBidi"/>
                <w:sz w:val="18"/>
                <w:szCs w:val="18"/>
              </w:rPr>
            </w:pPr>
          </w:p>
        </w:tc>
      </w:tr>
      <w:tr w:rsidR="00B62A43" w:rsidRPr="0004264F" w14:paraId="79E5C115" w14:textId="77777777" w:rsidTr="00021E25">
        <w:trPr>
          <w:trHeight w:val="259"/>
          <w:jc w:val="center"/>
        </w:trPr>
        <w:tc>
          <w:tcPr>
            <w:tcW w:w="3381" w:type="dxa"/>
            <w:vAlign w:val="center"/>
          </w:tcPr>
          <w:p w14:paraId="7ED4A438" w14:textId="77777777" w:rsidR="00B62A43" w:rsidRPr="0004264F" w:rsidRDefault="00B62A43" w:rsidP="00B62A43">
            <w:pPr>
              <w:rPr>
                <w:rFonts w:cstheme="majorBidi"/>
                <w:sz w:val="18"/>
                <w:szCs w:val="18"/>
              </w:rPr>
            </w:pPr>
            <w:r w:rsidRPr="0004264F">
              <w:rPr>
                <w:rFonts w:cstheme="majorBidi"/>
                <w:sz w:val="18"/>
                <w:szCs w:val="18"/>
              </w:rPr>
              <w:t>Observations</w:t>
            </w:r>
          </w:p>
        </w:tc>
        <w:tc>
          <w:tcPr>
            <w:tcW w:w="390" w:type="dxa"/>
            <w:vAlign w:val="center"/>
          </w:tcPr>
          <w:p w14:paraId="3EACEA3C" w14:textId="77777777" w:rsidR="00B62A43" w:rsidRPr="0004264F" w:rsidRDefault="00B62A43" w:rsidP="00B62A43">
            <w:pPr>
              <w:jc w:val="center"/>
              <w:rPr>
                <w:rFonts w:cstheme="majorBidi"/>
                <w:sz w:val="18"/>
                <w:szCs w:val="18"/>
              </w:rPr>
            </w:pPr>
          </w:p>
        </w:tc>
        <w:tc>
          <w:tcPr>
            <w:tcW w:w="2163" w:type="dxa"/>
          </w:tcPr>
          <w:p w14:paraId="0AA2DD3C" w14:textId="178A3B4D" w:rsidR="00B62A43" w:rsidRPr="0004264F" w:rsidRDefault="00B62A43" w:rsidP="00B62A43">
            <w:pPr>
              <w:jc w:val="center"/>
              <w:rPr>
                <w:rFonts w:cstheme="majorBidi"/>
                <w:sz w:val="18"/>
                <w:szCs w:val="18"/>
              </w:rPr>
            </w:pPr>
            <w:r w:rsidRPr="0004264F">
              <w:rPr>
                <w:rFonts w:cstheme="majorBidi"/>
                <w:sz w:val="20"/>
                <w:szCs w:val="20"/>
              </w:rPr>
              <w:t>1221113</w:t>
            </w:r>
          </w:p>
        </w:tc>
        <w:tc>
          <w:tcPr>
            <w:tcW w:w="390" w:type="dxa"/>
          </w:tcPr>
          <w:p w14:paraId="250E0DAE" w14:textId="5BB62709" w:rsidR="00B62A43" w:rsidRPr="0004264F" w:rsidRDefault="00B62A43" w:rsidP="00B62A43">
            <w:pPr>
              <w:jc w:val="center"/>
              <w:rPr>
                <w:rFonts w:cstheme="majorBidi"/>
                <w:sz w:val="18"/>
                <w:szCs w:val="18"/>
              </w:rPr>
            </w:pPr>
          </w:p>
        </w:tc>
        <w:tc>
          <w:tcPr>
            <w:tcW w:w="2163" w:type="dxa"/>
          </w:tcPr>
          <w:p w14:paraId="272F9F9C" w14:textId="2D11B238" w:rsidR="00B62A43" w:rsidRPr="0004264F" w:rsidRDefault="00B62A43" w:rsidP="00B62A43">
            <w:pPr>
              <w:jc w:val="center"/>
              <w:rPr>
                <w:rFonts w:cstheme="majorBidi"/>
                <w:sz w:val="18"/>
                <w:szCs w:val="18"/>
              </w:rPr>
            </w:pPr>
            <w:r w:rsidRPr="0004264F">
              <w:rPr>
                <w:rFonts w:cstheme="majorBidi"/>
                <w:sz w:val="20"/>
                <w:szCs w:val="20"/>
              </w:rPr>
              <w:t>1221113</w:t>
            </w:r>
          </w:p>
        </w:tc>
        <w:tc>
          <w:tcPr>
            <w:tcW w:w="390" w:type="dxa"/>
          </w:tcPr>
          <w:p w14:paraId="690ADD84" w14:textId="5D57060A" w:rsidR="00B62A43" w:rsidRPr="0004264F" w:rsidRDefault="00B62A43" w:rsidP="00B62A43">
            <w:pPr>
              <w:jc w:val="center"/>
              <w:rPr>
                <w:rFonts w:cstheme="majorBidi"/>
                <w:sz w:val="18"/>
                <w:szCs w:val="18"/>
              </w:rPr>
            </w:pPr>
          </w:p>
        </w:tc>
        <w:tc>
          <w:tcPr>
            <w:tcW w:w="2164" w:type="dxa"/>
          </w:tcPr>
          <w:p w14:paraId="60E0F37B" w14:textId="1AEEDF7E" w:rsidR="00B62A43" w:rsidRPr="0004264F" w:rsidRDefault="00B62A43" w:rsidP="00B62A43">
            <w:pPr>
              <w:jc w:val="center"/>
              <w:rPr>
                <w:rFonts w:cstheme="majorBidi"/>
                <w:sz w:val="18"/>
                <w:szCs w:val="18"/>
              </w:rPr>
            </w:pPr>
            <w:r w:rsidRPr="0004264F">
              <w:rPr>
                <w:rFonts w:cstheme="majorBidi"/>
                <w:sz w:val="20"/>
                <w:szCs w:val="20"/>
              </w:rPr>
              <w:t>1221113</w:t>
            </w:r>
          </w:p>
        </w:tc>
        <w:tc>
          <w:tcPr>
            <w:tcW w:w="390" w:type="dxa"/>
          </w:tcPr>
          <w:p w14:paraId="30E9B06B" w14:textId="77777777" w:rsidR="00B62A43" w:rsidRPr="0004264F" w:rsidRDefault="00B62A43" w:rsidP="00B62A43">
            <w:pPr>
              <w:jc w:val="center"/>
              <w:rPr>
                <w:rFonts w:cstheme="majorBidi"/>
                <w:sz w:val="18"/>
                <w:szCs w:val="18"/>
              </w:rPr>
            </w:pPr>
          </w:p>
        </w:tc>
      </w:tr>
      <w:tr w:rsidR="00B62A43" w:rsidRPr="0004264F" w14:paraId="5A5B9D99" w14:textId="77777777" w:rsidTr="00021E25">
        <w:trPr>
          <w:trHeight w:val="259"/>
          <w:jc w:val="center"/>
        </w:trPr>
        <w:tc>
          <w:tcPr>
            <w:tcW w:w="3381" w:type="dxa"/>
            <w:vAlign w:val="center"/>
          </w:tcPr>
          <w:p w14:paraId="7E2D423A" w14:textId="77777777" w:rsidR="00B62A43" w:rsidRPr="0004264F" w:rsidRDefault="00B62A43" w:rsidP="00B62A43">
            <w:pPr>
              <w:rPr>
                <w:rFonts w:cstheme="majorBidi"/>
                <w:sz w:val="18"/>
                <w:szCs w:val="18"/>
              </w:rPr>
            </w:pPr>
            <w:r w:rsidRPr="0004264F">
              <w:rPr>
                <w:rFonts w:cstheme="majorBidi"/>
                <w:sz w:val="18"/>
                <w:szCs w:val="18"/>
              </w:rPr>
              <w:t>R-squared</w:t>
            </w:r>
          </w:p>
        </w:tc>
        <w:tc>
          <w:tcPr>
            <w:tcW w:w="390" w:type="dxa"/>
            <w:vAlign w:val="center"/>
          </w:tcPr>
          <w:p w14:paraId="2952B829" w14:textId="77777777" w:rsidR="00B62A43" w:rsidRPr="0004264F" w:rsidRDefault="00B62A43" w:rsidP="00B62A43">
            <w:pPr>
              <w:jc w:val="center"/>
              <w:rPr>
                <w:rFonts w:cstheme="majorBidi"/>
                <w:sz w:val="18"/>
                <w:szCs w:val="18"/>
              </w:rPr>
            </w:pPr>
          </w:p>
        </w:tc>
        <w:tc>
          <w:tcPr>
            <w:tcW w:w="2163" w:type="dxa"/>
          </w:tcPr>
          <w:p w14:paraId="656FD7EE" w14:textId="5900B3BF" w:rsidR="00B62A43" w:rsidRPr="0004264F" w:rsidRDefault="00B62A43" w:rsidP="00B62A43">
            <w:pPr>
              <w:jc w:val="center"/>
              <w:rPr>
                <w:rFonts w:cstheme="majorBidi"/>
                <w:sz w:val="18"/>
                <w:szCs w:val="18"/>
              </w:rPr>
            </w:pPr>
            <w:r w:rsidRPr="0004264F">
              <w:rPr>
                <w:rFonts w:cstheme="majorBidi"/>
                <w:sz w:val="20"/>
                <w:szCs w:val="20"/>
              </w:rPr>
              <w:t>.10396</w:t>
            </w:r>
          </w:p>
        </w:tc>
        <w:tc>
          <w:tcPr>
            <w:tcW w:w="390" w:type="dxa"/>
          </w:tcPr>
          <w:p w14:paraId="0EBBB9E7" w14:textId="21FF99CF" w:rsidR="00B62A43" w:rsidRPr="0004264F" w:rsidRDefault="00B62A43" w:rsidP="00B62A43">
            <w:pPr>
              <w:jc w:val="center"/>
              <w:rPr>
                <w:rFonts w:cstheme="majorBidi"/>
                <w:sz w:val="18"/>
                <w:szCs w:val="18"/>
              </w:rPr>
            </w:pPr>
          </w:p>
        </w:tc>
        <w:tc>
          <w:tcPr>
            <w:tcW w:w="2163" w:type="dxa"/>
          </w:tcPr>
          <w:p w14:paraId="52D790BC" w14:textId="0AFC9176" w:rsidR="00B62A43" w:rsidRPr="0004264F" w:rsidRDefault="00B62A43" w:rsidP="00B62A43">
            <w:pPr>
              <w:jc w:val="center"/>
              <w:rPr>
                <w:rFonts w:cstheme="majorBidi"/>
                <w:sz w:val="18"/>
                <w:szCs w:val="18"/>
              </w:rPr>
            </w:pPr>
            <w:r w:rsidRPr="0004264F">
              <w:rPr>
                <w:rFonts w:cstheme="majorBidi"/>
                <w:sz w:val="20"/>
                <w:szCs w:val="20"/>
              </w:rPr>
              <w:t>.10447</w:t>
            </w:r>
          </w:p>
        </w:tc>
        <w:tc>
          <w:tcPr>
            <w:tcW w:w="390" w:type="dxa"/>
          </w:tcPr>
          <w:p w14:paraId="32D85084" w14:textId="6E8F8EF6" w:rsidR="00B62A43" w:rsidRPr="0004264F" w:rsidRDefault="00B62A43" w:rsidP="00B62A43">
            <w:pPr>
              <w:jc w:val="center"/>
              <w:rPr>
                <w:rFonts w:cstheme="majorBidi"/>
                <w:sz w:val="18"/>
                <w:szCs w:val="18"/>
              </w:rPr>
            </w:pPr>
          </w:p>
        </w:tc>
        <w:tc>
          <w:tcPr>
            <w:tcW w:w="2164" w:type="dxa"/>
          </w:tcPr>
          <w:p w14:paraId="2F95B816" w14:textId="16652500" w:rsidR="00B62A43" w:rsidRPr="0004264F" w:rsidRDefault="00B62A43" w:rsidP="00B62A43">
            <w:pPr>
              <w:jc w:val="center"/>
              <w:rPr>
                <w:rFonts w:cstheme="majorBidi"/>
                <w:sz w:val="18"/>
                <w:szCs w:val="18"/>
              </w:rPr>
            </w:pPr>
            <w:r w:rsidRPr="0004264F">
              <w:rPr>
                <w:rFonts w:cstheme="majorBidi"/>
                <w:sz w:val="20"/>
                <w:szCs w:val="20"/>
              </w:rPr>
              <w:t>.09848</w:t>
            </w:r>
          </w:p>
        </w:tc>
        <w:tc>
          <w:tcPr>
            <w:tcW w:w="390" w:type="dxa"/>
          </w:tcPr>
          <w:p w14:paraId="1DC3FF8F" w14:textId="77777777" w:rsidR="00B62A43" w:rsidRPr="0004264F" w:rsidRDefault="00B62A43" w:rsidP="00B62A43">
            <w:pPr>
              <w:jc w:val="center"/>
              <w:rPr>
                <w:rFonts w:cstheme="majorBidi"/>
                <w:sz w:val="18"/>
                <w:szCs w:val="18"/>
              </w:rPr>
            </w:pPr>
          </w:p>
        </w:tc>
      </w:tr>
      <w:tr w:rsidR="00B62A43" w:rsidRPr="0004264F" w14:paraId="1DEA2B84" w14:textId="77777777" w:rsidTr="00021E25">
        <w:trPr>
          <w:trHeight w:val="259"/>
          <w:jc w:val="center"/>
        </w:trPr>
        <w:tc>
          <w:tcPr>
            <w:tcW w:w="3381" w:type="dxa"/>
            <w:vAlign w:val="center"/>
          </w:tcPr>
          <w:p w14:paraId="07B9CD6E" w14:textId="77777777" w:rsidR="00B62A43" w:rsidRPr="0004264F" w:rsidRDefault="00B62A43" w:rsidP="00B62A43">
            <w:pPr>
              <w:rPr>
                <w:rFonts w:cstheme="majorBidi"/>
                <w:sz w:val="18"/>
                <w:szCs w:val="18"/>
              </w:rPr>
            </w:pPr>
          </w:p>
        </w:tc>
        <w:tc>
          <w:tcPr>
            <w:tcW w:w="390" w:type="dxa"/>
            <w:vAlign w:val="center"/>
          </w:tcPr>
          <w:p w14:paraId="7E0AAD14" w14:textId="77777777" w:rsidR="00B62A43" w:rsidRPr="0004264F" w:rsidRDefault="00B62A43" w:rsidP="00B62A43">
            <w:pPr>
              <w:jc w:val="center"/>
              <w:rPr>
                <w:rFonts w:cstheme="majorBidi"/>
                <w:sz w:val="18"/>
                <w:szCs w:val="18"/>
              </w:rPr>
            </w:pPr>
          </w:p>
        </w:tc>
        <w:tc>
          <w:tcPr>
            <w:tcW w:w="2163" w:type="dxa"/>
            <w:vAlign w:val="center"/>
          </w:tcPr>
          <w:p w14:paraId="7A9EDA56" w14:textId="77777777" w:rsidR="00B62A43" w:rsidRPr="0004264F" w:rsidRDefault="00B62A43" w:rsidP="00B62A43">
            <w:pPr>
              <w:jc w:val="center"/>
              <w:rPr>
                <w:rFonts w:cstheme="majorBidi"/>
                <w:sz w:val="18"/>
                <w:szCs w:val="18"/>
              </w:rPr>
            </w:pPr>
          </w:p>
        </w:tc>
        <w:tc>
          <w:tcPr>
            <w:tcW w:w="390" w:type="dxa"/>
            <w:vAlign w:val="center"/>
          </w:tcPr>
          <w:p w14:paraId="3B2B2208" w14:textId="77777777" w:rsidR="00B62A43" w:rsidRPr="0004264F" w:rsidRDefault="00B62A43" w:rsidP="00B62A43">
            <w:pPr>
              <w:jc w:val="center"/>
              <w:rPr>
                <w:rFonts w:cstheme="majorBidi"/>
                <w:sz w:val="18"/>
                <w:szCs w:val="18"/>
              </w:rPr>
            </w:pPr>
          </w:p>
        </w:tc>
        <w:tc>
          <w:tcPr>
            <w:tcW w:w="2163" w:type="dxa"/>
            <w:vAlign w:val="center"/>
          </w:tcPr>
          <w:p w14:paraId="00C57270" w14:textId="77777777" w:rsidR="00B62A43" w:rsidRPr="0004264F" w:rsidRDefault="00B62A43" w:rsidP="00B62A43">
            <w:pPr>
              <w:jc w:val="center"/>
              <w:rPr>
                <w:rFonts w:cstheme="majorBidi"/>
                <w:sz w:val="18"/>
                <w:szCs w:val="18"/>
              </w:rPr>
            </w:pPr>
          </w:p>
        </w:tc>
        <w:tc>
          <w:tcPr>
            <w:tcW w:w="390" w:type="dxa"/>
            <w:vAlign w:val="center"/>
          </w:tcPr>
          <w:p w14:paraId="31C3EAE3" w14:textId="77777777" w:rsidR="00B62A43" w:rsidRPr="0004264F" w:rsidRDefault="00B62A43" w:rsidP="00B62A43">
            <w:pPr>
              <w:jc w:val="center"/>
              <w:rPr>
                <w:rFonts w:cstheme="majorBidi"/>
                <w:sz w:val="18"/>
                <w:szCs w:val="18"/>
              </w:rPr>
            </w:pPr>
          </w:p>
        </w:tc>
        <w:tc>
          <w:tcPr>
            <w:tcW w:w="2164" w:type="dxa"/>
            <w:vAlign w:val="center"/>
          </w:tcPr>
          <w:p w14:paraId="4416C2C9" w14:textId="77777777" w:rsidR="00B62A43" w:rsidRPr="0004264F" w:rsidRDefault="00B62A43" w:rsidP="00B62A43">
            <w:pPr>
              <w:jc w:val="center"/>
              <w:rPr>
                <w:rFonts w:cstheme="majorBidi"/>
                <w:sz w:val="18"/>
                <w:szCs w:val="18"/>
              </w:rPr>
            </w:pPr>
          </w:p>
        </w:tc>
        <w:tc>
          <w:tcPr>
            <w:tcW w:w="390" w:type="dxa"/>
            <w:vAlign w:val="center"/>
          </w:tcPr>
          <w:p w14:paraId="383B6077" w14:textId="77777777" w:rsidR="00B62A43" w:rsidRPr="0004264F" w:rsidRDefault="00B62A43" w:rsidP="00B62A43">
            <w:pPr>
              <w:jc w:val="center"/>
              <w:rPr>
                <w:rFonts w:cstheme="majorBidi"/>
                <w:sz w:val="18"/>
                <w:szCs w:val="18"/>
              </w:rPr>
            </w:pPr>
          </w:p>
        </w:tc>
      </w:tr>
      <w:tr w:rsidR="00B62A43" w:rsidRPr="0004264F" w14:paraId="135E0327" w14:textId="77777777" w:rsidTr="00021E25">
        <w:trPr>
          <w:trHeight w:val="259"/>
          <w:jc w:val="center"/>
        </w:trPr>
        <w:tc>
          <w:tcPr>
            <w:tcW w:w="3381" w:type="dxa"/>
            <w:vAlign w:val="center"/>
          </w:tcPr>
          <w:p w14:paraId="3B943B2C" w14:textId="77777777" w:rsidR="00B62A43" w:rsidRPr="0004264F" w:rsidRDefault="00B62A43" w:rsidP="00B62A43">
            <w:pPr>
              <w:rPr>
                <w:rFonts w:cstheme="majorBidi"/>
                <w:sz w:val="18"/>
                <w:szCs w:val="18"/>
              </w:rPr>
            </w:pPr>
          </w:p>
        </w:tc>
        <w:tc>
          <w:tcPr>
            <w:tcW w:w="390" w:type="dxa"/>
            <w:vAlign w:val="center"/>
          </w:tcPr>
          <w:p w14:paraId="40AEE71E" w14:textId="77777777" w:rsidR="00B62A43" w:rsidRPr="0004264F" w:rsidRDefault="00B62A43" w:rsidP="00B62A43">
            <w:pPr>
              <w:jc w:val="center"/>
              <w:rPr>
                <w:rFonts w:cstheme="majorBidi"/>
                <w:sz w:val="18"/>
                <w:szCs w:val="18"/>
              </w:rPr>
            </w:pPr>
          </w:p>
        </w:tc>
        <w:tc>
          <w:tcPr>
            <w:tcW w:w="2163" w:type="dxa"/>
            <w:tcBorders>
              <w:bottom w:val="single" w:sz="4" w:space="0" w:color="auto"/>
            </w:tcBorders>
            <w:vAlign w:val="center"/>
          </w:tcPr>
          <w:p w14:paraId="10E54577" w14:textId="4D3802F4" w:rsidR="00B62A43" w:rsidRPr="0004264F" w:rsidRDefault="00B62A43" w:rsidP="00B62A43">
            <w:pPr>
              <w:jc w:val="center"/>
              <w:rPr>
                <w:rFonts w:cstheme="majorBidi"/>
                <w:sz w:val="18"/>
                <w:szCs w:val="18"/>
              </w:rPr>
            </w:pPr>
            <w:r w:rsidRPr="0004264F">
              <w:rPr>
                <w:rFonts w:cstheme="majorBidi"/>
                <w:sz w:val="18"/>
                <w:szCs w:val="18"/>
              </w:rPr>
              <w:t>Outcome: Death Age</w:t>
            </w:r>
            <w:r w:rsidR="00393B7F" w:rsidRPr="0004264F">
              <w:rPr>
                <w:rFonts w:cstheme="majorBidi"/>
                <w:sz w:val="18"/>
                <w:szCs w:val="18"/>
              </w:rPr>
              <w:t xml:space="preserve"> </w:t>
            </w:r>
            <w:r w:rsidRPr="0004264F">
              <w:rPr>
                <w:rFonts w:cstheme="majorBidi"/>
                <w:sz w:val="18"/>
                <w:szCs w:val="18"/>
              </w:rPr>
              <w:t>&gt;</w:t>
            </w:r>
            <w:r w:rsidR="00393B7F" w:rsidRPr="0004264F">
              <w:rPr>
                <w:rFonts w:cstheme="majorBidi"/>
                <w:sz w:val="18"/>
                <w:szCs w:val="18"/>
              </w:rPr>
              <w:t xml:space="preserve"> </w:t>
            </w:r>
            <w:r w:rsidRPr="0004264F">
              <w:rPr>
                <w:rFonts w:cstheme="majorBidi"/>
                <w:sz w:val="18"/>
                <w:szCs w:val="18"/>
              </w:rPr>
              <w:t>70 Years</w:t>
            </w:r>
          </w:p>
        </w:tc>
        <w:tc>
          <w:tcPr>
            <w:tcW w:w="390" w:type="dxa"/>
            <w:vAlign w:val="center"/>
          </w:tcPr>
          <w:p w14:paraId="46A6985B" w14:textId="77777777" w:rsidR="00B62A43" w:rsidRPr="0004264F" w:rsidRDefault="00B62A43" w:rsidP="00B62A43">
            <w:pPr>
              <w:jc w:val="center"/>
              <w:rPr>
                <w:rFonts w:cstheme="majorBidi"/>
                <w:sz w:val="18"/>
                <w:szCs w:val="18"/>
              </w:rPr>
            </w:pPr>
          </w:p>
        </w:tc>
        <w:tc>
          <w:tcPr>
            <w:tcW w:w="2163" w:type="dxa"/>
            <w:tcBorders>
              <w:bottom w:val="single" w:sz="4" w:space="0" w:color="auto"/>
            </w:tcBorders>
            <w:vAlign w:val="center"/>
          </w:tcPr>
          <w:p w14:paraId="002FC8C2" w14:textId="41492F44" w:rsidR="00B62A43" w:rsidRPr="0004264F" w:rsidRDefault="00B62A43" w:rsidP="00B62A43">
            <w:pPr>
              <w:jc w:val="center"/>
              <w:rPr>
                <w:rFonts w:cstheme="majorBidi"/>
                <w:sz w:val="18"/>
                <w:szCs w:val="18"/>
              </w:rPr>
            </w:pPr>
            <w:r w:rsidRPr="0004264F">
              <w:rPr>
                <w:rFonts w:cstheme="majorBidi"/>
                <w:sz w:val="18"/>
                <w:szCs w:val="18"/>
              </w:rPr>
              <w:t>Outcome: Death Age</w:t>
            </w:r>
            <w:r w:rsidR="00393B7F" w:rsidRPr="0004264F">
              <w:rPr>
                <w:rFonts w:cstheme="majorBidi"/>
                <w:sz w:val="18"/>
                <w:szCs w:val="18"/>
              </w:rPr>
              <w:t xml:space="preserve"> </w:t>
            </w:r>
            <w:r w:rsidRPr="0004264F">
              <w:rPr>
                <w:rFonts w:cstheme="majorBidi"/>
                <w:sz w:val="18"/>
                <w:szCs w:val="18"/>
              </w:rPr>
              <w:t>&gt;</w:t>
            </w:r>
            <w:r w:rsidR="00393B7F" w:rsidRPr="0004264F">
              <w:rPr>
                <w:rFonts w:cstheme="majorBidi"/>
                <w:sz w:val="18"/>
                <w:szCs w:val="18"/>
              </w:rPr>
              <w:t xml:space="preserve"> 65</w:t>
            </w:r>
            <w:r w:rsidRPr="0004264F">
              <w:rPr>
                <w:rFonts w:cstheme="majorBidi"/>
                <w:sz w:val="18"/>
                <w:szCs w:val="18"/>
              </w:rPr>
              <w:t xml:space="preserve"> Years</w:t>
            </w:r>
          </w:p>
        </w:tc>
        <w:tc>
          <w:tcPr>
            <w:tcW w:w="390" w:type="dxa"/>
            <w:vAlign w:val="center"/>
          </w:tcPr>
          <w:p w14:paraId="44356AF5" w14:textId="77777777" w:rsidR="00B62A43" w:rsidRPr="0004264F" w:rsidRDefault="00B62A43" w:rsidP="00B62A43">
            <w:pPr>
              <w:jc w:val="center"/>
              <w:rPr>
                <w:rFonts w:cstheme="majorBidi"/>
                <w:sz w:val="18"/>
                <w:szCs w:val="18"/>
              </w:rPr>
            </w:pPr>
          </w:p>
        </w:tc>
        <w:tc>
          <w:tcPr>
            <w:tcW w:w="2164" w:type="dxa"/>
            <w:tcBorders>
              <w:bottom w:val="single" w:sz="4" w:space="0" w:color="auto"/>
            </w:tcBorders>
            <w:vAlign w:val="center"/>
          </w:tcPr>
          <w:p w14:paraId="5055007C" w14:textId="3A89F977" w:rsidR="00B62A43" w:rsidRPr="0004264F" w:rsidRDefault="00B62A43" w:rsidP="00B62A43">
            <w:pPr>
              <w:jc w:val="center"/>
              <w:rPr>
                <w:rFonts w:cstheme="majorBidi"/>
                <w:sz w:val="18"/>
                <w:szCs w:val="18"/>
              </w:rPr>
            </w:pPr>
            <w:r w:rsidRPr="0004264F">
              <w:rPr>
                <w:rFonts w:cstheme="majorBidi"/>
                <w:sz w:val="18"/>
                <w:szCs w:val="18"/>
              </w:rPr>
              <w:t>Two-Way Clustering SE at County by State-Birth-Year Level</w:t>
            </w:r>
          </w:p>
        </w:tc>
        <w:tc>
          <w:tcPr>
            <w:tcW w:w="390" w:type="dxa"/>
            <w:vAlign w:val="center"/>
          </w:tcPr>
          <w:p w14:paraId="68008836" w14:textId="77777777" w:rsidR="00B62A43" w:rsidRPr="0004264F" w:rsidRDefault="00B62A43" w:rsidP="00B62A43">
            <w:pPr>
              <w:jc w:val="center"/>
              <w:rPr>
                <w:rFonts w:cstheme="majorBidi"/>
                <w:sz w:val="18"/>
                <w:szCs w:val="18"/>
              </w:rPr>
            </w:pPr>
          </w:p>
        </w:tc>
      </w:tr>
      <w:tr w:rsidR="00B62A43" w:rsidRPr="0004264F" w14:paraId="5EEE57A5" w14:textId="77777777" w:rsidTr="00021E25">
        <w:trPr>
          <w:trHeight w:val="259"/>
          <w:jc w:val="center"/>
        </w:trPr>
        <w:tc>
          <w:tcPr>
            <w:tcW w:w="3381" w:type="dxa"/>
            <w:tcBorders>
              <w:bottom w:val="single" w:sz="4" w:space="0" w:color="auto"/>
            </w:tcBorders>
            <w:vAlign w:val="center"/>
          </w:tcPr>
          <w:p w14:paraId="18ABA2A5" w14:textId="77777777" w:rsidR="00B62A43" w:rsidRPr="0004264F" w:rsidRDefault="00B62A43" w:rsidP="00B62A43">
            <w:pPr>
              <w:rPr>
                <w:rFonts w:cstheme="majorBidi"/>
                <w:sz w:val="18"/>
                <w:szCs w:val="18"/>
              </w:rPr>
            </w:pPr>
          </w:p>
        </w:tc>
        <w:tc>
          <w:tcPr>
            <w:tcW w:w="390" w:type="dxa"/>
            <w:tcBorders>
              <w:bottom w:val="single" w:sz="4" w:space="0" w:color="auto"/>
            </w:tcBorders>
            <w:vAlign w:val="center"/>
          </w:tcPr>
          <w:p w14:paraId="0B8B659E" w14:textId="77777777" w:rsidR="00B62A43" w:rsidRPr="0004264F" w:rsidRDefault="00B62A43" w:rsidP="00B62A43">
            <w:pPr>
              <w:jc w:val="center"/>
              <w:rPr>
                <w:rFonts w:cstheme="majorBidi"/>
                <w:sz w:val="18"/>
                <w:szCs w:val="18"/>
              </w:rPr>
            </w:pPr>
          </w:p>
        </w:tc>
        <w:tc>
          <w:tcPr>
            <w:tcW w:w="2163" w:type="dxa"/>
            <w:tcBorders>
              <w:top w:val="single" w:sz="4" w:space="0" w:color="auto"/>
              <w:bottom w:val="single" w:sz="4" w:space="0" w:color="auto"/>
            </w:tcBorders>
            <w:vAlign w:val="center"/>
          </w:tcPr>
          <w:p w14:paraId="7DC6116C" w14:textId="5A3417C8" w:rsidR="00B62A43" w:rsidRPr="0004264F" w:rsidRDefault="00B62A43" w:rsidP="00B62A43">
            <w:pPr>
              <w:jc w:val="center"/>
              <w:rPr>
                <w:rFonts w:cstheme="majorBidi"/>
                <w:sz w:val="18"/>
                <w:szCs w:val="18"/>
              </w:rPr>
            </w:pPr>
            <w:r w:rsidRPr="0004264F">
              <w:rPr>
                <w:rFonts w:cstheme="majorBidi"/>
                <w:sz w:val="18"/>
                <w:szCs w:val="18"/>
              </w:rPr>
              <w:t>(7)</w:t>
            </w:r>
          </w:p>
        </w:tc>
        <w:tc>
          <w:tcPr>
            <w:tcW w:w="390" w:type="dxa"/>
            <w:tcBorders>
              <w:bottom w:val="single" w:sz="4" w:space="0" w:color="auto"/>
            </w:tcBorders>
            <w:vAlign w:val="center"/>
          </w:tcPr>
          <w:p w14:paraId="329750D3" w14:textId="77777777" w:rsidR="00B62A43" w:rsidRPr="0004264F" w:rsidRDefault="00B62A43" w:rsidP="00B62A43">
            <w:pPr>
              <w:jc w:val="center"/>
              <w:rPr>
                <w:rFonts w:cstheme="majorBidi"/>
                <w:sz w:val="18"/>
                <w:szCs w:val="18"/>
              </w:rPr>
            </w:pPr>
          </w:p>
        </w:tc>
        <w:tc>
          <w:tcPr>
            <w:tcW w:w="2163" w:type="dxa"/>
            <w:tcBorders>
              <w:top w:val="single" w:sz="4" w:space="0" w:color="auto"/>
              <w:bottom w:val="single" w:sz="4" w:space="0" w:color="auto"/>
            </w:tcBorders>
            <w:vAlign w:val="center"/>
          </w:tcPr>
          <w:p w14:paraId="72047A67" w14:textId="1B812D6C" w:rsidR="00B62A43" w:rsidRPr="0004264F" w:rsidRDefault="00B62A43" w:rsidP="00B62A43">
            <w:pPr>
              <w:jc w:val="center"/>
              <w:rPr>
                <w:rFonts w:cstheme="majorBidi"/>
                <w:sz w:val="18"/>
                <w:szCs w:val="18"/>
              </w:rPr>
            </w:pPr>
            <w:r w:rsidRPr="0004264F">
              <w:rPr>
                <w:rFonts w:cstheme="majorBidi"/>
                <w:sz w:val="18"/>
                <w:szCs w:val="18"/>
              </w:rPr>
              <w:t>(8)</w:t>
            </w:r>
          </w:p>
        </w:tc>
        <w:tc>
          <w:tcPr>
            <w:tcW w:w="390" w:type="dxa"/>
            <w:tcBorders>
              <w:bottom w:val="single" w:sz="4" w:space="0" w:color="auto"/>
            </w:tcBorders>
            <w:vAlign w:val="center"/>
          </w:tcPr>
          <w:p w14:paraId="30D8B3C3" w14:textId="77777777" w:rsidR="00B62A43" w:rsidRPr="0004264F" w:rsidRDefault="00B62A43" w:rsidP="00B62A43">
            <w:pPr>
              <w:jc w:val="center"/>
              <w:rPr>
                <w:rFonts w:cstheme="majorBidi"/>
                <w:sz w:val="18"/>
                <w:szCs w:val="18"/>
              </w:rPr>
            </w:pPr>
          </w:p>
        </w:tc>
        <w:tc>
          <w:tcPr>
            <w:tcW w:w="2164" w:type="dxa"/>
            <w:tcBorders>
              <w:top w:val="single" w:sz="4" w:space="0" w:color="auto"/>
              <w:bottom w:val="single" w:sz="4" w:space="0" w:color="auto"/>
            </w:tcBorders>
            <w:vAlign w:val="center"/>
          </w:tcPr>
          <w:p w14:paraId="0474FA83" w14:textId="45B852F0" w:rsidR="00B62A43" w:rsidRPr="0004264F" w:rsidRDefault="00B62A43" w:rsidP="00B62A43">
            <w:pPr>
              <w:jc w:val="center"/>
              <w:rPr>
                <w:rFonts w:cstheme="majorBidi"/>
                <w:sz w:val="18"/>
                <w:szCs w:val="18"/>
              </w:rPr>
            </w:pPr>
            <w:r w:rsidRPr="0004264F">
              <w:rPr>
                <w:rFonts w:cstheme="majorBidi"/>
                <w:sz w:val="18"/>
                <w:szCs w:val="18"/>
              </w:rPr>
              <w:t>(9)</w:t>
            </w:r>
          </w:p>
        </w:tc>
        <w:tc>
          <w:tcPr>
            <w:tcW w:w="390" w:type="dxa"/>
            <w:tcBorders>
              <w:bottom w:val="single" w:sz="4" w:space="0" w:color="auto"/>
            </w:tcBorders>
            <w:vAlign w:val="center"/>
          </w:tcPr>
          <w:p w14:paraId="16BB2FAF" w14:textId="77777777" w:rsidR="00B62A43" w:rsidRPr="0004264F" w:rsidRDefault="00B62A43" w:rsidP="00B62A43">
            <w:pPr>
              <w:jc w:val="center"/>
              <w:rPr>
                <w:rFonts w:cstheme="majorBidi"/>
                <w:sz w:val="18"/>
                <w:szCs w:val="18"/>
              </w:rPr>
            </w:pPr>
          </w:p>
        </w:tc>
      </w:tr>
      <w:tr w:rsidR="00B62A43" w:rsidRPr="0004264F" w14:paraId="30F47E02" w14:textId="77777777" w:rsidTr="00021E25">
        <w:trPr>
          <w:trHeight w:val="259"/>
          <w:jc w:val="center"/>
        </w:trPr>
        <w:tc>
          <w:tcPr>
            <w:tcW w:w="3381" w:type="dxa"/>
            <w:vMerge w:val="restart"/>
            <w:tcBorders>
              <w:top w:val="single" w:sz="4" w:space="0" w:color="auto"/>
            </w:tcBorders>
            <w:vAlign w:val="center"/>
          </w:tcPr>
          <w:p w14:paraId="78A54E3F" w14:textId="77777777" w:rsidR="00B62A43" w:rsidRPr="0004264F" w:rsidRDefault="00B62A43" w:rsidP="00B62A43">
            <w:pPr>
              <w:rPr>
                <w:rFonts w:cstheme="majorBidi"/>
                <w:sz w:val="18"/>
                <w:szCs w:val="18"/>
              </w:rPr>
            </w:pPr>
            <w:r w:rsidRPr="0004264F">
              <w:rPr>
                <w:rFonts w:cstheme="majorBidi"/>
                <w:sz w:val="18"/>
                <w:szCs w:val="18"/>
              </w:rPr>
              <w:t>Deposits per Capita (STD)</w:t>
            </w:r>
          </w:p>
        </w:tc>
        <w:tc>
          <w:tcPr>
            <w:tcW w:w="390" w:type="dxa"/>
            <w:tcBorders>
              <w:top w:val="single" w:sz="4" w:space="0" w:color="auto"/>
            </w:tcBorders>
            <w:vAlign w:val="center"/>
          </w:tcPr>
          <w:p w14:paraId="78B7CA02" w14:textId="77777777" w:rsidR="00B62A43" w:rsidRPr="0004264F" w:rsidRDefault="00B62A43" w:rsidP="00B62A43">
            <w:pPr>
              <w:jc w:val="center"/>
              <w:rPr>
                <w:rFonts w:cstheme="majorBidi"/>
                <w:sz w:val="18"/>
                <w:szCs w:val="18"/>
              </w:rPr>
            </w:pPr>
          </w:p>
        </w:tc>
        <w:tc>
          <w:tcPr>
            <w:tcW w:w="2163" w:type="dxa"/>
            <w:tcBorders>
              <w:top w:val="single" w:sz="4" w:space="0" w:color="auto"/>
            </w:tcBorders>
          </w:tcPr>
          <w:p w14:paraId="3DCDAA22" w14:textId="2FA71B5F" w:rsidR="00B62A43" w:rsidRPr="0004264F" w:rsidRDefault="00B62A43" w:rsidP="00B62A43">
            <w:pPr>
              <w:jc w:val="center"/>
              <w:rPr>
                <w:rFonts w:cstheme="majorBidi"/>
                <w:sz w:val="18"/>
                <w:szCs w:val="18"/>
              </w:rPr>
            </w:pPr>
            <w:r w:rsidRPr="0004264F">
              <w:rPr>
                <w:rFonts w:cstheme="majorBidi"/>
                <w:sz w:val="20"/>
                <w:szCs w:val="20"/>
              </w:rPr>
              <w:t>.00625***</w:t>
            </w:r>
          </w:p>
        </w:tc>
        <w:tc>
          <w:tcPr>
            <w:tcW w:w="390" w:type="dxa"/>
            <w:tcBorders>
              <w:top w:val="single" w:sz="4" w:space="0" w:color="auto"/>
            </w:tcBorders>
          </w:tcPr>
          <w:p w14:paraId="1604BA7D" w14:textId="51E0399B" w:rsidR="00B62A43" w:rsidRPr="0004264F" w:rsidRDefault="00B62A43" w:rsidP="00B62A43">
            <w:pPr>
              <w:jc w:val="center"/>
              <w:rPr>
                <w:rFonts w:cstheme="majorBidi"/>
                <w:sz w:val="18"/>
                <w:szCs w:val="18"/>
              </w:rPr>
            </w:pPr>
          </w:p>
        </w:tc>
        <w:tc>
          <w:tcPr>
            <w:tcW w:w="2163" w:type="dxa"/>
            <w:tcBorders>
              <w:top w:val="single" w:sz="4" w:space="0" w:color="auto"/>
            </w:tcBorders>
          </w:tcPr>
          <w:p w14:paraId="4E73029C" w14:textId="38D1D2EB" w:rsidR="00B62A43" w:rsidRPr="0004264F" w:rsidRDefault="00B62A43" w:rsidP="00B62A43">
            <w:pPr>
              <w:jc w:val="center"/>
              <w:rPr>
                <w:rFonts w:cstheme="majorBidi"/>
                <w:sz w:val="18"/>
                <w:szCs w:val="18"/>
              </w:rPr>
            </w:pPr>
            <w:r w:rsidRPr="0004264F">
              <w:rPr>
                <w:rFonts w:cstheme="majorBidi"/>
                <w:sz w:val="20"/>
                <w:szCs w:val="20"/>
              </w:rPr>
              <w:t>.00531*</w:t>
            </w:r>
          </w:p>
        </w:tc>
        <w:tc>
          <w:tcPr>
            <w:tcW w:w="390" w:type="dxa"/>
            <w:tcBorders>
              <w:top w:val="single" w:sz="4" w:space="0" w:color="auto"/>
            </w:tcBorders>
          </w:tcPr>
          <w:p w14:paraId="2D37F32A" w14:textId="3ED64F89" w:rsidR="00B62A43" w:rsidRPr="0004264F" w:rsidRDefault="00B62A43" w:rsidP="00B62A43">
            <w:pPr>
              <w:jc w:val="center"/>
              <w:rPr>
                <w:rFonts w:cstheme="majorBidi"/>
                <w:sz w:val="18"/>
                <w:szCs w:val="18"/>
              </w:rPr>
            </w:pPr>
          </w:p>
        </w:tc>
        <w:tc>
          <w:tcPr>
            <w:tcW w:w="2164" w:type="dxa"/>
            <w:tcBorders>
              <w:top w:val="single" w:sz="4" w:space="0" w:color="auto"/>
            </w:tcBorders>
          </w:tcPr>
          <w:p w14:paraId="56785997" w14:textId="64955F2E" w:rsidR="00B62A43" w:rsidRPr="0004264F" w:rsidRDefault="00B62A43" w:rsidP="00B62A43">
            <w:pPr>
              <w:jc w:val="center"/>
              <w:rPr>
                <w:rFonts w:cstheme="majorBidi"/>
                <w:sz w:val="18"/>
                <w:szCs w:val="18"/>
              </w:rPr>
            </w:pPr>
            <w:r w:rsidRPr="0004264F">
              <w:rPr>
                <w:rFonts w:cstheme="majorBidi"/>
                <w:sz w:val="20"/>
                <w:szCs w:val="20"/>
              </w:rPr>
              <w:t>1.70281**</w:t>
            </w:r>
          </w:p>
        </w:tc>
        <w:tc>
          <w:tcPr>
            <w:tcW w:w="390" w:type="dxa"/>
            <w:tcBorders>
              <w:top w:val="single" w:sz="4" w:space="0" w:color="auto"/>
            </w:tcBorders>
          </w:tcPr>
          <w:p w14:paraId="6211CCB2" w14:textId="77777777" w:rsidR="00B62A43" w:rsidRPr="0004264F" w:rsidRDefault="00B62A43" w:rsidP="00B62A43">
            <w:pPr>
              <w:jc w:val="center"/>
              <w:rPr>
                <w:rFonts w:cstheme="majorBidi"/>
                <w:sz w:val="18"/>
                <w:szCs w:val="18"/>
              </w:rPr>
            </w:pPr>
          </w:p>
        </w:tc>
      </w:tr>
      <w:tr w:rsidR="00B62A43" w:rsidRPr="0004264F" w14:paraId="4E8062B5" w14:textId="77777777" w:rsidTr="00021E25">
        <w:trPr>
          <w:trHeight w:val="259"/>
          <w:jc w:val="center"/>
        </w:trPr>
        <w:tc>
          <w:tcPr>
            <w:tcW w:w="3381" w:type="dxa"/>
            <w:vMerge/>
            <w:vAlign w:val="center"/>
          </w:tcPr>
          <w:p w14:paraId="2E92D1F8" w14:textId="77777777" w:rsidR="00B62A43" w:rsidRPr="0004264F" w:rsidRDefault="00B62A43" w:rsidP="00B62A43">
            <w:pPr>
              <w:rPr>
                <w:rFonts w:cstheme="majorBidi"/>
                <w:sz w:val="18"/>
                <w:szCs w:val="18"/>
              </w:rPr>
            </w:pPr>
          </w:p>
        </w:tc>
        <w:tc>
          <w:tcPr>
            <w:tcW w:w="390" w:type="dxa"/>
            <w:vAlign w:val="center"/>
          </w:tcPr>
          <w:p w14:paraId="518DD642" w14:textId="77777777" w:rsidR="00B62A43" w:rsidRPr="0004264F" w:rsidRDefault="00B62A43" w:rsidP="00B62A43">
            <w:pPr>
              <w:jc w:val="center"/>
              <w:rPr>
                <w:rFonts w:cstheme="majorBidi"/>
                <w:sz w:val="18"/>
                <w:szCs w:val="18"/>
              </w:rPr>
            </w:pPr>
          </w:p>
        </w:tc>
        <w:tc>
          <w:tcPr>
            <w:tcW w:w="2163" w:type="dxa"/>
          </w:tcPr>
          <w:p w14:paraId="49618089" w14:textId="5171516F" w:rsidR="00B62A43" w:rsidRPr="0004264F" w:rsidRDefault="00B62A43" w:rsidP="00B62A43">
            <w:pPr>
              <w:jc w:val="center"/>
              <w:rPr>
                <w:rFonts w:cstheme="majorBidi"/>
                <w:sz w:val="18"/>
                <w:szCs w:val="18"/>
              </w:rPr>
            </w:pPr>
            <w:r w:rsidRPr="0004264F">
              <w:rPr>
                <w:rFonts w:cstheme="majorBidi"/>
                <w:sz w:val="20"/>
                <w:szCs w:val="20"/>
              </w:rPr>
              <w:t>(.00157)</w:t>
            </w:r>
          </w:p>
        </w:tc>
        <w:tc>
          <w:tcPr>
            <w:tcW w:w="390" w:type="dxa"/>
          </w:tcPr>
          <w:p w14:paraId="3C8CEA73" w14:textId="2B25358A" w:rsidR="00B62A43" w:rsidRPr="0004264F" w:rsidRDefault="00B62A43" w:rsidP="00B62A43">
            <w:pPr>
              <w:jc w:val="center"/>
              <w:rPr>
                <w:rFonts w:cstheme="majorBidi"/>
                <w:sz w:val="18"/>
                <w:szCs w:val="18"/>
              </w:rPr>
            </w:pPr>
          </w:p>
        </w:tc>
        <w:tc>
          <w:tcPr>
            <w:tcW w:w="2163" w:type="dxa"/>
          </w:tcPr>
          <w:p w14:paraId="050B2016" w14:textId="034DF47B" w:rsidR="00B62A43" w:rsidRPr="0004264F" w:rsidRDefault="00B62A43" w:rsidP="00B62A43">
            <w:pPr>
              <w:jc w:val="center"/>
              <w:rPr>
                <w:rFonts w:cstheme="majorBidi"/>
                <w:sz w:val="18"/>
                <w:szCs w:val="18"/>
              </w:rPr>
            </w:pPr>
            <w:r w:rsidRPr="0004264F">
              <w:rPr>
                <w:rFonts w:cstheme="majorBidi"/>
                <w:sz w:val="20"/>
                <w:szCs w:val="20"/>
              </w:rPr>
              <w:t>(.00309)</w:t>
            </w:r>
          </w:p>
        </w:tc>
        <w:tc>
          <w:tcPr>
            <w:tcW w:w="390" w:type="dxa"/>
          </w:tcPr>
          <w:p w14:paraId="16DAAB76" w14:textId="3EB61D4D" w:rsidR="00B62A43" w:rsidRPr="0004264F" w:rsidRDefault="00B62A43" w:rsidP="00B62A43">
            <w:pPr>
              <w:jc w:val="center"/>
              <w:rPr>
                <w:rFonts w:cstheme="majorBidi"/>
                <w:sz w:val="18"/>
                <w:szCs w:val="18"/>
              </w:rPr>
            </w:pPr>
          </w:p>
        </w:tc>
        <w:tc>
          <w:tcPr>
            <w:tcW w:w="2164" w:type="dxa"/>
          </w:tcPr>
          <w:p w14:paraId="5DF07B92" w14:textId="60A8CE66" w:rsidR="00B62A43" w:rsidRPr="0004264F" w:rsidRDefault="00B62A43" w:rsidP="00B62A43">
            <w:pPr>
              <w:jc w:val="center"/>
              <w:rPr>
                <w:rFonts w:cstheme="majorBidi"/>
                <w:sz w:val="18"/>
                <w:szCs w:val="18"/>
              </w:rPr>
            </w:pPr>
            <w:r w:rsidRPr="0004264F">
              <w:rPr>
                <w:rFonts w:cstheme="majorBidi"/>
                <w:sz w:val="20"/>
                <w:szCs w:val="20"/>
              </w:rPr>
              <w:t>(.74797)</w:t>
            </w:r>
          </w:p>
        </w:tc>
        <w:tc>
          <w:tcPr>
            <w:tcW w:w="390" w:type="dxa"/>
          </w:tcPr>
          <w:p w14:paraId="6DC18899" w14:textId="77777777" w:rsidR="00B62A43" w:rsidRPr="0004264F" w:rsidRDefault="00B62A43" w:rsidP="00B62A43">
            <w:pPr>
              <w:jc w:val="center"/>
              <w:rPr>
                <w:rFonts w:cstheme="majorBidi"/>
                <w:sz w:val="18"/>
                <w:szCs w:val="18"/>
              </w:rPr>
            </w:pPr>
          </w:p>
        </w:tc>
      </w:tr>
      <w:tr w:rsidR="00B62A43" w:rsidRPr="0004264F" w14:paraId="4EF01FE5" w14:textId="77777777" w:rsidTr="00021E25">
        <w:trPr>
          <w:trHeight w:val="259"/>
          <w:jc w:val="center"/>
        </w:trPr>
        <w:tc>
          <w:tcPr>
            <w:tcW w:w="3381" w:type="dxa"/>
            <w:vAlign w:val="center"/>
          </w:tcPr>
          <w:p w14:paraId="2E578821" w14:textId="77777777" w:rsidR="00B62A43" w:rsidRPr="0004264F" w:rsidRDefault="00B62A43" w:rsidP="00B62A43">
            <w:pPr>
              <w:rPr>
                <w:rFonts w:cstheme="majorBidi"/>
                <w:sz w:val="18"/>
                <w:szCs w:val="18"/>
              </w:rPr>
            </w:pPr>
            <w:r w:rsidRPr="0004264F">
              <w:rPr>
                <w:rFonts w:cstheme="majorBidi"/>
                <w:sz w:val="18"/>
                <w:szCs w:val="18"/>
              </w:rPr>
              <w:t>Observations</w:t>
            </w:r>
          </w:p>
        </w:tc>
        <w:tc>
          <w:tcPr>
            <w:tcW w:w="390" w:type="dxa"/>
            <w:vAlign w:val="center"/>
          </w:tcPr>
          <w:p w14:paraId="6F0E33AD" w14:textId="77777777" w:rsidR="00B62A43" w:rsidRPr="0004264F" w:rsidRDefault="00B62A43" w:rsidP="00B62A43">
            <w:pPr>
              <w:jc w:val="center"/>
              <w:rPr>
                <w:rFonts w:cstheme="majorBidi"/>
                <w:sz w:val="18"/>
                <w:szCs w:val="18"/>
              </w:rPr>
            </w:pPr>
          </w:p>
        </w:tc>
        <w:tc>
          <w:tcPr>
            <w:tcW w:w="2163" w:type="dxa"/>
          </w:tcPr>
          <w:p w14:paraId="0EE15DF3" w14:textId="47031658" w:rsidR="00B62A43" w:rsidRPr="0004264F" w:rsidRDefault="00B62A43" w:rsidP="00B62A43">
            <w:pPr>
              <w:jc w:val="center"/>
              <w:rPr>
                <w:rFonts w:cstheme="majorBidi"/>
                <w:sz w:val="18"/>
                <w:szCs w:val="18"/>
              </w:rPr>
            </w:pPr>
            <w:r w:rsidRPr="0004264F">
              <w:rPr>
                <w:rFonts w:cstheme="majorBidi"/>
                <w:sz w:val="20"/>
                <w:szCs w:val="20"/>
              </w:rPr>
              <w:t>1221113</w:t>
            </w:r>
          </w:p>
        </w:tc>
        <w:tc>
          <w:tcPr>
            <w:tcW w:w="390" w:type="dxa"/>
          </w:tcPr>
          <w:p w14:paraId="76DDEE8B" w14:textId="52D334DD" w:rsidR="00B62A43" w:rsidRPr="0004264F" w:rsidRDefault="00B62A43" w:rsidP="00B62A43">
            <w:pPr>
              <w:jc w:val="center"/>
              <w:rPr>
                <w:rFonts w:cstheme="majorBidi"/>
                <w:sz w:val="18"/>
                <w:szCs w:val="18"/>
              </w:rPr>
            </w:pPr>
          </w:p>
        </w:tc>
        <w:tc>
          <w:tcPr>
            <w:tcW w:w="2163" w:type="dxa"/>
          </w:tcPr>
          <w:p w14:paraId="3B153E56" w14:textId="5C7CFF0A" w:rsidR="00B62A43" w:rsidRPr="0004264F" w:rsidRDefault="00B62A43" w:rsidP="00B62A43">
            <w:pPr>
              <w:jc w:val="center"/>
              <w:rPr>
                <w:rFonts w:cstheme="majorBidi"/>
                <w:sz w:val="18"/>
                <w:szCs w:val="18"/>
              </w:rPr>
            </w:pPr>
            <w:r w:rsidRPr="0004264F">
              <w:rPr>
                <w:rFonts w:cstheme="majorBidi"/>
                <w:sz w:val="20"/>
                <w:szCs w:val="20"/>
              </w:rPr>
              <w:t>1221113</w:t>
            </w:r>
          </w:p>
        </w:tc>
        <w:tc>
          <w:tcPr>
            <w:tcW w:w="390" w:type="dxa"/>
          </w:tcPr>
          <w:p w14:paraId="39053C30" w14:textId="6B8EE757" w:rsidR="00B62A43" w:rsidRPr="0004264F" w:rsidRDefault="00B62A43" w:rsidP="00B62A43">
            <w:pPr>
              <w:jc w:val="center"/>
              <w:rPr>
                <w:rFonts w:cstheme="majorBidi"/>
                <w:sz w:val="18"/>
                <w:szCs w:val="18"/>
              </w:rPr>
            </w:pPr>
          </w:p>
        </w:tc>
        <w:tc>
          <w:tcPr>
            <w:tcW w:w="2164" w:type="dxa"/>
          </w:tcPr>
          <w:p w14:paraId="18E2DA34" w14:textId="42511101" w:rsidR="00B62A43" w:rsidRPr="0004264F" w:rsidRDefault="00B62A43" w:rsidP="00B62A43">
            <w:pPr>
              <w:jc w:val="center"/>
              <w:rPr>
                <w:rFonts w:cstheme="majorBidi"/>
                <w:sz w:val="18"/>
                <w:szCs w:val="18"/>
              </w:rPr>
            </w:pPr>
            <w:r w:rsidRPr="0004264F">
              <w:rPr>
                <w:rFonts w:cstheme="majorBidi"/>
                <w:sz w:val="20"/>
                <w:szCs w:val="20"/>
              </w:rPr>
              <w:t>1218545</w:t>
            </w:r>
          </w:p>
        </w:tc>
        <w:tc>
          <w:tcPr>
            <w:tcW w:w="390" w:type="dxa"/>
          </w:tcPr>
          <w:p w14:paraId="51D9AB6C" w14:textId="77777777" w:rsidR="00B62A43" w:rsidRPr="0004264F" w:rsidRDefault="00B62A43" w:rsidP="00B62A43">
            <w:pPr>
              <w:jc w:val="center"/>
              <w:rPr>
                <w:rFonts w:cstheme="majorBidi"/>
                <w:sz w:val="18"/>
                <w:szCs w:val="18"/>
              </w:rPr>
            </w:pPr>
          </w:p>
        </w:tc>
      </w:tr>
      <w:tr w:rsidR="00B62A43" w:rsidRPr="0004264F" w14:paraId="29A86483" w14:textId="77777777" w:rsidTr="002A6CF3">
        <w:trPr>
          <w:trHeight w:val="259"/>
          <w:jc w:val="center"/>
        </w:trPr>
        <w:tc>
          <w:tcPr>
            <w:tcW w:w="3381" w:type="dxa"/>
            <w:tcBorders>
              <w:bottom w:val="single" w:sz="4" w:space="0" w:color="auto"/>
            </w:tcBorders>
            <w:vAlign w:val="center"/>
          </w:tcPr>
          <w:p w14:paraId="6D04700D" w14:textId="77777777" w:rsidR="00B62A43" w:rsidRPr="0004264F" w:rsidRDefault="00B62A43" w:rsidP="00B62A43">
            <w:pPr>
              <w:rPr>
                <w:rFonts w:cstheme="majorBidi"/>
                <w:sz w:val="18"/>
                <w:szCs w:val="18"/>
              </w:rPr>
            </w:pPr>
            <w:r w:rsidRPr="0004264F">
              <w:rPr>
                <w:rFonts w:cstheme="majorBidi"/>
                <w:sz w:val="18"/>
                <w:szCs w:val="18"/>
              </w:rPr>
              <w:t>R-squared</w:t>
            </w:r>
          </w:p>
        </w:tc>
        <w:tc>
          <w:tcPr>
            <w:tcW w:w="390" w:type="dxa"/>
            <w:tcBorders>
              <w:bottom w:val="single" w:sz="4" w:space="0" w:color="auto"/>
            </w:tcBorders>
            <w:vAlign w:val="center"/>
          </w:tcPr>
          <w:p w14:paraId="5E4B9716" w14:textId="77777777" w:rsidR="00B62A43" w:rsidRPr="0004264F" w:rsidRDefault="00B62A43" w:rsidP="00B62A43">
            <w:pPr>
              <w:jc w:val="center"/>
              <w:rPr>
                <w:rFonts w:cstheme="majorBidi"/>
                <w:sz w:val="18"/>
                <w:szCs w:val="18"/>
              </w:rPr>
            </w:pPr>
          </w:p>
        </w:tc>
        <w:tc>
          <w:tcPr>
            <w:tcW w:w="2163" w:type="dxa"/>
            <w:tcBorders>
              <w:bottom w:val="single" w:sz="4" w:space="0" w:color="auto"/>
            </w:tcBorders>
          </w:tcPr>
          <w:p w14:paraId="14F00448" w14:textId="3B061C32" w:rsidR="00B62A43" w:rsidRPr="0004264F" w:rsidRDefault="00B62A43" w:rsidP="00B62A43">
            <w:pPr>
              <w:jc w:val="center"/>
              <w:rPr>
                <w:rFonts w:cstheme="majorBidi"/>
                <w:sz w:val="18"/>
                <w:szCs w:val="18"/>
              </w:rPr>
            </w:pPr>
            <w:r w:rsidRPr="0004264F">
              <w:rPr>
                <w:rFonts w:cstheme="majorBidi"/>
                <w:sz w:val="20"/>
                <w:szCs w:val="20"/>
              </w:rPr>
              <w:t>.13318</w:t>
            </w:r>
          </w:p>
        </w:tc>
        <w:tc>
          <w:tcPr>
            <w:tcW w:w="390" w:type="dxa"/>
            <w:tcBorders>
              <w:bottom w:val="single" w:sz="4" w:space="0" w:color="auto"/>
            </w:tcBorders>
          </w:tcPr>
          <w:p w14:paraId="56E0F71A" w14:textId="0E3FAFA3" w:rsidR="00B62A43" w:rsidRPr="0004264F" w:rsidRDefault="00B62A43" w:rsidP="00B62A43">
            <w:pPr>
              <w:jc w:val="center"/>
              <w:rPr>
                <w:rFonts w:cstheme="majorBidi"/>
                <w:sz w:val="18"/>
                <w:szCs w:val="18"/>
              </w:rPr>
            </w:pPr>
          </w:p>
        </w:tc>
        <w:tc>
          <w:tcPr>
            <w:tcW w:w="2163" w:type="dxa"/>
            <w:tcBorders>
              <w:bottom w:val="single" w:sz="4" w:space="0" w:color="auto"/>
            </w:tcBorders>
          </w:tcPr>
          <w:p w14:paraId="0F747C16" w14:textId="747472EB" w:rsidR="00B62A43" w:rsidRPr="0004264F" w:rsidRDefault="00B62A43" w:rsidP="00B62A43">
            <w:pPr>
              <w:jc w:val="center"/>
              <w:rPr>
                <w:rFonts w:cstheme="majorBidi"/>
                <w:sz w:val="18"/>
                <w:szCs w:val="18"/>
              </w:rPr>
            </w:pPr>
            <w:r w:rsidRPr="0004264F">
              <w:rPr>
                <w:rFonts w:cstheme="majorBidi"/>
                <w:sz w:val="20"/>
                <w:szCs w:val="20"/>
              </w:rPr>
              <w:t>.06653</w:t>
            </w:r>
          </w:p>
        </w:tc>
        <w:tc>
          <w:tcPr>
            <w:tcW w:w="390" w:type="dxa"/>
            <w:tcBorders>
              <w:bottom w:val="single" w:sz="4" w:space="0" w:color="auto"/>
            </w:tcBorders>
          </w:tcPr>
          <w:p w14:paraId="02C91117" w14:textId="644DE2AC" w:rsidR="00B62A43" w:rsidRPr="0004264F" w:rsidRDefault="00B62A43" w:rsidP="00B62A43">
            <w:pPr>
              <w:jc w:val="center"/>
              <w:rPr>
                <w:rFonts w:cstheme="majorBidi"/>
                <w:sz w:val="18"/>
                <w:szCs w:val="18"/>
              </w:rPr>
            </w:pPr>
          </w:p>
        </w:tc>
        <w:tc>
          <w:tcPr>
            <w:tcW w:w="2164" w:type="dxa"/>
            <w:tcBorders>
              <w:bottom w:val="single" w:sz="4" w:space="0" w:color="auto"/>
            </w:tcBorders>
          </w:tcPr>
          <w:p w14:paraId="76A16290" w14:textId="32698986" w:rsidR="00B62A43" w:rsidRPr="0004264F" w:rsidRDefault="00B62A43" w:rsidP="00B62A43">
            <w:pPr>
              <w:jc w:val="center"/>
              <w:rPr>
                <w:rFonts w:cstheme="majorBidi"/>
                <w:sz w:val="18"/>
                <w:szCs w:val="18"/>
              </w:rPr>
            </w:pPr>
            <w:r w:rsidRPr="0004264F">
              <w:rPr>
                <w:rFonts w:cstheme="majorBidi"/>
                <w:sz w:val="20"/>
                <w:szCs w:val="20"/>
              </w:rPr>
              <w:t>.10269</w:t>
            </w:r>
          </w:p>
        </w:tc>
        <w:tc>
          <w:tcPr>
            <w:tcW w:w="390" w:type="dxa"/>
            <w:tcBorders>
              <w:bottom w:val="single" w:sz="4" w:space="0" w:color="auto"/>
            </w:tcBorders>
          </w:tcPr>
          <w:p w14:paraId="284F2BE5" w14:textId="77777777" w:rsidR="00B62A43" w:rsidRPr="0004264F" w:rsidRDefault="00B62A43" w:rsidP="00B62A43">
            <w:pPr>
              <w:jc w:val="center"/>
              <w:rPr>
                <w:rFonts w:cstheme="majorBidi"/>
                <w:sz w:val="18"/>
                <w:szCs w:val="18"/>
              </w:rPr>
            </w:pPr>
          </w:p>
        </w:tc>
      </w:tr>
      <w:tr w:rsidR="00B62A43" w:rsidRPr="0004264F" w14:paraId="78694C1A" w14:textId="77777777" w:rsidTr="002A6CF3">
        <w:trPr>
          <w:trHeight w:val="259"/>
          <w:jc w:val="center"/>
        </w:trPr>
        <w:tc>
          <w:tcPr>
            <w:tcW w:w="11431" w:type="dxa"/>
            <w:gridSpan w:val="8"/>
            <w:tcBorders>
              <w:top w:val="single" w:sz="4" w:space="0" w:color="auto"/>
            </w:tcBorders>
            <w:vAlign w:val="center"/>
          </w:tcPr>
          <w:p w14:paraId="0B0B05A6" w14:textId="62F87A6A" w:rsidR="00B62A43" w:rsidRPr="0004264F" w:rsidRDefault="00B62A43" w:rsidP="00B62A43">
            <w:pPr>
              <w:widowControl w:val="0"/>
              <w:autoSpaceDE w:val="0"/>
              <w:autoSpaceDN w:val="0"/>
              <w:adjustRightInd w:val="0"/>
              <w:jc w:val="both"/>
              <w:rPr>
                <w:rFonts w:cstheme="majorBidi"/>
                <w:sz w:val="18"/>
                <w:szCs w:val="18"/>
              </w:rPr>
            </w:pPr>
            <w:r w:rsidRPr="0004264F">
              <w:rPr>
                <w:rFonts w:cstheme="majorBidi"/>
                <w:sz w:val="18"/>
                <w:szCs w:val="18"/>
              </w:rPr>
              <w:t>Notes. Standard errors, clustered at the county-level (except for columns 9-10), are in parentheses. All regressions include county fixed effects, birth-year fixed effects, county-division fixed effects, and county trend. All regressions include individual, parental, and county covariates.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w:t>
            </w:r>
          </w:p>
          <w:p w14:paraId="40E460EC" w14:textId="77777777" w:rsidR="00B62A43" w:rsidRPr="0004264F" w:rsidRDefault="00B62A43" w:rsidP="00B62A43">
            <w:pPr>
              <w:widowControl w:val="0"/>
              <w:autoSpaceDE w:val="0"/>
              <w:autoSpaceDN w:val="0"/>
              <w:adjustRightInd w:val="0"/>
              <w:rPr>
                <w:rFonts w:cstheme="majorBidi"/>
                <w:sz w:val="18"/>
                <w:szCs w:val="18"/>
              </w:rPr>
            </w:pPr>
            <w:r w:rsidRPr="0004264F">
              <w:rPr>
                <w:rFonts w:cstheme="majorBidi"/>
                <w:sz w:val="18"/>
                <w:szCs w:val="18"/>
              </w:rPr>
              <w:t>*** p&lt;0.01, ** p&lt;0.05, * p&lt;0.1</w:t>
            </w:r>
          </w:p>
          <w:p w14:paraId="45235B10" w14:textId="77777777" w:rsidR="00B62A43" w:rsidRPr="0004264F" w:rsidRDefault="00B62A43" w:rsidP="00B62A43">
            <w:pPr>
              <w:jc w:val="center"/>
              <w:rPr>
                <w:rFonts w:cstheme="majorBidi"/>
                <w:sz w:val="18"/>
                <w:szCs w:val="18"/>
              </w:rPr>
            </w:pPr>
          </w:p>
        </w:tc>
      </w:tr>
    </w:tbl>
    <w:p w14:paraId="48D86C6E" w14:textId="77777777" w:rsidR="008729FE" w:rsidRPr="0004264F" w:rsidRDefault="008729FE" w:rsidP="008729FE">
      <w:pPr>
        <w:rPr>
          <w:rFonts w:cstheme="majorBidi"/>
          <w:b/>
          <w:bCs/>
          <w:sz w:val="20"/>
          <w:szCs w:val="20"/>
        </w:rPr>
      </w:pPr>
    </w:p>
    <w:p w14:paraId="05369A59" w14:textId="77777777" w:rsidR="004A62F0" w:rsidRPr="0004264F" w:rsidRDefault="004A62F0" w:rsidP="00F32C69">
      <w:pPr>
        <w:rPr>
          <w:rFonts w:cstheme="majorBidi"/>
          <w:b/>
          <w:bCs/>
          <w:sz w:val="20"/>
          <w:szCs w:val="20"/>
        </w:rPr>
        <w:sectPr w:rsidR="004A62F0" w:rsidRPr="0004264F" w:rsidSect="008729FE">
          <w:pgSz w:w="15840" w:h="12240" w:orient="landscape" w:code="1"/>
          <w:pgMar w:top="1440" w:right="1440" w:bottom="1440" w:left="1440" w:header="720" w:footer="720" w:gutter="0"/>
          <w:cols w:space="720"/>
          <w:docGrid w:linePitch="360"/>
        </w:sectPr>
      </w:pPr>
    </w:p>
    <w:p w14:paraId="36D23C93" w14:textId="16FF7CA9" w:rsidR="00022F29" w:rsidRPr="0004264F" w:rsidRDefault="00022F29" w:rsidP="00F32C69">
      <w:pPr>
        <w:rPr>
          <w:rFonts w:cstheme="majorBidi"/>
          <w:b/>
          <w:bCs/>
          <w:sz w:val="20"/>
          <w:szCs w:val="20"/>
        </w:rPr>
      </w:pPr>
    </w:p>
    <w:p w14:paraId="625E22AE" w14:textId="27020E2C" w:rsidR="004A62F0" w:rsidRPr="0004264F" w:rsidRDefault="004A62F0" w:rsidP="00F32C69">
      <w:pPr>
        <w:rPr>
          <w:rFonts w:cstheme="majorBidi"/>
          <w:b/>
          <w:bCs/>
          <w:sz w:val="20"/>
          <w:szCs w:val="20"/>
        </w:rPr>
      </w:pPr>
    </w:p>
    <w:p w14:paraId="3A6A93FE" w14:textId="77777777" w:rsidR="00022F29" w:rsidRPr="0004264F" w:rsidRDefault="00022F29" w:rsidP="00022F29">
      <w:pPr>
        <w:rPr>
          <w:rFonts w:cstheme="majorBidi"/>
          <w:b/>
          <w:bCs/>
          <w:sz w:val="20"/>
          <w:szCs w:val="20"/>
        </w:rPr>
      </w:pPr>
    </w:p>
    <w:p w14:paraId="25BC40C8" w14:textId="4CB7CF99" w:rsidR="00022F29" w:rsidRPr="0004264F" w:rsidRDefault="00022F29" w:rsidP="00022F29">
      <w:pPr>
        <w:pStyle w:val="Caption"/>
        <w:keepNext/>
        <w:bidi w:val="0"/>
        <w:rPr>
          <w:rFonts w:cstheme="majorBidi"/>
        </w:rPr>
      </w:pPr>
      <w:bookmarkStart w:id="19" w:name="_Ref97970907"/>
      <w:r w:rsidRPr="0004264F">
        <w:rPr>
          <w:rFonts w:cstheme="majorBidi"/>
        </w:rPr>
        <w:t xml:space="preserve">Table </w:t>
      </w:r>
      <w:r w:rsidRPr="0004264F">
        <w:rPr>
          <w:rFonts w:cstheme="majorBidi"/>
        </w:rPr>
        <w:fldChar w:fldCharType="begin"/>
      </w:r>
      <w:r w:rsidRPr="0004264F">
        <w:rPr>
          <w:rFonts w:cstheme="majorBidi"/>
        </w:rPr>
        <w:instrText xml:space="preserve"> SEQ Table \* ARABIC </w:instrText>
      </w:r>
      <w:r w:rsidRPr="0004264F">
        <w:rPr>
          <w:rFonts w:cstheme="majorBidi"/>
        </w:rPr>
        <w:fldChar w:fldCharType="separate"/>
      </w:r>
      <w:r w:rsidR="00CA5B9D" w:rsidRPr="0004264F">
        <w:rPr>
          <w:rFonts w:cstheme="majorBidi"/>
          <w:noProof/>
        </w:rPr>
        <w:t>9</w:t>
      </w:r>
      <w:r w:rsidRPr="0004264F">
        <w:rPr>
          <w:rFonts w:cstheme="majorBidi"/>
          <w:noProof/>
        </w:rPr>
        <w:fldChar w:fldCharType="end"/>
      </w:r>
      <w:bookmarkEnd w:id="19"/>
      <w:r w:rsidRPr="0004264F">
        <w:rPr>
          <w:rFonts w:cstheme="majorBidi"/>
        </w:rPr>
        <w:t xml:space="preserve"> - Alternative Measures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047"/>
        <w:gridCol w:w="3043"/>
      </w:tblGrid>
      <w:tr w:rsidR="00F970D7" w:rsidRPr="0004264F" w14:paraId="0F5E3BBE" w14:textId="77777777" w:rsidTr="00F970D7">
        <w:trPr>
          <w:trHeight w:val="229"/>
          <w:jc w:val="center"/>
        </w:trPr>
        <w:tc>
          <w:tcPr>
            <w:tcW w:w="3049" w:type="dxa"/>
            <w:tcBorders>
              <w:top w:val="single" w:sz="4" w:space="0" w:color="auto"/>
            </w:tcBorders>
            <w:vAlign w:val="center"/>
          </w:tcPr>
          <w:p w14:paraId="0AF6D617" w14:textId="77777777" w:rsidR="00F970D7" w:rsidRPr="0004264F" w:rsidRDefault="00F970D7" w:rsidP="00F970D7">
            <w:pPr>
              <w:rPr>
                <w:rFonts w:cstheme="majorBidi"/>
                <w:b/>
                <w:bCs/>
                <w:sz w:val="20"/>
                <w:szCs w:val="20"/>
              </w:rPr>
            </w:pPr>
          </w:p>
        </w:tc>
        <w:tc>
          <w:tcPr>
            <w:tcW w:w="6090" w:type="dxa"/>
            <w:gridSpan w:val="2"/>
            <w:tcBorders>
              <w:top w:val="single" w:sz="4" w:space="0" w:color="auto"/>
              <w:bottom w:val="single" w:sz="4" w:space="0" w:color="auto"/>
            </w:tcBorders>
            <w:vAlign w:val="center"/>
          </w:tcPr>
          <w:p w14:paraId="57C72EE0" w14:textId="25A16D6B" w:rsidR="00F970D7" w:rsidRPr="0004264F" w:rsidRDefault="00F970D7" w:rsidP="00F970D7">
            <w:pPr>
              <w:jc w:val="center"/>
              <w:rPr>
                <w:rFonts w:cstheme="majorBidi"/>
                <w:sz w:val="20"/>
                <w:szCs w:val="20"/>
              </w:rPr>
            </w:pPr>
            <w:r w:rsidRPr="0004264F">
              <w:rPr>
                <w:rFonts w:cstheme="majorBidi"/>
                <w:b/>
                <w:bCs/>
                <w:i/>
                <w:iCs/>
                <w:sz w:val="20"/>
                <w:szCs w:val="20"/>
              </w:rPr>
              <w:t>Outcome: Death Age (Months)</w:t>
            </w:r>
          </w:p>
        </w:tc>
      </w:tr>
      <w:tr w:rsidR="00F970D7" w:rsidRPr="0004264F" w14:paraId="17547217" w14:textId="77777777" w:rsidTr="00F970D7">
        <w:trPr>
          <w:trHeight w:val="229"/>
          <w:jc w:val="center"/>
        </w:trPr>
        <w:tc>
          <w:tcPr>
            <w:tcW w:w="3049" w:type="dxa"/>
            <w:tcBorders>
              <w:bottom w:val="single" w:sz="4" w:space="0" w:color="auto"/>
            </w:tcBorders>
            <w:vAlign w:val="center"/>
          </w:tcPr>
          <w:p w14:paraId="78DDCBEE" w14:textId="77777777" w:rsidR="00F970D7" w:rsidRPr="0004264F" w:rsidRDefault="00F970D7" w:rsidP="00F970D7">
            <w:pPr>
              <w:rPr>
                <w:rFonts w:cstheme="majorBidi"/>
                <w:b/>
                <w:bCs/>
                <w:sz w:val="20"/>
                <w:szCs w:val="20"/>
              </w:rPr>
            </w:pPr>
          </w:p>
        </w:tc>
        <w:tc>
          <w:tcPr>
            <w:tcW w:w="3047" w:type="dxa"/>
            <w:tcBorders>
              <w:top w:val="single" w:sz="4" w:space="0" w:color="auto"/>
              <w:bottom w:val="single" w:sz="4" w:space="0" w:color="auto"/>
            </w:tcBorders>
            <w:vAlign w:val="center"/>
          </w:tcPr>
          <w:p w14:paraId="4D83E268" w14:textId="40687D4A" w:rsidR="00F970D7" w:rsidRPr="0004264F" w:rsidRDefault="00F970D7" w:rsidP="00F970D7">
            <w:pPr>
              <w:jc w:val="center"/>
              <w:rPr>
                <w:rFonts w:cstheme="majorBidi"/>
                <w:b/>
                <w:bCs/>
                <w:sz w:val="20"/>
                <w:szCs w:val="20"/>
              </w:rPr>
            </w:pPr>
            <w:r w:rsidRPr="0004264F">
              <w:rPr>
                <w:rFonts w:cstheme="majorBidi"/>
                <w:sz w:val="20"/>
                <w:szCs w:val="20"/>
              </w:rPr>
              <w:t>(1)</w:t>
            </w:r>
          </w:p>
        </w:tc>
        <w:tc>
          <w:tcPr>
            <w:tcW w:w="3043" w:type="dxa"/>
            <w:tcBorders>
              <w:top w:val="single" w:sz="4" w:space="0" w:color="auto"/>
              <w:bottom w:val="single" w:sz="4" w:space="0" w:color="auto"/>
            </w:tcBorders>
            <w:vAlign w:val="center"/>
          </w:tcPr>
          <w:p w14:paraId="04E66F9C" w14:textId="2D19E9DF" w:rsidR="00F970D7" w:rsidRPr="0004264F" w:rsidRDefault="00F970D7" w:rsidP="00F970D7">
            <w:pPr>
              <w:jc w:val="center"/>
              <w:rPr>
                <w:rFonts w:cstheme="majorBidi"/>
                <w:b/>
                <w:bCs/>
                <w:sz w:val="20"/>
                <w:szCs w:val="20"/>
              </w:rPr>
            </w:pPr>
            <w:r w:rsidRPr="0004264F">
              <w:rPr>
                <w:rFonts w:cstheme="majorBidi"/>
                <w:sz w:val="20"/>
                <w:szCs w:val="20"/>
              </w:rPr>
              <w:t>(3)</w:t>
            </w:r>
          </w:p>
        </w:tc>
      </w:tr>
      <w:tr w:rsidR="00F970D7" w:rsidRPr="0004264F" w14:paraId="63F62EB2" w14:textId="77777777" w:rsidTr="00F970D7">
        <w:trPr>
          <w:trHeight w:val="229"/>
          <w:jc w:val="center"/>
        </w:trPr>
        <w:tc>
          <w:tcPr>
            <w:tcW w:w="3049" w:type="dxa"/>
            <w:vMerge w:val="restart"/>
            <w:tcBorders>
              <w:top w:val="single" w:sz="4" w:space="0" w:color="auto"/>
            </w:tcBorders>
            <w:vAlign w:val="center"/>
          </w:tcPr>
          <w:p w14:paraId="60FF002A" w14:textId="77777777" w:rsidR="00F970D7" w:rsidRPr="0004264F" w:rsidRDefault="00F970D7" w:rsidP="00F970D7">
            <w:pPr>
              <w:rPr>
                <w:rFonts w:cstheme="majorBidi"/>
                <w:b/>
                <w:bCs/>
                <w:sz w:val="20"/>
                <w:szCs w:val="20"/>
              </w:rPr>
            </w:pPr>
            <w:r w:rsidRPr="0004264F">
              <w:rPr>
                <w:rFonts w:cstheme="majorBidi"/>
                <w:sz w:val="20"/>
                <w:szCs w:val="20"/>
              </w:rPr>
              <w:t>Total Deposits (STD)</w:t>
            </w:r>
          </w:p>
        </w:tc>
        <w:tc>
          <w:tcPr>
            <w:tcW w:w="3047" w:type="dxa"/>
            <w:tcBorders>
              <w:top w:val="single" w:sz="4" w:space="0" w:color="auto"/>
            </w:tcBorders>
          </w:tcPr>
          <w:p w14:paraId="3801307B" w14:textId="4C6D61C4" w:rsidR="00F970D7" w:rsidRPr="0004264F" w:rsidRDefault="00F970D7" w:rsidP="00F970D7">
            <w:pPr>
              <w:jc w:val="center"/>
              <w:rPr>
                <w:rFonts w:cstheme="majorBidi"/>
                <w:b/>
                <w:bCs/>
                <w:sz w:val="20"/>
                <w:szCs w:val="20"/>
              </w:rPr>
            </w:pPr>
            <w:r w:rsidRPr="0004264F">
              <w:rPr>
                <w:rFonts w:cstheme="majorBidi"/>
                <w:sz w:val="20"/>
                <w:szCs w:val="20"/>
              </w:rPr>
              <w:t>2.19549***</w:t>
            </w:r>
          </w:p>
        </w:tc>
        <w:tc>
          <w:tcPr>
            <w:tcW w:w="3043" w:type="dxa"/>
            <w:tcBorders>
              <w:top w:val="single" w:sz="4" w:space="0" w:color="auto"/>
            </w:tcBorders>
            <w:vAlign w:val="center"/>
          </w:tcPr>
          <w:p w14:paraId="43E5DA58" w14:textId="77777777" w:rsidR="00F970D7" w:rsidRPr="0004264F" w:rsidRDefault="00F970D7" w:rsidP="00F970D7">
            <w:pPr>
              <w:jc w:val="center"/>
              <w:rPr>
                <w:rFonts w:cstheme="majorBidi"/>
                <w:b/>
                <w:bCs/>
                <w:sz w:val="20"/>
                <w:szCs w:val="20"/>
              </w:rPr>
            </w:pPr>
          </w:p>
        </w:tc>
      </w:tr>
      <w:tr w:rsidR="00F970D7" w:rsidRPr="0004264F" w14:paraId="696B54D5" w14:textId="77777777" w:rsidTr="00F970D7">
        <w:trPr>
          <w:trHeight w:val="229"/>
          <w:jc w:val="center"/>
        </w:trPr>
        <w:tc>
          <w:tcPr>
            <w:tcW w:w="3049" w:type="dxa"/>
            <w:vMerge/>
            <w:vAlign w:val="center"/>
          </w:tcPr>
          <w:p w14:paraId="766A3C80" w14:textId="77777777" w:rsidR="00F970D7" w:rsidRPr="0004264F" w:rsidRDefault="00F970D7" w:rsidP="00F970D7">
            <w:pPr>
              <w:rPr>
                <w:rFonts w:cstheme="majorBidi"/>
                <w:b/>
                <w:bCs/>
                <w:sz w:val="20"/>
                <w:szCs w:val="20"/>
              </w:rPr>
            </w:pPr>
          </w:p>
        </w:tc>
        <w:tc>
          <w:tcPr>
            <w:tcW w:w="3047" w:type="dxa"/>
          </w:tcPr>
          <w:p w14:paraId="67284B4F" w14:textId="1B4C78E4" w:rsidR="00F970D7" w:rsidRPr="0004264F" w:rsidRDefault="00F970D7" w:rsidP="00F970D7">
            <w:pPr>
              <w:jc w:val="center"/>
              <w:rPr>
                <w:rFonts w:cstheme="majorBidi"/>
                <w:b/>
                <w:bCs/>
                <w:sz w:val="20"/>
                <w:szCs w:val="20"/>
              </w:rPr>
            </w:pPr>
            <w:r w:rsidRPr="0004264F">
              <w:rPr>
                <w:rFonts w:cstheme="majorBidi"/>
                <w:sz w:val="20"/>
                <w:szCs w:val="20"/>
              </w:rPr>
              <w:t>(.82583)</w:t>
            </w:r>
          </w:p>
        </w:tc>
        <w:tc>
          <w:tcPr>
            <w:tcW w:w="3043" w:type="dxa"/>
            <w:vAlign w:val="center"/>
          </w:tcPr>
          <w:p w14:paraId="50946ECB" w14:textId="77777777" w:rsidR="00F970D7" w:rsidRPr="0004264F" w:rsidRDefault="00F970D7" w:rsidP="00F970D7">
            <w:pPr>
              <w:jc w:val="center"/>
              <w:rPr>
                <w:rFonts w:cstheme="majorBidi"/>
                <w:b/>
                <w:bCs/>
                <w:sz w:val="20"/>
                <w:szCs w:val="20"/>
              </w:rPr>
            </w:pPr>
          </w:p>
        </w:tc>
      </w:tr>
      <w:tr w:rsidR="00F970D7" w:rsidRPr="0004264F" w14:paraId="1AF4ADF3" w14:textId="77777777" w:rsidTr="00F970D7">
        <w:trPr>
          <w:trHeight w:val="220"/>
          <w:jc w:val="center"/>
        </w:trPr>
        <w:tc>
          <w:tcPr>
            <w:tcW w:w="3049" w:type="dxa"/>
            <w:vMerge w:val="restart"/>
            <w:vAlign w:val="center"/>
          </w:tcPr>
          <w:p w14:paraId="55A26F95" w14:textId="1A2CCA78" w:rsidR="00F970D7" w:rsidRPr="0004264F" w:rsidRDefault="00F970D7" w:rsidP="00F970D7">
            <w:pPr>
              <w:rPr>
                <w:rFonts w:cstheme="majorBidi"/>
                <w:b/>
                <w:bCs/>
                <w:sz w:val="20"/>
                <w:szCs w:val="20"/>
              </w:rPr>
            </w:pPr>
            <w:r w:rsidRPr="0004264F">
              <w:rPr>
                <w:rFonts w:cstheme="majorBidi"/>
                <w:sz w:val="20"/>
                <w:szCs w:val="20"/>
              </w:rPr>
              <w:t>Drop in Deposits&gt;5% and &lt;10%</w:t>
            </w:r>
          </w:p>
        </w:tc>
        <w:tc>
          <w:tcPr>
            <w:tcW w:w="3047" w:type="dxa"/>
          </w:tcPr>
          <w:p w14:paraId="27EA29DD" w14:textId="276275E3" w:rsidR="00F970D7" w:rsidRPr="0004264F" w:rsidRDefault="00F970D7" w:rsidP="00F970D7">
            <w:pPr>
              <w:jc w:val="center"/>
              <w:rPr>
                <w:rFonts w:cstheme="majorBidi"/>
                <w:b/>
                <w:bCs/>
                <w:sz w:val="20"/>
                <w:szCs w:val="20"/>
              </w:rPr>
            </w:pPr>
          </w:p>
        </w:tc>
        <w:tc>
          <w:tcPr>
            <w:tcW w:w="3043" w:type="dxa"/>
          </w:tcPr>
          <w:p w14:paraId="19F65A58" w14:textId="1205405F" w:rsidR="00F970D7" w:rsidRPr="0004264F" w:rsidRDefault="00F970D7" w:rsidP="00F970D7">
            <w:pPr>
              <w:jc w:val="center"/>
              <w:rPr>
                <w:rFonts w:cstheme="majorBidi"/>
                <w:b/>
                <w:bCs/>
                <w:sz w:val="20"/>
                <w:szCs w:val="20"/>
              </w:rPr>
            </w:pPr>
            <w:r w:rsidRPr="0004264F">
              <w:rPr>
                <w:rFonts w:cstheme="majorBidi"/>
                <w:sz w:val="20"/>
                <w:szCs w:val="20"/>
              </w:rPr>
              <w:t>-.60259**</w:t>
            </w:r>
          </w:p>
        </w:tc>
      </w:tr>
      <w:tr w:rsidR="00F970D7" w:rsidRPr="0004264F" w14:paraId="3ADDB2E3" w14:textId="77777777" w:rsidTr="00F970D7">
        <w:trPr>
          <w:trHeight w:val="238"/>
          <w:jc w:val="center"/>
        </w:trPr>
        <w:tc>
          <w:tcPr>
            <w:tcW w:w="3049" w:type="dxa"/>
            <w:vMerge/>
            <w:vAlign w:val="center"/>
          </w:tcPr>
          <w:p w14:paraId="37C1FDCC" w14:textId="77777777" w:rsidR="00F970D7" w:rsidRPr="0004264F" w:rsidRDefault="00F970D7" w:rsidP="00F970D7">
            <w:pPr>
              <w:rPr>
                <w:rFonts w:cstheme="majorBidi"/>
                <w:b/>
                <w:bCs/>
                <w:sz w:val="20"/>
                <w:szCs w:val="20"/>
              </w:rPr>
            </w:pPr>
          </w:p>
        </w:tc>
        <w:tc>
          <w:tcPr>
            <w:tcW w:w="3047" w:type="dxa"/>
          </w:tcPr>
          <w:p w14:paraId="2D25A922" w14:textId="075152CB" w:rsidR="00F970D7" w:rsidRPr="0004264F" w:rsidRDefault="00F970D7" w:rsidP="00F970D7">
            <w:pPr>
              <w:jc w:val="center"/>
              <w:rPr>
                <w:rFonts w:cstheme="majorBidi"/>
                <w:b/>
                <w:bCs/>
                <w:sz w:val="20"/>
                <w:szCs w:val="20"/>
              </w:rPr>
            </w:pPr>
          </w:p>
        </w:tc>
        <w:tc>
          <w:tcPr>
            <w:tcW w:w="3043" w:type="dxa"/>
          </w:tcPr>
          <w:p w14:paraId="6FA57DF2" w14:textId="3CA08E61" w:rsidR="00F970D7" w:rsidRPr="0004264F" w:rsidRDefault="00F970D7" w:rsidP="00F970D7">
            <w:pPr>
              <w:jc w:val="center"/>
              <w:rPr>
                <w:rFonts w:cstheme="majorBidi"/>
                <w:b/>
                <w:bCs/>
                <w:sz w:val="20"/>
                <w:szCs w:val="20"/>
              </w:rPr>
            </w:pPr>
            <w:r w:rsidRPr="0004264F">
              <w:rPr>
                <w:rFonts w:cstheme="majorBidi"/>
                <w:sz w:val="20"/>
                <w:szCs w:val="20"/>
              </w:rPr>
              <w:t>(.28177)</w:t>
            </w:r>
          </w:p>
        </w:tc>
      </w:tr>
      <w:tr w:rsidR="00F970D7" w:rsidRPr="0004264F" w14:paraId="65F51C11" w14:textId="77777777" w:rsidTr="00F970D7">
        <w:trPr>
          <w:trHeight w:val="220"/>
          <w:jc w:val="center"/>
        </w:trPr>
        <w:tc>
          <w:tcPr>
            <w:tcW w:w="3049" w:type="dxa"/>
            <w:vMerge w:val="restart"/>
            <w:vAlign w:val="center"/>
          </w:tcPr>
          <w:p w14:paraId="66247F9C" w14:textId="1E0CFD97" w:rsidR="00F970D7" w:rsidRPr="0004264F" w:rsidRDefault="00F970D7" w:rsidP="00F970D7">
            <w:pPr>
              <w:rPr>
                <w:rFonts w:cstheme="majorBidi"/>
                <w:b/>
                <w:bCs/>
                <w:sz w:val="20"/>
                <w:szCs w:val="20"/>
              </w:rPr>
            </w:pPr>
            <w:r w:rsidRPr="0004264F">
              <w:rPr>
                <w:rFonts w:cstheme="majorBidi"/>
                <w:sz w:val="20"/>
                <w:szCs w:val="20"/>
              </w:rPr>
              <w:t>Drop in Deposits&gt;10%</w:t>
            </w:r>
          </w:p>
        </w:tc>
        <w:tc>
          <w:tcPr>
            <w:tcW w:w="3047" w:type="dxa"/>
          </w:tcPr>
          <w:p w14:paraId="416F2CCD" w14:textId="55E1FA9B" w:rsidR="00F970D7" w:rsidRPr="0004264F" w:rsidRDefault="00F970D7" w:rsidP="00F970D7">
            <w:pPr>
              <w:jc w:val="center"/>
              <w:rPr>
                <w:rFonts w:cstheme="majorBidi"/>
                <w:b/>
                <w:bCs/>
                <w:sz w:val="20"/>
                <w:szCs w:val="20"/>
              </w:rPr>
            </w:pPr>
          </w:p>
        </w:tc>
        <w:tc>
          <w:tcPr>
            <w:tcW w:w="3043" w:type="dxa"/>
          </w:tcPr>
          <w:p w14:paraId="36DD6193" w14:textId="5FC690C0" w:rsidR="00F970D7" w:rsidRPr="0004264F" w:rsidRDefault="00F970D7" w:rsidP="00F970D7">
            <w:pPr>
              <w:jc w:val="center"/>
              <w:rPr>
                <w:rFonts w:cstheme="majorBidi"/>
                <w:b/>
                <w:bCs/>
                <w:sz w:val="20"/>
                <w:szCs w:val="20"/>
              </w:rPr>
            </w:pPr>
            <w:r w:rsidRPr="0004264F">
              <w:rPr>
                <w:rFonts w:cstheme="majorBidi"/>
                <w:sz w:val="20"/>
                <w:szCs w:val="20"/>
              </w:rPr>
              <w:t>-.59231*</w:t>
            </w:r>
          </w:p>
        </w:tc>
      </w:tr>
      <w:tr w:rsidR="00F970D7" w:rsidRPr="0004264F" w14:paraId="763197E5" w14:textId="77777777" w:rsidTr="00F970D7">
        <w:trPr>
          <w:trHeight w:val="229"/>
          <w:jc w:val="center"/>
        </w:trPr>
        <w:tc>
          <w:tcPr>
            <w:tcW w:w="3049" w:type="dxa"/>
            <w:vMerge/>
            <w:vAlign w:val="center"/>
          </w:tcPr>
          <w:p w14:paraId="0742A5F3" w14:textId="77777777" w:rsidR="00F970D7" w:rsidRPr="0004264F" w:rsidRDefault="00F970D7" w:rsidP="00F970D7">
            <w:pPr>
              <w:rPr>
                <w:rFonts w:cstheme="majorBidi"/>
                <w:b/>
                <w:bCs/>
                <w:sz w:val="20"/>
                <w:szCs w:val="20"/>
              </w:rPr>
            </w:pPr>
          </w:p>
        </w:tc>
        <w:tc>
          <w:tcPr>
            <w:tcW w:w="3047" w:type="dxa"/>
          </w:tcPr>
          <w:p w14:paraId="490C2CEE" w14:textId="7791EBEF" w:rsidR="00F970D7" w:rsidRPr="0004264F" w:rsidRDefault="00F970D7" w:rsidP="00F970D7">
            <w:pPr>
              <w:jc w:val="center"/>
              <w:rPr>
                <w:rFonts w:cstheme="majorBidi"/>
                <w:b/>
                <w:bCs/>
                <w:sz w:val="20"/>
                <w:szCs w:val="20"/>
              </w:rPr>
            </w:pPr>
          </w:p>
        </w:tc>
        <w:tc>
          <w:tcPr>
            <w:tcW w:w="3043" w:type="dxa"/>
          </w:tcPr>
          <w:p w14:paraId="5C0CE81D" w14:textId="5FAC125B" w:rsidR="00F970D7" w:rsidRPr="0004264F" w:rsidRDefault="00F970D7" w:rsidP="00F970D7">
            <w:pPr>
              <w:jc w:val="center"/>
              <w:rPr>
                <w:rFonts w:cstheme="majorBidi"/>
                <w:b/>
                <w:bCs/>
                <w:sz w:val="20"/>
                <w:szCs w:val="20"/>
              </w:rPr>
            </w:pPr>
            <w:r w:rsidRPr="0004264F">
              <w:rPr>
                <w:rFonts w:cstheme="majorBidi"/>
                <w:sz w:val="20"/>
                <w:szCs w:val="20"/>
              </w:rPr>
              <w:t>(.33466)</w:t>
            </w:r>
          </w:p>
        </w:tc>
      </w:tr>
      <w:tr w:rsidR="00F970D7" w:rsidRPr="0004264F" w14:paraId="6BE5B879" w14:textId="77777777" w:rsidTr="00F970D7">
        <w:trPr>
          <w:trHeight w:val="229"/>
          <w:jc w:val="center"/>
        </w:trPr>
        <w:tc>
          <w:tcPr>
            <w:tcW w:w="3049" w:type="dxa"/>
            <w:vAlign w:val="center"/>
          </w:tcPr>
          <w:p w14:paraId="679D1397" w14:textId="77777777" w:rsidR="00F970D7" w:rsidRPr="0004264F" w:rsidRDefault="00F970D7" w:rsidP="00F970D7">
            <w:pPr>
              <w:rPr>
                <w:rFonts w:cstheme="majorBidi"/>
                <w:b/>
                <w:bCs/>
                <w:sz w:val="20"/>
                <w:szCs w:val="20"/>
              </w:rPr>
            </w:pPr>
            <w:r w:rsidRPr="0004264F">
              <w:rPr>
                <w:rFonts w:cstheme="majorBidi"/>
                <w:sz w:val="20"/>
                <w:szCs w:val="20"/>
              </w:rPr>
              <w:t>Observations</w:t>
            </w:r>
          </w:p>
        </w:tc>
        <w:tc>
          <w:tcPr>
            <w:tcW w:w="3047" w:type="dxa"/>
          </w:tcPr>
          <w:p w14:paraId="3D530F5E" w14:textId="67490985" w:rsidR="00F970D7" w:rsidRPr="0004264F" w:rsidRDefault="00F970D7" w:rsidP="00F970D7">
            <w:pPr>
              <w:jc w:val="center"/>
              <w:rPr>
                <w:rFonts w:cstheme="majorBidi"/>
                <w:b/>
                <w:bCs/>
                <w:sz w:val="20"/>
                <w:szCs w:val="20"/>
              </w:rPr>
            </w:pPr>
            <w:r w:rsidRPr="0004264F">
              <w:rPr>
                <w:rFonts w:cstheme="majorBidi"/>
                <w:sz w:val="20"/>
                <w:szCs w:val="20"/>
              </w:rPr>
              <w:t>1206663</w:t>
            </w:r>
          </w:p>
        </w:tc>
        <w:tc>
          <w:tcPr>
            <w:tcW w:w="3043" w:type="dxa"/>
          </w:tcPr>
          <w:p w14:paraId="19ABB905" w14:textId="77FF12B2" w:rsidR="00F970D7" w:rsidRPr="0004264F" w:rsidRDefault="00F970D7" w:rsidP="00F970D7">
            <w:pPr>
              <w:jc w:val="center"/>
              <w:rPr>
                <w:rFonts w:cstheme="majorBidi"/>
                <w:b/>
                <w:bCs/>
                <w:sz w:val="20"/>
                <w:szCs w:val="20"/>
              </w:rPr>
            </w:pPr>
            <w:r w:rsidRPr="0004264F">
              <w:rPr>
                <w:rFonts w:cstheme="majorBidi"/>
                <w:sz w:val="20"/>
                <w:szCs w:val="20"/>
              </w:rPr>
              <w:t>1208367</w:t>
            </w:r>
          </w:p>
        </w:tc>
      </w:tr>
      <w:tr w:rsidR="00F970D7" w:rsidRPr="0004264F" w14:paraId="67B837AB" w14:textId="77777777" w:rsidTr="00F970D7">
        <w:trPr>
          <w:trHeight w:val="220"/>
          <w:jc w:val="center"/>
        </w:trPr>
        <w:tc>
          <w:tcPr>
            <w:tcW w:w="3049" w:type="dxa"/>
            <w:vAlign w:val="center"/>
          </w:tcPr>
          <w:p w14:paraId="66E2FAFB" w14:textId="77777777" w:rsidR="00F970D7" w:rsidRPr="0004264F" w:rsidRDefault="00F970D7" w:rsidP="00F970D7">
            <w:pPr>
              <w:rPr>
                <w:rFonts w:cstheme="majorBidi"/>
                <w:b/>
                <w:bCs/>
                <w:sz w:val="20"/>
                <w:szCs w:val="20"/>
              </w:rPr>
            </w:pPr>
            <w:r w:rsidRPr="0004264F">
              <w:rPr>
                <w:rFonts w:cstheme="majorBidi"/>
                <w:sz w:val="20"/>
                <w:szCs w:val="20"/>
              </w:rPr>
              <w:t>R-squared</w:t>
            </w:r>
          </w:p>
        </w:tc>
        <w:tc>
          <w:tcPr>
            <w:tcW w:w="3047" w:type="dxa"/>
          </w:tcPr>
          <w:p w14:paraId="5F5E889A" w14:textId="0F7D3FA3" w:rsidR="00F970D7" w:rsidRPr="0004264F" w:rsidRDefault="00F970D7" w:rsidP="00F970D7">
            <w:pPr>
              <w:jc w:val="center"/>
              <w:rPr>
                <w:rFonts w:cstheme="majorBidi"/>
                <w:b/>
                <w:bCs/>
                <w:sz w:val="20"/>
                <w:szCs w:val="20"/>
              </w:rPr>
            </w:pPr>
            <w:r w:rsidRPr="0004264F">
              <w:rPr>
                <w:rFonts w:cstheme="majorBidi"/>
                <w:sz w:val="20"/>
                <w:szCs w:val="20"/>
              </w:rPr>
              <w:t>.1035</w:t>
            </w:r>
          </w:p>
        </w:tc>
        <w:tc>
          <w:tcPr>
            <w:tcW w:w="3043" w:type="dxa"/>
          </w:tcPr>
          <w:p w14:paraId="736AEAA2" w14:textId="52FF0530" w:rsidR="00F970D7" w:rsidRPr="0004264F" w:rsidRDefault="00F970D7" w:rsidP="00F970D7">
            <w:pPr>
              <w:jc w:val="center"/>
              <w:rPr>
                <w:rFonts w:cstheme="majorBidi"/>
                <w:b/>
                <w:bCs/>
                <w:sz w:val="20"/>
                <w:szCs w:val="20"/>
              </w:rPr>
            </w:pPr>
            <w:r w:rsidRPr="0004264F">
              <w:rPr>
                <w:rFonts w:cstheme="majorBidi"/>
                <w:sz w:val="20"/>
                <w:szCs w:val="20"/>
              </w:rPr>
              <w:t>.10352</w:t>
            </w:r>
          </w:p>
        </w:tc>
      </w:tr>
      <w:tr w:rsidR="00F970D7" w:rsidRPr="0004264F" w14:paraId="620BA9C2" w14:textId="77777777" w:rsidTr="00F970D7">
        <w:trPr>
          <w:trHeight w:val="220"/>
          <w:jc w:val="center"/>
        </w:trPr>
        <w:tc>
          <w:tcPr>
            <w:tcW w:w="3049" w:type="dxa"/>
            <w:tcBorders>
              <w:bottom w:val="single" w:sz="4" w:space="0" w:color="auto"/>
            </w:tcBorders>
            <w:vAlign w:val="center"/>
          </w:tcPr>
          <w:p w14:paraId="213C8DD7" w14:textId="77777777" w:rsidR="00F970D7" w:rsidRPr="0004264F" w:rsidRDefault="00F970D7" w:rsidP="00F970D7">
            <w:pPr>
              <w:rPr>
                <w:rFonts w:cstheme="majorBidi"/>
                <w:b/>
                <w:bCs/>
                <w:sz w:val="20"/>
                <w:szCs w:val="20"/>
              </w:rPr>
            </w:pPr>
            <w:r w:rsidRPr="0004264F">
              <w:rPr>
                <w:rFonts w:cstheme="majorBidi"/>
                <w:sz w:val="20"/>
                <w:szCs w:val="20"/>
              </w:rPr>
              <w:t>Mean DV</w:t>
            </w:r>
          </w:p>
        </w:tc>
        <w:tc>
          <w:tcPr>
            <w:tcW w:w="3047" w:type="dxa"/>
            <w:tcBorders>
              <w:bottom w:val="single" w:sz="4" w:space="0" w:color="auto"/>
            </w:tcBorders>
          </w:tcPr>
          <w:p w14:paraId="258153B9" w14:textId="1C76EC63" w:rsidR="00F970D7" w:rsidRPr="0004264F" w:rsidRDefault="00F970D7" w:rsidP="00F970D7">
            <w:pPr>
              <w:jc w:val="center"/>
              <w:rPr>
                <w:rFonts w:cstheme="majorBidi"/>
                <w:b/>
                <w:bCs/>
                <w:sz w:val="20"/>
                <w:szCs w:val="20"/>
              </w:rPr>
            </w:pPr>
            <w:r w:rsidRPr="0004264F">
              <w:rPr>
                <w:rFonts w:cstheme="majorBidi"/>
                <w:sz w:val="20"/>
                <w:szCs w:val="20"/>
              </w:rPr>
              <w:t>773.034</w:t>
            </w:r>
          </w:p>
        </w:tc>
        <w:tc>
          <w:tcPr>
            <w:tcW w:w="3043" w:type="dxa"/>
            <w:tcBorders>
              <w:bottom w:val="single" w:sz="4" w:space="0" w:color="auto"/>
            </w:tcBorders>
          </w:tcPr>
          <w:p w14:paraId="5816140A" w14:textId="195765AA" w:rsidR="00F970D7" w:rsidRPr="0004264F" w:rsidRDefault="00F970D7" w:rsidP="00F970D7">
            <w:pPr>
              <w:jc w:val="center"/>
              <w:rPr>
                <w:rFonts w:cstheme="majorBidi"/>
                <w:b/>
                <w:bCs/>
                <w:sz w:val="20"/>
                <w:szCs w:val="20"/>
              </w:rPr>
            </w:pPr>
            <w:r w:rsidRPr="0004264F">
              <w:rPr>
                <w:rFonts w:cstheme="majorBidi"/>
                <w:sz w:val="20"/>
                <w:szCs w:val="20"/>
              </w:rPr>
              <w:t>773.021</w:t>
            </w:r>
          </w:p>
        </w:tc>
      </w:tr>
      <w:tr w:rsidR="00F970D7" w:rsidRPr="0004264F" w14:paraId="03C633E6" w14:textId="77777777" w:rsidTr="00F970D7">
        <w:trPr>
          <w:trHeight w:val="220"/>
          <w:jc w:val="center"/>
        </w:trPr>
        <w:tc>
          <w:tcPr>
            <w:tcW w:w="9139" w:type="dxa"/>
            <w:gridSpan w:val="3"/>
            <w:tcBorders>
              <w:top w:val="single" w:sz="4" w:space="0" w:color="auto"/>
            </w:tcBorders>
            <w:vAlign w:val="center"/>
          </w:tcPr>
          <w:p w14:paraId="66C2492D" w14:textId="77777777" w:rsidR="00F970D7" w:rsidRPr="0004264F" w:rsidRDefault="00F970D7" w:rsidP="00F970D7">
            <w:pPr>
              <w:widowControl w:val="0"/>
              <w:autoSpaceDE w:val="0"/>
              <w:autoSpaceDN w:val="0"/>
              <w:adjustRightInd w:val="0"/>
              <w:jc w:val="both"/>
              <w:rPr>
                <w:rFonts w:cstheme="majorBidi"/>
                <w:sz w:val="20"/>
                <w:szCs w:val="20"/>
              </w:rPr>
            </w:pPr>
            <w:r w:rsidRPr="0004264F">
              <w:rPr>
                <w:rFonts w:cstheme="majorBidi"/>
                <w:sz w:val="20"/>
                <w:szCs w:val="20"/>
              </w:rPr>
              <w:t>Notes. Standard errors, clustered at the county-level, are in parentheses. All regressions include county fixed effects, birth-year fixed effects, county-division fixed effects, and county trend. All regressions include individual, parental, and county covariates.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w:t>
            </w:r>
          </w:p>
          <w:p w14:paraId="467E2295" w14:textId="77777777" w:rsidR="00F970D7" w:rsidRPr="0004264F" w:rsidRDefault="00F970D7" w:rsidP="00F970D7">
            <w:pPr>
              <w:widowControl w:val="0"/>
              <w:autoSpaceDE w:val="0"/>
              <w:autoSpaceDN w:val="0"/>
              <w:adjustRightInd w:val="0"/>
              <w:jc w:val="both"/>
              <w:rPr>
                <w:rFonts w:cstheme="majorBidi"/>
                <w:sz w:val="20"/>
                <w:szCs w:val="20"/>
              </w:rPr>
            </w:pPr>
            <w:r w:rsidRPr="0004264F">
              <w:rPr>
                <w:rFonts w:cstheme="majorBidi"/>
                <w:sz w:val="20"/>
                <w:szCs w:val="20"/>
              </w:rPr>
              <w:t>*** p&lt;0.01, ** p&lt;0.05, * p&lt;0.1</w:t>
            </w:r>
          </w:p>
          <w:p w14:paraId="310ABB75" w14:textId="77777777" w:rsidR="00F970D7" w:rsidRPr="0004264F" w:rsidRDefault="00F970D7" w:rsidP="00F970D7">
            <w:pPr>
              <w:jc w:val="center"/>
              <w:rPr>
                <w:rFonts w:cstheme="majorBidi"/>
                <w:sz w:val="20"/>
                <w:szCs w:val="20"/>
              </w:rPr>
            </w:pPr>
          </w:p>
        </w:tc>
      </w:tr>
    </w:tbl>
    <w:p w14:paraId="6082663C" w14:textId="64053514" w:rsidR="008729FE" w:rsidRPr="0004264F" w:rsidRDefault="008729FE" w:rsidP="00F32C69">
      <w:pPr>
        <w:rPr>
          <w:rFonts w:cstheme="majorBidi"/>
          <w:b/>
          <w:bCs/>
          <w:sz w:val="20"/>
          <w:szCs w:val="20"/>
        </w:rPr>
        <w:sectPr w:rsidR="008729FE" w:rsidRPr="0004264F" w:rsidSect="004A62F0">
          <w:pgSz w:w="12240" w:h="15840" w:code="1"/>
          <w:pgMar w:top="1440" w:right="1440" w:bottom="1440" w:left="1440" w:header="720" w:footer="720" w:gutter="0"/>
          <w:cols w:space="720"/>
          <w:docGrid w:linePitch="360"/>
        </w:sectPr>
      </w:pPr>
    </w:p>
    <w:p w14:paraId="0A1A4A91" w14:textId="5F5FB2B9" w:rsidR="00204C5C" w:rsidRPr="0004264F" w:rsidRDefault="00204C5C" w:rsidP="00F32C69">
      <w:pPr>
        <w:rPr>
          <w:rFonts w:cstheme="majorBidi"/>
          <w:b/>
          <w:bCs/>
          <w:sz w:val="20"/>
          <w:szCs w:val="20"/>
        </w:rPr>
      </w:pPr>
    </w:p>
    <w:p w14:paraId="1207682E" w14:textId="52416AB3" w:rsidR="001B7176" w:rsidRPr="0004264F" w:rsidRDefault="001B7176" w:rsidP="001B7176">
      <w:pPr>
        <w:pStyle w:val="Caption"/>
        <w:keepNext/>
        <w:bidi w:val="0"/>
        <w:rPr>
          <w:rFonts w:cstheme="majorBidi"/>
        </w:rPr>
      </w:pPr>
      <w:bookmarkStart w:id="20" w:name="_Ref97964848"/>
      <w:r w:rsidRPr="0004264F">
        <w:rPr>
          <w:rFonts w:cstheme="majorBidi"/>
        </w:rPr>
        <w:t xml:space="preserve">Table </w:t>
      </w:r>
      <w:r w:rsidR="00AD3D04" w:rsidRPr="0004264F">
        <w:rPr>
          <w:rFonts w:cstheme="majorBidi"/>
        </w:rPr>
        <w:fldChar w:fldCharType="begin"/>
      </w:r>
      <w:r w:rsidR="00AD3D04" w:rsidRPr="0004264F">
        <w:rPr>
          <w:rFonts w:cstheme="majorBidi"/>
        </w:rPr>
        <w:instrText xml:space="preserve"> SEQ Table \* ARABIC </w:instrText>
      </w:r>
      <w:r w:rsidR="00AD3D04" w:rsidRPr="0004264F">
        <w:rPr>
          <w:rFonts w:cstheme="majorBidi"/>
        </w:rPr>
        <w:fldChar w:fldCharType="separate"/>
      </w:r>
      <w:r w:rsidR="00CA5B9D" w:rsidRPr="0004264F">
        <w:rPr>
          <w:rFonts w:cstheme="majorBidi"/>
          <w:noProof/>
        </w:rPr>
        <w:t>10</w:t>
      </w:r>
      <w:r w:rsidR="00AD3D04" w:rsidRPr="0004264F">
        <w:rPr>
          <w:rFonts w:cstheme="majorBidi"/>
          <w:noProof/>
        </w:rPr>
        <w:fldChar w:fldCharType="end"/>
      </w:r>
      <w:bookmarkEnd w:id="20"/>
      <w:r w:rsidRPr="0004264F">
        <w:rPr>
          <w:rFonts w:cstheme="majorBidi"/>
        </w:rPr>
        <w:t xml:space="preserve"> - The Association between Deposits per Capita and Births</w:t>
      </w:r>
      <w:r w:rsidR="00145F27" w:rsidRPr="0004264F">
        <w:rPr>
          <w:rFonts w:cstheme="majorBidi"/>
        </w:rPr>
        <w:t xml:space="preserve"> Rates</w:t>
      </w:r>
    </w:p>
    <w:tbl>
      <w:tblPr>
        <w:tblStyle w:val="TableGrid"/>
        <w:tblW w:w="106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2"/>
        <w:gridCol w:w="2653"/>
        <w:gridCol w:w="2653"/>
        <w:gridCol w:w="2660"/>
      </w:tblGrid>
      <w:tr w:rsidR="00B41500" w:rsidRPr="0004264F" w14:paraId="74436584" w14:textId="77777777" w:rsidTr="004463FA">
        <w:trPr>
          <w:trHeight w:val="288"/>
          <w:jc w:val="center"/>
        </w:trPr>
        <w:tc>
          <w:tcPr>
            <w:tcW w:w="2652" w:type="dxa"/>
            <w:tcBorders>
              <w:top w:val="single" w:sz="4" w:space="0" w:color="auto"/>
            </w:tcBorders>
            <w:vAlign w:val="center"/>
          </w:tcPr>
          <w:p w14:paraId="5AC7EA27" w14:textId="77777777" w:rsidR="00B41500" w:rsidRPr="0004264F" w:rsidRDefault="00B41500" w:rsidP="00FB29E2">
            <w:pPr>
              <w:rPr>
                <w:rFonts w:cstheme="majorBidi"/>
                <w:sz w:val="20"/>
                <w:szCs w:val="20"/>
              </w:rPr>
            </w:pPr>
          </w:p>
        </w:tc>
        <w:tc>
          <w:tcPr>
            <w:tcW w:w="7966" w:type="dxa"/>
            <w:gridSpan w:val="3"/>
            <w:tcBorders>
              <w:top w:val="single" w:sz="4" w:space="0" w:color="auto"/>
              <w:bottom w:val="single" w:sz="4" w:space="0" w:color="auto"/>
            </w:tcBorders>
            <w:vAlign w:val="center"/>
          </w:tcPr>
          <w:p w14:paraId="0F1D5B47" w14:textId="77E8E1A0" w:rsidR="00B41500" w:rsidRPr="0004264F" w:rsidRDefault="00B41500" w:rsidP="00FB29E2">
            <w:pPr>
              <w:jc w:val="center"/>
              <w:rPr>
                <w:rFonts w:cstheme="majorBidi"/>
                <w:b/>
                <w:bCs/>
                <w:i/>
                <w:iCs/>
                <w:sz w:val="20"/>
                <w:szCs w:val="20"/>
              </w:rPr>
            </w:pPr>
            <w:r w:rsidRPr="0004264F">
              <w:rPr>
                <w:rFonts w:cstheme="majorBidi"/>
                <w:b/>
                <w:bCs/>
                <w:i/>
                <w:iCs/>
                <w:sz w:val="20"/>
                <w:szCs w:val="20"/>
              </w:rPr>
              <w:t>Outcomes:</w:t>
            </w:r>
          </w:p>
        </w:tc>
      </w:tr>
      <w:tr w:rsidR="00B41500" w:rsidRPr="0004264F" w14:paraId="461BCA7A" w14:textId="77777777" w:rsidTr="004463FA">
        <w:trPr>
          <w:trHeight w:val="288"/>
          <w:jc w:val="center"/>
        </w:trPr>
        <w:tc>
          <w:tcPr>
            <w:tcW w:w="2652" w:type="dxa"/>
            <w:vAlign w:val="center"/>
          </w:tcPr>
          <w:p w14:paraId="02F142A5" w14:textId="77777777" w:rsidR="00B41500" w:rsidRPr="0004264F" w:rsidRDefault="00B41500" w:rsidP="00FB29E2">
            <w:pPr>
              <w:rPr>
                <w:rFonts w:cstheme="majorBidi"/>
                <w:sz w:val="20"/>
                <w:szCs w:val="20"/>
              </w:rPr>
            </w:pPr>
          </w:p>
        </w:tc>
        <w:tc>
          <w:tcPr>
            <w:tcW w:w="2653" w:type="dxa"/>
            <w:tcBorders>
              <w:top w:val="single" w:sz="4" w:space="0" w:color="auto"/>
              <w:bottom w:val="single" w:sz="4" w:space="0" w:color="auto"/>
            </w:tcBorders>
            <w:vAlign w:val="center"/>
          </w:tcPr>
          <w:p w14:paraId="30D3A801" w14:textId="3DCE10FD" w:rsidR="00B41500" w:rsidRPr="0004264F" w:rsidRDefault="00B41500" w:rsidP="00FB29E2">
            <w:pPr>
              <w:jc w:val="center"/>
              <w:rPr>
                <w:rFonts w:cstheme="majorBidi"/>
                <w:sz w:val="20"/>
                <w:szCs w:val="20"/>
              </w:rPr>
            </w:pPr>
            <w:r w:rsidRPr="0004264F">
              <w:rPr>
                <w:rFonts w:cstheme="majorBidi"/>
                <w:sz w:val="20"/>
                <w:szCs w:val="20"/>
              </w:rPr>
              <w:t>Births per 1000 Women</w:t>
            </w:r>
          </w:p>
        </w:tc>
        <w:tc>
          <w:tcPr>
            <w:tcW w:w="2653" w:type="dxa"/>
            <w:tcBorders>
              <w:top w:val="single" w:sz="4" w:space="0" w:color="auto"/>
              <w:bottom w:val="single" w:sz="4" w:space="0" w:color="auto"/>
            </w:tcBorders>
            <w:vAlign w:val="center"/>
          </w:tcPr>
          <w:p w14:paraId="42E0F9F7" w14:textId="0B0662CF" w:rsidR="00B41500" w:rsidRPr="0004264F" w:rsidRDefault="00B41500" w:rsidP="00FB29E2">
            <w:pPr>
              <w:jc w:val="center"/>
              <w:rPr>
                <w:rFonts w:cstheme="majorBidi"/>
                <w:sz w:val="20"/>
                <w:szCs w:val="20"/>
              </w:rPr>
            </w:pPr>
            <w:r w:rsidRPr="0004264F">
              <w:rPr>
                <w:rFonts w:cstheme="majorBidi"/>
                <w:sz w:val="20"/>
                <w:szCs w:val="20"/>
              </w:rPr>
              <w:t>Share of Births to Whites</w:t>
            </w:r>
          </w:p>
        </w:tc>
        <w:tc>
          <w:tcPr>
            <w:tcW w:w="2660" w:type="dxa"/>
            <w:tcBorders>
              <w:top w:val="single" w:sz="4" w:space="0" w:color="auto"/>
              <w:bottom w:val="single" w:sz="4" w:space="0" w:color="auto"/>
            </w:tcBorders>
            <w:vAlign w:val="center"/>
          </w:tcPr>
          <w:p w14:paraId="4BE25D22" w14:textId="737C0B1A" w:rsidR="00B41500" w:rsidRPr="0004264F" w:rsidRDefault="00B41500" w:rsidP="00FB29E2">
            <w:pPr>
              <w:jc w:val="center"/>
              <w:rPr>
                <w:rFonts w:cstheme="majorBidi"/>
                <w:sz w:val="20"/>
                <w:szCs w:val="20"/>
              </w:rPr>
            </w:pPr>
            <w:r w:rsidRPr="0004264F">
              <w:rPr>
                <w:rFonts w:cstheme="majorBidi"/>
                <w:sz w:val="20"/>
                <w:szCs w:val="20"/>
              </w:rPr>
              <w:t>Share of Births to Blacks</w:t>
            </w:r>
          </w:p>
        </w:tc>
      </w:tr>
      <w:tr w:rsidR="00B41500" w:rsidRPr="0004264F" w14:paraId="6D9E3F8A" w14:textId="77777777" w:rsidTr="004463FA">
        <w:trPr>
          <w:trHeight w:val="249"/>
          <w:jc w:val="center"/>
        </w:trPr>
        <w:tc>
          <w:tcPr>
            <w:tcW w:w="2652" w:type="dxa"/>
            <w:tcBorders>
              <w:bottom w:val="single" w:sz="4" w:space="0" w:color="auto"/>
            </w:tcBorders>
            <w:vAlign w:val="center"/>
          </w:tcPr>
          <w:p w14:paraId="33337E17" w14:textId="77777777" w:rsidR="00B41500" w:rsidRPr="0004264F" w:rsidRDefault="00B41500" w:rsidP="00FB29E2">
            <w:pPr>
              <w:rPr>
                <w:rFonts w:cstheme="majorBidi"/>
                <w:sz w:val="20"/>
                <w:szCs w:val="20"/>
              </w:rPr>
            </w:pPr>
          </w:p>
        </w:tc>
        <w:tc>
          <w:tcPr>
            <w:tcW w:w="2653" w:type="dxa"/>
            <w:tcBorders>
              <w:top w:val="single" w:sz="4" w:space="0" w:color="auto"/>
              <w:bottom w:val="single" w:sz="4" w:space="0" w:color="auto"/>
            </w:tcBorders>
            <w:vAlign w:val="center"/>
          </w:tcPr>
          <w:p w14:paraId="152914ED" w14:textId="474080F4" w:rsidR="00B41500" w:rsidRPr="0004264F" w:rsidRDefault="00B41500" w:rsidP="00FB29E2">
            <w:pPr>
              <w:jc w:val="center"/>
              <w:rPr>
                <w:rFonts w:cstheme="majorBidi"/>
                <w:sz w:val="20"/>
                <w:szCs w:val="20"/>
              </w:rPr>
            </w:pPr>
            <w:r w:rsidRPr="0004264F">
              <w:rPr>
                <w:rFonts w:cstheme="majorBidi"/>
                <w:sz w:val="20"/>
                <w:szCs w:val="20"/>
              </w:rPr>
              <w:t>(2)</w:t>
            </w:r>
          </w:p>
        </w:tc>
        <w:tc>
          <w:tcPr>
            <w:tcW w:w="2653" w:type="dxa"/>
            <w:tcBorders>
              <w:top w:val="single" w:sz="4" w:space="0" w:color="auto"/>
              <w:bottom w:val="single" w:sz="4" w:space="0" w:color="auto"/>
            </w:tcBorders>
            <w:vAlign w:val="center"/>
          </w:tcPr>
          <w:p w14:paraId="641477FA" w14:textId="109FFB57" w:rsidR="00B41500" w:rsidRPr="0004264F" w:rsidRDefault="00B41500" w:rsidP="00FB29E2">
            <w:pPr>
              <w:jc w:val="center"/>
              <w:rPr>
                <w:rFonts w:cstheme="majorBidi"/>
                <w:sz w:val="20"/>
                <w:szCs w:val="20"/>
              </w:rPr>
            </w:pPr>
            <w:r w:rsidRPr="0004264F">
              <w:rPr>
                <w:rFonts w:cstheme="majorBidi"/>
                <w:sz w:val="20"/>
                <w:szCs w:val="20"/>
              </w:rPr>
              <w:t>(3)</w:t>
            </w:r>
          </w:p>
        </w:tc>
        <w:tc>
          <w:tcPr>
            <w:tcW w:w="2660" w:type="dxa"/>
            <w:tcBorders>
              <w:top w:val="single" w:sz="4" w:space="0" w:color="auto"/>
              <w:bottom w:val="single" w:sz="4" w:space="0" w:color="auto"/>
            </w:tcBorders>
            <w:vAlign w:val="center"/>
          </w:tcPr>
          <w:p w14:paraId="004B8E49" w14:textId="647A0541" w:rsidR="00B41500" w:rsidRPr="0004264F" w:rsidRDefault="00B41500" w:rsidP="00FB29E2">
            <w:pPr>
              <w:jc w:val="center"/>
              <w:rPr>
                <w:rFonts w:cstheme="majorBidi"/>
                <w:sz w:val="20"/>
                <w:szCs w:val="20"/>
              </w:rPr>
            </w:pPr>
            <w:r w:rsidRPr="0004264F">
              <w:rPr>
                <w:rFonts w:cstheme="majorBidi"/>
                <w:sz w:val="20"/>
                <w:szCs w:val="20"/>
              </w:rPr>
              <w:t>(4)</w:t>
            </w:r>
          </w:p>
        </w:tc>
      </w:tr>
      <w:tr w:rsidR="009518ED" w:rsidRPr="0004264F" w14:paraId="54CE44A0" w14:textId="77777777" w:rsidTr="004463FA">
        <w:trPr>
          <w:trHeight w:val="249"/>
          <w:jc w:val="center"/>
        </w:trPr>
        <w:tc>
          <w:tcPr>
            <w:tcW w:w="2652" w:type="dxa"/>
            <w:vMerge w:val="restart"/>
            <w:tcBorders>
              <w:top w:val="single" w:sz="4" w:space="0" w:color="auto"/>
            </w:tcBorders>
            <w:vAlign w:val="center"/>
          </w:tcPr>
          <w:p w14:paraId="6AF873BD" w14:textId="4CC13973" w:rsidR="009518ED" w:rsidRPr="0004264F" w:rsidRDefault="009518ED" w:rsidP="009518ED">
            <w:pPr>
              <w:rPr>
                <w:rFonts w:cstheme="majorBidi"/>
                <w:sz w:val="20"/>
                <w:szCs w:val="20"/>
              </w:rPr>
            </w:pPr>
            <w:r w:rsidRPr="0004264F">
              <w:rPr>
                <w:rFonts w:cstheme="majorBidi"/>
                <w:sz w:val="20"/>
                <w:szCs w:val="20"/>
              </w:rPr>
              <w:t>Deposits per Capita (STD)</w:t>
            </w:r>
          </w:p>
        </w:tc>
        <w:tc>
          <w:tcPr>
            <w:tcW w:w="2653" w:type="dxa"/>
            <w:tcBorders>
              <w:top w:val="single" w:sz="4" w:space="0" w:color="auto"/>
            </w:tcBorders>
          </w:tcPr>
          <w:p w14:paraId="4EF7ABD4" w14:textId="79A4461B" w:rsidR="009518ED" w:rsidRPr="0004264F" w:rsidRDefault="009518ED" w:rsidP="009518ED">
            <w:pPr>
              <w:jc w:val="center"/>
              <w:rPr>
                <w:rFonts w:cstheme="majorBidi"/>
                <w:sz w:val="20"/>
                <w:szCs w:val="20"/>
              </w:rPr>
            </w:pPr>
            <w:r w:rsidRPr="0004264F">
              <w:rPr>
                <w:rFonts w:cstheme="majorBidi"/>
                <w:sz w:val="20"/>
                <w:szCs w:val="20"/>
              </w:rPr>
              <w:t>.18997**</w:t>
            </w:r>
          </w:p>
        </w:tc>
        <w:tc>
          <w:tcPr>
            <w:tcW w:w="2653" w:type="dxa"/>
            <w:tcBorders>
              <w:top w:val="single" w:sz="4" w:space="0" w:color="auto"/>
            </w:tcBorders>
          </w:tcPr>
          <w:p w14:paraId="0E87CD12" w14:textId="2E226DB9" w:rsidR="009518ED" w:rsidRPr="0004264F" w:rsidRDefault="009518ED" w:rsidP="009518ED">
            <w:pPr>
              <w:jc w:val="center"/>
              <w:rPr>
                <w:rFonts w:cstheme="majorBidi"/>
                <w:sz w:val="20"/>
                <w:szCs w:val="20"/>
              </w:rPr>
            </w:pPr>
            <w:r w:rsidRPr="0004264F">
              <w:rPr>
                <w:rFonts w:cstheme="majorBidi"/>
                <w:sz w:val="20"/>
                <w:szCs w:val="20"/>
              </w:rPr>
              <w:t>-.00036</w:t>
            </w:r>
          </w:p>
        </w:tc>
        <w:tc>
          <w:tcPr>
            <w:tcW w:w="2660" w:type="dxa"/>
            <w:tcBorders>
              <w:top w:val="single" w:sz="4" w:space="0" w:color="auto"/>
            </w:tcBorders>
          </w:tcPr>
          <w:p w14:paraId="0AD2D1FB" w14:textId="79D82C0B" w:rsidR="009518ED" w:rsidRPr="0004264F" w:rsidRDefault="009518ED" w:rsidP="009518ED">
            <w:pPr>
              <w:jc w:val="center"/>
              <w:rPr>
                <w:rFonts w:cstheme="majorBidi"/>
                <w:sz w:val="20"/>
                <w:szCs w:val="20"/>
              </w:rPr>
            </w:pPr>
            <w:r w:rsidRPr="0004264F">
              <w:rPr>
                <w:rFonts w:cstheme="majorBidi"/>
                <w:sz w:val="20"/>
                <w:szCs w:val="20"/>
              </w:rPr>
              <w:t>.00022</w:t>
            </w:r>
          </w:p>
        </w:tc>
      </w:tr>
      <w:tr w:rsidR="009518ED" w:rsidRPr="0004264F" w14:paraId="71672C1C" w14:textId="77777777" w:rsidTr="004463FA">
        <w:trPr>
          <w:trHeight w:val="249"/>
          <w:jc w:val="center"/>
        </w:trPr>
        <w:tc>
          <w:tcPr>
            <w:tcW w:w="2652" w:type="dxa"/>
            <w:vMerge/>
            <w:vAlign w:val="center"/>
          </w:tcPr>
          <w:p w14:paraId="082BA20B" w14:textId="77777777" w:rsidR="009518ED" w:rsidRPr="0004264F" w:rsidRDefault="009518ED" w:rsidP="009518ED">
            <w:pPr>
              <w:rPr>
                <w:rFonts w:cstheme="majorBidi"/>
                <w:sz w:val="20"/>
                <w:szCs w:val="20"/>
              </w:rPr>
            </w:pPr>
          </w:p>
        </w:tc>
        <w:tc>
          <w:tcPr>
            <w:tcW w:w="2653" w:type="dxa"/>
          </w:tcPr>
          <w:p w14:paraId="0F649AC3" w14:textId="751E9A07" w:rsidR="009518ED" w:rsidRPr="0004264F" w:rsidRDefault="009518ED" w:rsidP="009518ED">
            <w:pPr>
              <w:jc w:val="center"/>
              <w:rPr>
                <w:rFonts w:cstheme="majorBidi"/>
                <w:sz w:val="20"/>
                <w:szCs w:val="20"/>
              </w:rPr>
            </w:pPr>
            <w:r w:rsidRPr="0004264F">
              <w:rPr>
                <w:rFonts w:cstheme="majorBidi"/>
                <w:sz w:val="20"/>
                <w:szCs w:val="20"/>
              </w:rPr>
              <w:t>(.08947)</w:t>
            </w:r>
          </w:p>
        </w:tc>
        <w:tc>
          <w:tcPr>
            <w:tcW w:w="2653" w:type="dxa"/>
          </w:tcPr>
          <w:p w14:paraId="2191E1FD" w14:textId="3207FE72" w:rsidR="009518ED" w:rsidRPr="0004264F" w:rsidRDefault="009518ED" w:rsidP="009518ED">
            <w:pPr>
              <w:jc w:val="center"/>
              <w:rPr>
                <w:rFonts w:cstheme="majorBidi"/>
                <w:sz w:val="20"/>
                <w:szCs w:val="20"/>
              </w:rPr>
            </w:pPr>
            <w:r w:rsidRPr="0004264F">
              <w:rPr>
                <w:rFonts w:cstheme="majorBidi"/>
                <w:sz w:val="20"/>
                <w:szCs w:val="20"/>
              </w:rPr>
              <w:t>(.00112)</w:t>
            </w:r>
          </w:p>
        </w:tc>
        <w:tc>
          <w:tcPr>
            <w:tcW w:w="2660" w:type="dxa"/>
          </w:tcPr>
          <w:p w14:paraId="749774C2" w14:textId="77B937A6" w:rsidR="009518ED" w:rsidRPr="0004264F" w:rsidRDefault="009518ED" w:rsidP="009518ED">
            <w:pPr>
              <w:jc w:val="center"/>
              <w:rPr>
                <w:rFonts w:cstheme="majorBidi"/>
                <w:sz w:val="20"/>
                <w:szCs w:val="20"/>
              </w:rPr>
            </w:pPr>
            <w:r w:rsidRPr="0004264F">
              <w:rPr>
                <w:rFonts w:cstheme="majorBidi"/>
                <w:sz w:val="20"/>
                <w:szCs w:val="20"/>
              </w:rPr>
              <w:t>(.00105)</w:t>
            </w:r>
          </w:p>
        </w:tc>
      </w:tr>
      <w:tr w:rsidR="009518ED" w:rsidRPr="0004264F" w14:paraId="78BD2682" w14:textId="77777777" w:rsidTr="004463FA">
        <w:trPr>
          <w:trHeight w:val="249"/>
          <w:jc w:val="center"/>
        </w:trPr>
        <w:tc>
          <w:tcPr>
            <w:tcW w:w="2652" w:type="dxa"/>
            <w:vAlign w:val="center"/>
          </w:tcPr>
          <w:p w14:paraId="1E143545" w14:textId="6BFAD15B" w:rsidR="009518ED" w:rsidRPr="0004264F" w:rsidRDefault="009518ED" w:rsidP="009518ED">
            <w:pPr>
              <w:rPr>
                <w:rFonts w:cstheme="majorBidi"/>
                <w:sz w:val="20"/>
                <w:szCs w:val="20"/>
              </w:rPr>
            </w:pPr>
            <w:r w:rsidRPr="0004264F">
              <w:rPr>
                <w:rFonts w:cstheme="majorBidi"/>
                <w:sz w:val="20"/>
                <w:szCs w:val="20"/>
              </w:rPr>
              <w:t>Observations</w:t>
            </w:r>
          </w:p>
        </w:tc>
        <w:tc>
          <w:tcPr>
            <w:tcW w:w="2653" w:type="dxa"/>
          </w:tcPr>
          <w:p w14:paraId="74DAC40F" w14:textId="1798CC26" w:rsidR="009518ED" w:rsidRPr="0004264F" w:rsidRDefault="009518ED" w:rsidP="009518ED">
            <w:pPr>
              <w:jc w:val="center"/>
              <w:rPr>
                <w:rFonts w:cstheme="majorBidi"/>
                <w:sz w:val="20"/>
                <w:szCs w:val="20"/>
              </w:rPr>
            </w:pPr>
            <w:r w:rsidRPr="0004264F">
              <w:rPr>
                <w:rFonts w:cstheme="majorBidi"/>
                <w:sz w:val="20"/>
                <w:szCs w:val="20"/>
              </w:rPr>
              <w:t>8365</w:t>
            </w:r>
          </w:p>
        </w:tc>
        <w:tc>
          <w:tcPr>
            <w:tcW w:w="2653" w:type="dxa"/>
          </w:tcPr>
          <w:p w14:paraId="07A06006" w14:textId="5BDC968F" w:rsidR="009518ED" w:rsidRPr="0004264F" w:rsidRDefault="009518ED" w:rsidP="009518ED">
            <w:pPr>
              <w:jc w:val="center"/>
              <w:rPr>
                <w:rFonts w:cstheme="majorBidi"/>
                <w:sz w:val="20"/>
                <w:szCs w:val="20"/>
              </w:rPr>
            </w:pPr>
            <w:r w:rsidRPr="0004264F">
              <w:rPr>
                <w:rFonts w:cstheme="majorBidi"/>
                <w:sz w:val="20"/>
                <w:szCs w:val="20"/>
              </w:rPr>
              <w:t>8365</w:t>
            </w:r>
          </w:p>
        </w:tc>
        <w:tc>
          <w:tcPr>
            <w:tcW w:w="2660" w:type="dxa"/>
          </w:tcPr>
          <w:p w14:paraId="2E90814D" w14:textId="3888D41A" w:rsidR="009518ED" w:rsidRPr="0004264F" w:rsidRDefault="009518ED" w:rsidP="009518ED">
            <w:pPr>
              <w:jc w:val="center"/>
              <w:rPr>
                <w:rFonts w:cstheme="majorBidi"/>
                <w:sz w:val="20"/>
                <w:szCs w:val="20"/>
              </w:rPr>
            </w:pPr>
            <w:r w:rsidRPr="0004264F">
              <w:rPr>
                <w:rFonts w:cstheme="majorBidi"/>
                <w:sz w:val="20"/>
                <w:szCs w:val="20"/>
              </w:rPr>
              <w:t>8365</w:t>
            </w:r>
          </w:p>
        </w:tc>
      </w:tr>
      <w:tr w:rsidR="009518ED" w:rsidRPr="0004264F" w14:paraId="6C34BDB6" w14:textId="77777777" w:rsidTr="004463FA">
        <w:trPr>
          <w:trHeight w:val="249"/>
          <w:jc w:val="center"/>
        </w:trPr>
        <w:tc>
          <w:tcPr>
            <w:tcW w:w="2652" w:type="dxa"/>
            <w:vAlign w:val="center"/>
          </w:tcPr>
          <w:p w14:paraId="0B7B4AA2" w14:textId="103E766A" w:rsidR="009518ED" w:rsidRPr="0004264F" w:rsidRDefault="009518ED" w:rsidP="009518ED">
            <w:pPr>
              <w:rPr>
                <w:rFonts w:cstheme="majorBidi"/>
                <w:sz w:val="20"/>
                <w:szCs w:val="20"/>
              </w:rPr>
            </w:pPr>
            <w:r w:rsidRPr="0004264F">
              <w:rPr>
                <w:rFonts w:cstheme="majorBidi"/>
                <w:sz w:val="20"/>
                <w:szCs w:val="20"/>
              </w:rPr>
              <w:t>R-squared</w:t>
            </w:r>
          </w:p>
        </w:tc>
        <w:tc>
          <w:tcPr>
            <w:tcW w:w="2653" w:type="dxa"/>
          </w:tcPr>
          <w:p w14:paraId="3252E85D" w14:textId="743DAF5A" w:rsidR="009518ED" w:rsidRPr="0004264F" w:rsidRDefault="009518ED" w:rsidP="009518ED">
            <w:pPr>
              <w:jc w:val="center"/>
              <w:rPr>
                <w:rFonts w:cstheme="majorBidi"/>
                <w:sz w:val="20"/>
                <w:szCs w:val="20"/>
              </w:rPr>
            </w:pPr>
            <w:r w:rsidRPr="0004264F">
              <w:rPr>
                <w:rFonts w:cstheme="majorBidi"/>
                <w:sz w:val="20"/>
                <w:szCs w:val="20"/>
              </w:rPr>
              <w:t>.92043</w:t>
            </w:r>
          </w:p>
        </w:tc>
        <w:tc>
          <w:tcPr>
            <w:tcW w:w="2653" w:type="dxa"/>
          </w:tcPr>
          <w:p w14:paraId="31A907E2" w14:textId="7D7CFB97" w:rsidR="009518ED" w:rsidRPr="0004264F" w:rsidRDefault="009518ED" w:rsidP="009518ED">
            <w:pPr>
              <w:jc w:val="center"/>
              <w:rPr>
                <w:rFonts w:cstheme="majorBidi"/>
                <w:sz w:val="20"/>
                <w:szCs w:val="20"/>
              </w:rPr>
            </w:pPr>
            <w:r w:rsidRPr="0004264F">
              <w:rPr>
                <w:rFonts w:cstheme="majorBidi"/>
                <w:sz w:val="20"/>
                <w:szCs w:val="20"/>
              </w:rPr>
              <w:t>.97239</w:t>
            </w:r>
          </w:p>
        </w:tc>
        <w:tc>
          <w:tcPr>
            <w:tcW w:w="2660" w:type="dxa"/>
          </w:tcPr>
          <w:p w14:paraId="3CA0499C" w14:textId="3ECCBF46" w:rsidR="009518ED" w:rsidRPr="0004264F" w:rsidRDefault="009518ED" w:rsidP="009518ED">
            <w:pPr>
              <w:jc w:val="center"/>
              <w:rPr>
                <w:rFonts w:cstheme="majorBidi"/>
                <w:sz w:val="20"/>
                <w:szCs w:val="20"/>
              </w:rPr>
            </w:pPr>
            <w:r w:rsidRPr="0004264F">
              <w:rPr>
                <w:rFonts w:cstheme="majorBidi"/>
                <w:sz w:val="20"/>
                <w:szCs w:val="20"/>
              </w:rPr>
              <w:t>.98336</w:t>
            </w:r>
          </w:p>
        </w:tc>
      </w:tr>
      <w:tr w:rsidR="009518ED" w:rsidRPr="0004264F" w14:paraId="7EF2D711" w14:textId="77777777" w:rsidTr="004463FA">
        <w:trPr>
          <w:trHeight w:val="239"/>
          <w:jc w:val="center"/>
        </w:trPr>
        <w:tc>
          <w:tcPr>
            <w:tcW w:w="2652" w:type="dxa"/>
            <w:vAlign w:val="center"/>
          </w:tcPr>
          <w:p w14:paraId="3E5ED95E" w14:textId="475178C7" w:rsidR="009518ED" w:rsidRPr="0004264F" w:rsidRDefault="009518ED" w:rsidP="009518ED">
            <w:pPr>
              <w:rPr>
                <w:rFonts w:cstheme="majorBidi"/>
                <w:sz w:val="20"/>
                <w:szCs w:val="20"/>
              </w:rPr>
            </w:pPr>
            <w:r w:rsidRPr="0004264F">
              <w:rPr>
                <w:rFonts w:cstheme="majorBidi"/>
                <w:sz w:val="20"/>
                <w:szCs w:val="20"/>
              </w:rPr>
              <w:t>Mean DV</w:t>
            </w:r>
          </w:p>
        </w:tc>
        <w:tc>
          <w:tcPr>
            <w:tcW w:w="2653" w:type="dxa"/>
          </w:tcPr>
          <w:p w14:paraId="56AA8C08" w14:textId="4FD2BE2A" w:rsidR="009518ED" w:rsidRPr="0004264F" w:rsidRDefault="009518ED" w:rsidP="009518ED">
            <w:pPr>
              <w:jc w:val="center"/>
              <w:rPr>
                <w:rFonts w:cstheme="majorBidi"/>
                <w:sz w:val="20"/>
                <w:szCs w:val="20"/>
              </w:rPr>
            </w:pPr>
            <w:r w:rsidRPr="0004264F">
              <w:rPr>
                <w:rFonts w:cstheme="majorBidi"/>
                <w:sz w:val="20"/>
                <w:szCs w:val="20"/>
              </w:rPr>
              <w:t>36.824</w:t>
            </w:r>
          </w:p>
        </w:tc>
        <w:tc>
          <w:tcPr>
            <w:tcW w:w="2653" w:type="dxa"/>
          </w:tcPr>
          <w:p w14:paraId="67CB0092" w14:textId="62D63403" w:rsidR="009518ED" w:rsidRPr="0004264F" w:rsidRDefault="009518ED" w:rsidP="009518ED">
            <w:pPr>
              <w:jc w:val="center"/>
              <w:rPr>
                <w:rFonts w:cstheme="majorBidi"/>
                <w:sz w:val="20"/>
                <w:szCs w:val="20"/>
              </w:rPr>
            </w:pPr>
            <w:r w:rsidRPr="0004264F">
              <w:rPr>
                <w:rFonts w:cstheme="majorBidi"/>
                <w:sz w:val="20"/>
                <w:szCs w:val="20"/>
              </w:rPr>
              <w:t>0.701</w:t>
            </w:r>
          </w:p>
        </w:tc>
        <w:tc>
          <w:tcPr>
            <w:tcW w:w="2660" w:type="dxa"/>
          </w:tcPr>
          <w:p w14:paraId="71E1CFEE" w14:textId="4E96405D" w:rsidR="009518ED" w:rsidRPr="0004264F" w:rsidRDefault="009518ED" w:rsidP="009518ED">
            <w:pPr>
              <w:jc w:val="center"/>
              <w:rPr>
                <w:rFonts w:cstheme="majorBidi"/>
                <w:sz w:val="20"/>
                <w:szCs w:val="20"/>
              </w:rPr>
            </w:pPr>
            <w:r w:rsidRPr="0004264F">
              <w:rPr>
                <w:rFonts w:cstheme="majorBidi"/>
                <w:sz w:val="20"/>
                <w:szCs w:val="20"/>
              </w:rPr>
              <w:t>0.297</w:t>
            </w:r>
          </w:p>
        </w:tc>
      </w:tr>
      <w:tr w:rsidR="009518ED" w:rsidRPr="0004264F" w14:paraId="06DBDA89" w14:textId="77777777" w:rsidTr="004463FA">
        <w:trPr>
          <w:trHeight w:val="249"/>
          <w:jc w:val="center"/>
        </w:trPr>
        <w:tc>
          <w:tcPr>
            <w:tcW w:w="2652" w:type="dxa"/>
            <w:tcBorders>
              <w:bottom w:val="single" w:sz="4" w:space="0" w:color="auto"/>
            </w:tcBorders>
            <w:vAlign w:val="center"/>
          </w:tcPr>
          <w:p w14:paraId="45319FE3" w14:textId="1B9353F2" w:rsidR="009518ED" w:rsidRPr="0004264F" w:rsidRDefault="009518ED" w:rsidP="009518ED">
            <w:pPr>
              <w:rPr>
                <w:rFonts w:cstheme="majorBidi"/>
                <w:sz w:val="20"/>
                <w:szCs w:val="20"/>
              </w:rPr>
            </w:pPr>
            <w:r w:rsidRPr="0004264F">
              <w:rPr>
                <w:rFonts w:cstheme="majorBidi"/>
                <w:sz w:val="20"/>
                <w:szCs w:val="20"/>
              </w:rPr>
              <w:t>%Change</w:t>
            </w:r>
          </w:p>
        </w:tc>
        <w:tc>
          <w:tcPr>
            <w:tcW w:w="2653" w:type="dxa"/>
            <w:tcBorders>
              <w:bottom w:val="single" w:sz="4" w:space="0" w:color="auto"/>
            </w:tcBorders>
          </w:tcPr>
          <w:p w14:paraId="054417D8" w14:textId="7530117D" w:rsidR="009518ED" w:rsidRPr="0004264F" w:rsidRDefault="009518ED" w:rsidP="009518ED">
            <w:pPr>
              <w:jc w:val="center"/>
              <w:rPr>
                <w:rFonts w:cstheme="majorBidi"/>
                <w:sz w:val="20"/>
                <w:szCs w:val="20"/>
              </w:rPr>
            </w:pPr>
            <w:r w:rsidRPr="0004264F">
              <w:rPr>
                <w:rFonts w:cstheme="majorBidi"/>
                <w:sz w:val="20"/>
                <w:szCs w:val="20"/>
              </w:rPr>
              <w:t xml:space="preserve"> 0.516</w:t>
            </w:r>
          </w:p>
        </w:tc>
        <w:tc>
          <w:tcPr>
            <w:tcW w:w="2653" w:type="dxa"/>
            <w:tcBorders>
              <w:bottom w:val="single" w:sz="4" w:space="0" w:color="auto"/>
            </w:tcBorders>
          </w:tcPr>
          <w:p w14:paraId="20535E1C" w14:textId="501BE338" w:rsidR="009518ED" w:rsidRPr="0004264F" w:rsidRDefault="009518ED" w:rsidP="009518ED">
            <w:pPr>
              <w:jc w:val="center"/>
              <w:rPr>
                <w:rFonts w:cstheme="majorBidi"/>
                <w:sz w:val="20"/>
                <w:szCs w:val="20"/>
              </w:rPr>
            </w:pPr>
            <w:r w:rsidRPr="0004264F">
              <w:rPr>
                <w:rFonts w:cstheme="majorBidi"/>
                <w:sz w:val="20"/>
                <w:szCs w:val="20"/>
              </w:rPr>
              <w:t xml:space="preserve"> -0.052</w:t>
            </w:r>
          </w:p>
        </w:tc>
        <w:tc>
          <w:tcPr>
            <w:tcW w:w="2660" w:type="dxa"/>
            <w:tcBorders>
              <w:bottom w:val="single" w:sz="4" w:space="0" w:color="auto"/>
            </w:tcBorders>
          </w:tcPr>
          <w:p w14:paraId="394E2B31" w14:textId="58E8AA18" w:rsidR="009518ED" w:rsidRPr="0004264F" w:rsidRDefault="009518ED" w:rsidP="009518ED">
            <w:pPr>
              <w:jc w:val="center"/>
              <w:rPr>
                <w:rFonts w:cstheme="majorBidi"/>
                <w:sz w:val="20"/>
                <w:szCs w:val="20"/>
              </w:rPr>
            </w:pPr>
            <w:r w:rsidRPr="0004264F">
              <w:rPr>
                <w:rFonts w:cstheme="majorBidi"/>
                <w:sz w:val="20"/>
                <w:szCs w:val="20"/>
              </w:rPr>
              <w:t xml:space="preserve"> 0.075</w:t>
            </w:r>
          </w:p>
        </w:tc>
      </w:tr>
      <w:tr w:rsidR="00E52AD8" w:rsidRPr="0004264F" w14:paraId="7CB6BCA5" w14:textId="77777777" w:rsidTr="009B5DB5">
        <w:trPr>
          <w:trHeight w:val="249"/>
          <w:jc w:val="center"/>
        </w:trPr>
        <w:tc>
          <w:tcPr>
            <w:tcW w:w="2652" w:type="dxa"/>
            <w:tcBorders>
              <w:top w:val="single" w:sz="4" w:space="0" w:color="auto"/>
            </w:tcBorders>
            <w:vAlign w:val="center"/>
          </w:tcPr>
          <w:p w14:paraId="3B5B642E" w14:textId="0EDF2E36" w:rsidR="00E52AD8" w:rsidRPr="0004264F" w:rsidRDefault="00E52AD8" w:rsidP="00E52AD8">
            <w:pPr>
              <w:rPr>
                <w:rFonts w:cstheme="majorBidi"/>
                <w:sz w:val="20"/>
                <w:szCs w:val="20"/>
              </w:rPr>
            </w:pPr>
            <w:r w:rsidRPr="0004264F">
              <w:rPr>
                <w:rFonts w:cstheme="majorBidi"/>
                <w:sz w:val="20"/>
                <w:szCs w:val="20"/>
              </w:rPr>
              <w:t>County FE</w:t>
            </w:r>
          </w:p>
        </w:tc>
        <w:tc>
          <w:tcPr>
            <w:tcW w:w="2653" w:type="dxa"/>
            <w:tcBorders>
              <w:top w:val="single" w:sz="4" w:space="0" w:color="auto"/>
            </w:tcBorders>
          </w:tcPr>
          <w:p w14:paraId="0DFDC992" w14:textId="70D230E2" w:rsidR="00E52AD8" w:rsidRPr="0004264F" w:rsidRDefault="00E52AD8" w:rsidP="00E52AD8">
            <w:pPr>
              <w:jc w:val="center"/>
              <w:rPr>
                <w:rFonts w:cstheme="majorBidi"/>
                <w:sz w:val="20"/>
                <w:szCs w:val="20"/>
              </w:rPr>
            </w:pPr>
            <w:r w:rsidRPr="0004264F">
              <w:rPr>
                <w:rFonts w:cstheme="majorBidi"/>
                <w:sz w:val="18"/>
                <w:szCs w:val="18"/>
              </w:rPr>
              <w:sym w:font="Wingdings" w:char="F0FC"/>
            </w:r>
          </w:p>
        </w:tc>
        <w:tc>
          <w:tcPr>
            <w:tcW w:w="2653" w:type="dxa"/>
            <w:tcBorders>
              <w:top w:val="single" w:sz="4" w:space="0" w:color="auto"/>
            </w:tcBorders>
          </w:tcPr>
          <w:p w14:paraId="5C2AAD4B" w14:textId="4AAA49F5" w:rsidR="00E52AD8" w:rsidRPr="0004264F" w:rsidRDefault="00E52AD8" w:rsidP="00E52AD8">
            <w:pPr>
              <w:jc w:val="center"/>
              <w:rPr>
                <w:rFonts w:cstheme="majorBidi"/>
                <w:sz w:val="20"/>
                <w:szCs w:val="20"/>
              </w:rPr>
            </w:pPr>
            <w:r w:rsidRPr="0004264F">
              <w:rPr>
                <w:rFonts w:cstheme="majorBidi"/>
                <w:sz w:val="18"/>
                <w:szCs w:val="18"/>
              </w:rPr>
              <w:sym w:font="Wingdings" w:char="F0FC"/>
            </w:r>
          </w:p>
        </w:tc>
        <w:tc>
          <w:tcPr>
            <w:tcW w:w="2660" w:type="dxa"/>
            <w:tcBorders>
              <w:top w:val="single" w:sz="4" w:space="0" w:color="auto"/>
            </w:tcBorders>
          </w:tcPr>
          <w:p w14:paraId="6C470C7B" w14:textId="01E41F96" w:rsidR="00E52AD8" w:rsidRPr="0004264F" w:rsidRDefault="00E52AD8" w:rsidP="00E52AD8">
            <w:pPr>
              <w:jc w:val="center"/>
              <w:rPr>
                <w:rFonts w:cstheme="majorBidi"/>
                <w:sz w:val="20"/>
                <w:szCs w:val="20"/>
              </w:rPr>
            </w:pPr>
            <w:r w:rsidRPr="0004264F">
              <w:rPr>
                <w:rFonts w:cstheme="majorBidi"/>
                <w:sz w:val="18"/>
                <w:szCs w:val="18"/>
              </w:rPr>
              <w:sym w:font="Wingdings" w:char="F0FC"/>
            </w:r>
          </w:p>
        </w:tc>
      </w:tr>
      <w:tr w:rsidR="00E52AD8" w:rsidRPr="0004264F" w14:paraId="2017A537" w14:textId="77777777" w:rsidTr="009B5DB5">
        <w:trPr>
          <w:trHeight w:val="249"/>
          <w:jc w:val="center"/>
        </w:trPr>
        <w:tc>
          <w:tcPr>
            <w:tcW w:w="2652" w:type="dxa"/>
            <w:vAlign w:val="center"/>
          </w:tcPr>
          <w:p w14:paraId="097010CA" w14:textId="19296C80" w:rsidR="00E52AD8" w:rsidRPr="0004264F" w:rsidRDefault="00E52AD8" w:rsidP="00E52AD8">
            <w:pPr>
              <w:rPr>
                <w:rFonts w:cstheme="majorBidi"/>
                <w:sz w:val="20"/>
                <w:szCs w:val="20"/>
              </w:rPr>
            </w:pPr>
            <w:r w:rsidRPr="0004264F">
              <w:rPr>
                <w:rFonts w:cstheme="majorBidi"/>
                <w:sz w:val="20"/>
                <w:szCs w:val="20"/>
              </w:rPr>
              <w:t>Year FE</w:t>
            </w:r>
          </w:p>
        </w:tc>
        <w:tc>
          <w:tcPr>
            <w:tcW w:w="2653" w:type="dxa"/>
          </w:tcPr>
          <w:p w14:paraId="6CFF4D44" w14:textId="279C8054" w:rsidR="00E52AD8" w:rsidRPr="0004264F" w:rsidRDefault="00E52AD8" w:rsidP="00E52AD8">
            <w:pPr>
              <w:jc w:val="center"/>
              <w:rPr>
                <w:rFonts w:cstheme="majorBidi"/>
                <w:sz w:val="20"/>
                <w:szCs w:val="20"/>
              </w:rPr>
            </w:pPr>
            <w:r w:rsidRPr="0004264F">
              <w:rPr>
                <w:rFonts w:cstheme="majorBidi"/>
                <w:sz w:val="18"/>
                <w:szCs w:val="18"/>
              </w:rPr>
              <w:sym w:font="Wingdings" w:char="F0FC"/>
            </w:r>
          </w:p>
        </w:tc>
        <w:tc>
          <w:tcPr>
            <w:tcW w:w="2653" w:type="dxa"/>
          </w:tcPr>
          <w:p w14:paraId="19442902" w14:textId="39F3F142" w:rsidR="00E52AD8" w:rsidRPr="0004264F" w:rsidRDefault="00E52AD8" w:rsidP="00E52AD8">
            <w:pPr>
              <w:jc w:val="center"/>
              <w:rPr>
                <w:rFonts w:cstheme="majorBidi"/>
                <w:sz w:val="20"/>
                <w:szCs w:val="20"/>
              </w:rPr>
            </w:pPr>
            <w:r w:rsidRPr="0004264F">
              <w:rPr>
                <w:rFonts w:cstheme="majorBidi"/>
                <w:sz w:val="18"/>
                <w:szCs w:val="18"/>
              </w:rPr>
              <w:sym w:font="Wingdings" w:char="F0FC"/>
            </w:r>
          </w:p>
        </w:tc>
        <w:tc>
          <w:tcPr>
            <w:tcW w:w="2660" w:type="dxa"/>
          </w:tcPr>
          <w:p w14:paraId="66E5FC94" w14:textId="5E7B3A2E" w:rsidR="00E52AD8" w:rsidRPr="0004264F" w:rsidRDefault="00E52AD8" w:rsidP="00E52AD8">
            <w:pPr>
              <w:jc w:val="center"/>
              <w:rPr>
                <w:rFonts w:cstheme="majorBidi"/>
                <w:sz w:val="20"/>
                <w:szCs w:val="20"/>
              </w:rPr>
            </w:pPr>
            <w:r w:rsidRPr="0004264F">
              <w:rPr>
                <w:rFonts w:cstheme="majorBidi"/>
                <w:sz w:val="18"/>
                <w:szCs w:val="18"/>
              </w:rPr>
              <w:sym w:font="Wingdings" w:char="F0FC"/>
            </w:r>
          </w:p>
        </w:tc>
      </w:tr>
      <w:tr w:rsidR="00E52AD8" w:rsidRPr="0004264F" w14:paraId="25A1C6AE" w14:textId="77777777" w:rsidTr="009B5DB5">
        <w:trPr>
          <w:trHeight w:val="249"/>
          <w:jc w:val="center"/>
        </w:trPr>
        <w:tc>
          <w:tcPr>
            <w:tcW w:w="2652" w:type="dxa"/>
            <w:tcBorders>
              <w:bottom w:val="single" w:sz="4" w:space="0" w:color="auto"/>
            </w:tcBorders>
            <w:vAlign w:val="center"/>
          </w:tcPr>
          <w:p w14:paraId="4629F497" w14:textId="3873E24F" w:rsidR="00E52AD8" w:rsidRPr="0004264F" w:rsidRDefault="000944C8" w:rsidP="00E52AD8">
            <w:pPr>
              <w:rPr>
                <w:rFonts w:cstheme="majorBidi"/>
                <w:sz w:val="20"/>
                <w:szCs w:val="20"/>
              </w:rPr>
            </w:pPr>
            <w:r w:rsidRPr="0004264F">
              <w:rPr>
                <w:rFonts w:cstheme="majorBidi"/>
                <w:sz w:val="20"/>
                <w:szCs w:val="20"/>
              </w:rPr>
              <w:t>SEA</w:t>
            </w:r>
            <w:r w:rsidR="00E52AD8" w:rsidRPr="0004264F">
              <w:rPr>
                <w:rFonts w:cstheme="majorBidi"/>
                <w:sz w:val="20"/>
                <w:szCs w:val="20"/>
              </w:rPr>
              <w:t>-Year FE</w:t>
            </w:r>
          </w:p>
        </w:tc>
        <w:tc>
          <w:tcPr>
            <w:tcW w:w="2653" w:type="dxa"/>
            <w:tcBorders>
              <w:bottom w:val="single" w:sz="4" w:space="0" w:color="auto"/>
            </w:tcBorders>
          </w:tcPr>
          <w:p w14:paraId="55C2D547" w14:textId="50BDC43E" w:rsidR="00E52AD8" w:rsidRPr="0004264F" w:rsidRDefault="00E52AD8" w:rsidP="00E52AD8">
            <w:pPr>
              <w:jc w:val="center"/>
              <w:rPr>
                <w:rFonts w:cstheme="majorBidi"/>
                <w:sz w:val="20"/>
                <w:szCs w:val="20"/>
              </w:rPr>
            </w:pPr>
            <w:r w:rsidRPr="0004264F">
              <w:rPr>
                <w:rFonts w:cstheme="majorBidi"/>
                <w:sz w:val="18"/>
                <w:szCs w:val="18"/>
              </w:rPr>
              <w:sym w:font="Wingdings" w:char="F0FC"/>
            </w:r>
          </w:p>
        </w:tc>
        <w:tc>
          <w:tcPr>
            <w:tcW w:w="2653" w:type="dxa"/>
            <w:tcBorders>
              <w:bottom w:val="single" w:sz="4" w:space="0" w:color="auto"/>
            </w:tcBorders>
          </w:tcPr>
          <w:p w14:paraId="2E7CE0F5" w14:textId="1B1E6CAC" w:rsidR="00E52AD8" w:rsidRPr="0004264F" w:rsidRDefault="00E52AD8" w:rsidP="00E52AD8">
            <w:pPr>
              <w:jc w:val="center"/>
              <w:rPr>
                <w:rFonts w:cstheme="majorBidi"/>
                <w:sz w:val="20"/>
                <w:szCs w:val="20"/>
              </w:rPr>
            </w:pPr>
            <w:r w:rsidRPr="0004264F">
              <w:rPr>
                <w:rFonts w:cstheme="majorBidi"/>
                <w:sz w:val="18"/>
                <w:szCs w:val="18"/>
              </w:rPr>
              <w:sym w:font="Wingdings" w:char="F0FC"/>
            </w:r>
          </w:p>
        </w:tc>
        <w:tc>
          <w:tcPr>
            <w:tcW w:w="2660" w:type="dxa"/>
            <w:tcBorders>
              <w:bottom w:val="single" w:sz="4" w:space="0" w:color="auto"/>
            </w:tcBorders>
          </w:tcPr>
          <w:p w14:paraId="07CEDA85" w14:textId="793BB668" w:rsidR="00E52AD8" w:rsidRPr="0004264F" w:rsidRDefault="00E52AD8" w:rsidP="00E52AD8">
            <w:pPr>
              <w:jc w:val="center"/>
              <w:rPr>
                <w:rFonts w:cstheme="majorBidi"/>
                <w:sz w:val="20"/>
                <w:szCs w:val="20"/>
              </w:rPr>
            </w:pPr>
            <w:r w:rsidRPr="0004264F">
              <w:rPr>
                <w:rFonts w:cstheme="majorBidi"/>
                <w:sz w:val="18"/>
                <w:szCs w:val="18"/>
              </w:rPr>
              <w:sym w:font="Wingdings" w:char="F0FC"/>
            </w:r>
          </w:p>
        </w:tc>
      </w:tr>
      <w:tr w:rsidR="002D11C3" w:rsidRPr="0004264F" w14:paraId="5F0A2857" w14:textId="77777777" w:rsidTr="004463FA">
        <w:trPr>
          <w:trHeight w:val="249"/>
          <w:jc w:val="center"/>
        </w:trPr>
        <w:tc>
          <w:tcPr>
            <w:tcW w:w="10618" w:type="dxa"/>
            <w:gridSpan w:val="4"/>
            <w:tcBorders>
              <w:top w:val="single" w:sz="4" w:space="0" w:color="auto"/>
            </w:tcBorders>
            <w:vAlign w:val="center"/>
          </w:tcPr>
          <w:p w14:paraId="0E324FB2" w14:textId="09F897DA" w:rsidR="002D11C3" w:rsidRPr="0004264F" w:rsidRDefault="002D11C3" w:rsidP="002D11C3">
            <w:pPr>
              <w:widowControl w:val="0"/>
              <w:autoSpaceDE w:val="0"/>
              <w:autoSpaceDN w:val="0"/>
              <w:adjustRightInd w:val="0"/>
              <w:rPr>
                <w:rFonts w:cstheme="majorBidi"/>
                <w:sz w:val="20"/>
                <w:szCs w:val="20"/>
              </w:rPr>
            </w:pPr>
            <w:r w:rsidRPr="0004264F">
              <w:rPr>
                <w:rFonts w:cstheme="majorBidi"/>
                <w:sz w:val="20"/>
                <w:szCs w:val="20"/>
              </w:rPr>
              <w:t>Notes. Standard errors, reported in parentheses, are clustered at the county-level. The regressions are weighted using county-level mean of population over the sample period.</w:t>
            </w:r>
          </w:p>
          <w:p w14:paraId="3B281623" w14:textId="77777777" w:rsidR="002D11C3" w:rsidRPr="0004264F" w:rsidRDefault="002D11C3" w:rsidP="002D11C3">
            <w:pPr>
              <w:widowControl w:val="0"/>
              <w:autoSpaceDE w:val="0"/>
              <w:autoSpaceDN w:val="0"/>
              <w:adjustRightInd w:val="0"/>
              <w:rPr>
                <w:rFonts w:cstheme="majorBidi"/>
                <w:sz w:val="20"/>
                <w:szCs w:val="20"/>
              </w:rPr>
            </w:pPr>
            <w:r w:rsidRPr="0004264F">
              <w:rPr>
                <w:rFonts w:cstheme="majorBidi"/>
                <w:sz w:val="20"/>
                <w:szCs w:val="20"/>
              </w:rPr>
              <w:t>*** p&lt;0.01, ** p&lt;0.05, * p&lt;0.1</w:t>
            </w:r>
          </w:p>
          <w:p w14:paraId="59CB15A4" w14:textId="77777777" w:rsidR="002D11C3" w:rsidRPr="0004264F" w:rsidRDefault="002D11C3" w:rsidP="002D11C3">
            <w:pPr>
              <w:jc w:val="center"/>
              <w:rPr>
                <w:rFonts w:cstheme="majorBidi"/>
                <w:sz w:val="20"/>
                <w:szCs w:val="20"/>
              </w:rPr>
            </w:pPr>
          </w:p>
        </w:tc>
      </w:tr>
    </w:tbl>
    <w:p w14:paraId="75585BD7" w14:textId="3FBB3959" w:rsidR="00204C5C" w:rsidRPr="0004264F" w:rsidRDefault="00204C5C" w:rsidP="00F32C69">
      <w:pPr>
        <w:rPr>
          <w:rFonts w:cstheme="majorBidi"/>
          <w:b/>
          <w:bCs/>
          <w:sz w:val="20"/>
          <w:szCs w:val="20"/>
        </w:rPr>
      </w:pPr>
    </w:p>
    <w:p w14:paraId="0C93CE8C" w14:textId="6659A94C" w:rsidR="00204C5C" w:rsidRPr="0004264F" w:rsidRDefault="00204C5C" w:rsidP="00F32C69">
      <w:pPr>
        <w:rPr>
          <w:rFonts w:cstheme="majorBidi"/>
          <w:b/>
          <w:bCs/>
          <w:sz w:val="20"/>
          <w:szCs w:val="20"/>
        </w:rPr>
      </w:pPr>
    </w:p>
    <w:p w14:paraId="18C0C66B" w14:textId="35C338EE" w:rsidR="00204C5C" w:rsidRPr="0004264F" w:rsidRDefault="00204C5C" w:rsidP="00F32C69">
      <w:pPr>
        <w:rPr>
          <w:rFonts w:cstheme="majorBidi"/>
          <w:b/>
          <w:bCs/>
          <w:sz w:val="20"/>
          <w:szCs w:val="20"/>
        </w:rPr>
      </w:pPr>
    </w:p>
    <w:p w14:paraId="1D6BD5B5" w14:textId="730C5D4C" w:rsidR="00204C5C" w:rsidRPr="0004264F" w:rsidRDefault="00204C5C" w:rsidP="00F32C69">
      <w:pPr>
        <w:rPr>
          <w:rFonts w:cstheme="majorBidi"/>
          <w:b/>
          <w:bCs/>
          <w:sz w:val="20"/>
          <w:szCs w:val="20"/>
        </w:rPr>
      </w:pPr>
    </w:p>
    <w:p w14:paraId="3C64320F" w14:textId="715A133D" w:rsidR="00204C5C" w:rsidRPr="0004264F" w:rsidRDefault="00204C5C" w:rsidP="00F32C69">
      <w:pPr>
        <w:rPr>
          <w:rFonts w:cstheme="majorBidi"/>
          <w:b/>
          <w:bCs/>
          <w:sz w:val="20"/>
          <w:szCs w:val="20"/>
        </w:rPr>
      </w:pPr>
    </w:p>
    <w:p w14:paraId="27A0F616" w14:textId="32F3B1B2" w:rsidR="00204C5C" w:rsidRPr="0004264F" w:rsidRDefault="00204C5C" w:rsidP="00F32C69">
      <w:pPr>
        <w:rPr>
          <w:rFonts w:cstheme="majorBidi"/>
          <w:b/>
          <w:bCs/>
          <w:sz w:val="20"/>
          <w:szCs w:val="20"/>
        </w:rPr>
      </w:pPr>
    </w:p>
    <w:p w14:paraId="49F4C6B1" w14:textId="3E51D423" w:rsidR="00204C5C" w:rsidRPr="0004264F" w:rsidRDefault="00204C5C" w:rsidP="00F32C69">
      <w:pPr>
        <w:rPr>
          <w:rFonts w:cstheme="majorBidi"/>
          <w:b/>
          <w:bCs/>
          <w:sz w:val="20"/>
          <w:szCs w:val="20"/>
        </w:rPr>
      </w:pPr>
    </w:p>
    <w:p w14:paraId="6444211F" w14:textId="687D156D" w:rsidR="00204C5C" w:rsidRPr="0004264F" w:rsidRDefault="00204C5C" w:rsidP="00F32C69">
      <w:pPr>
        <w:rPr>
          <w:rFonts w:cstheme="majorBidi"/>
          <w:b/>
          <w:bCs/>
          <w:sz w:val="20"/>
          <w:szCs w:val="20"/>
        </w:rPr>
      </w:pPr>
    </w:p>
    <w:p w14:paraId="21ABE7F7" w14:textId="5B94F072" w:rsidR="00204C5C" w:rsidRPr="0004264F" w:rsidRDefault="00204C5C" w:rsidP="00F32C69">
      <w:pPr>
        <w:rPr>
          <w:rFonts w:cstheme="majorBidi"/>
          <w:b/>
          <w:bCs/>
          <w:sz w:val="20"/>
          <w:szCs w:val="20"/>
        </w:rPr>
      </w:pPr>
    </w:p>
    <w:p w14:paraId="7BD93760" w14:textId="4F634CCC" w:rsidR="00204C5C" w:rsidRPr="0004264F" w:rsidRDefault="00204C5C" w:rsidP="00F32C69">
      <w:pPr>
        <w:rPr>
          <w:rFonts w:cstheme="majorBidi"/>
          <w:b/>
          <w:bCs/>
          <w:sz w:val="20"/>
          <w:szCs w:val="20"/>
        </w:rPr>
      </w:pPr>
    </w:p>
    <w:p w14:paraId="2F86022E" w14:textId="49B8A20B" w:rsidR="00204C5C" w:rsidRPr="0004264F" w:rsidRDefault="00204C5C" w:rsidP="00F32C69">
      <w:pPr>
        <w:rPr>
          <w:rFonts w:cstheme="majorBidi"/>
          <w:b/>
          <w:bCs/>
          <w:sz w:val="20"/>
          <w:szCs w:val="20"/>
        </w:rPr>
      </w:pPr>
    </w:p>
    <w:p w14:paraId="4B2D4E4C" w14:textId="4298E66C" w:rsidR="00204C5C" w:rsidRPr="0004264F" w:rsidRDefault="00204C5C" w:rsidP="00F32C69">
      <w:pPr>
        <w:rPr>
          <w:rFonts w:cstheme="majorBidi"/>
          <w:b/>
          <w:bCs/>
          <w:sz w:val="20"/>
          <w:szCs w:val="20"/>
        </w:rPr>
      </w:pPr>
    </w:p>
    <w:p w14:paraId="7ECC8EFA" w14:textId="7D3E0F83" w:rsidR="00204C5C" w:rsidRPr="0004264F" w:rsidRDefault="00204C5C" w:rsidP="00F32C69">
      <w:pPr>
        <w:rPr>
          <w:rFonts w:cstheme="majorBidi"/>
          <w:b/>
          <w:bCs/>
          <w:sz w:val="20"/>
          <w:szCs w:val="20"/>
        </w:rPr>
      </w:pPr>
    </w:p>
    <w:p w14:paraId="5BDE892D" w14:textId="77777777" w:rsidR="0089385F" w:rsidRPr="0004264F" w:rsidRDefault="0089385F" w:rsidP="00F32C69">
      <w:pPr>
        <w:rPr>
          <w:rFonts w:cstheme="majorBidi"/>
          <w:b/>
          <w:bCs/>
          <w:sz w:val="20"/>
          <w:szCs w:val="20"/>
        </w:rPr>
        <w:sectPr w:rsidR="0089385F" w:rsidRPr="0004264F" w:rsidSect="00847BB4">
          <w:pgSz w:w="12240" w:h="15840" w:code="1"/>
          <w:pgMar w:top="1440" w:right="1440" w:bottom="1440" w:left="1440" w:header="720" w:footer="720" w:gutter="0"/>
          <w:cols w:space="720"/>
          <w:docGrid w:linePitch="360"/>
        </w:sectPr>
      </w:pPr>
    </w:p>
    <w:p w14:paraId="735FE962" w14:textId="239DAC37" w:rsidR="00204C5C" w:rsidRPr="0004264F" w:rsidRDefault="00204C5C" w:rsidP="00F32C69">
      <w:pPr>
        <w:rPr>
          <w:rFonts w:cstheme="majorBidi"/>
          <w:b/>
          <w:bCs/>
          <w:sz w:val="20"/>
          <w:szCs w:val="20"/>
        </w:rPr>
      </w:pPr>
    </w:p>
    <w:p w14:paraId="72E4880E" w14:textId="348EE264" w:rsidR="0089385F" w:rsidRPr="0004264F" w:rsidRDefault="0089385F" w:rsidP="00F32C69">
      <w:pPr>
        <w:rPr>
          <w:rFonts w:cstheme="majorBidi"/>
          <w:b/>
          <w:bCs/>
          <w:sz w:val="20"/>
          <w:szCs w:val="20"/>
        </w:rPr>
      </w:pPr>
    </w:p>
    <w:p w14:paraId="688FE201" w14:textId="222E6624" w:rsidR="0089385F" w:rsidRPr="0004264F" w:rsidRDefault="0089385F" w:rsidP="00F32C69">
      <w:pPr>
        <w:rPr>
          <w:rFonts w:cstheme="majorBidi"/>
          <w:b/>
          <w:bCs/>
          <w:sz w:val="20"/>
          <w:szCs w:val="20"/>
        </w:rPr>
      </w:pPr>
    </w:p>
    <w:p w14:paraId="745CF6B6" w14:textId="0B76C48C" w:rsidR="00684BFC" w:rsidRPr="0004264F" w:rsidRDefault="00684BFC" w:rsidP="00684BFC">
      <w:pPr>
        <w:pStyle w:val="Caption"/>
        <w:keepNext/>
        <w:bidi w:val="0"/>
        <w:rPr>
          <w:rFonts w:cstheme="majorBidi"/>
        </w:rPr>
      </w:pPr>
      <w:bookmarkStart w:id="21" w:name="_Ref97972499"/>
      <w:r w:rsidRPr="0004264F">
        <w:rPr>
          <w:rFonts w:cstheme="majorBidi"/>
        </w:rPr>
        <w:t xml:space="preserve">Table </w:t>
      </w:r>
      <w:r w:rsidR="00AD3D04" w:rsidRPr="0004264F">
        <w:rPr>
          <w:rFonts w:cstheme="majorBidi"/>
        </w:rPr>
        <w:fldChar w:fldCharType="begin"/>
      </w:r>
      <w:r w:rsidR="00AD3D04" w:rsidRPr="0004264F">
        <w:rPr>
          <w:rFonts w:cstheme="majorBidi"/>
        </w:rPr>
        <w:instrText xml:space="preserve"> SEQ Table \* ARABIC </w:instrText>
      </w:r>
      <w:r w:rsidR="00AD3D04" w:rsidRPr="0004264F">
        <w:rPr>
          <w:rFonts w:cstheme="majorBidi"/>
        </w:rPr>
        <w:fldChar w:fldCharType="separate"/>
      </w:r>
      <w:r w:rsidR="00CA5B9D" w:rsidRPr="0004264F">
        <w:rPr>
          <w:rFonts w:cstheme="majorBidi"/>
          <w:noProof/>
        </w:rPr>
        <w:t>11</w:t>
      </w:r>
      <w:r w:rsidR="00AD3D04" w:rsidRPr="0004264F">
        <w:rPr>
          <w:rFonts w:cstheme="majorBidi"/>
          <w:noProof/>
        </w:rPr>
        <w:fldChar w:fldCharType="end"/>
      </w:r>
      <w:bookmarkEnd w:id="21"/>
      <w:r w:rsidRPr="0004264F">
        <w:rPr>
          <w:rFonts w:cstheme="majorBidi"/>
        </w:rPr>
        <w:t xml:space="preserve"> - Exploring the Mechanisms of Impact Using 1960 Census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1195"/>
        <w:gridCol w:w="1410"/>
        <w:gridCol w:w="1410"/>
        <w:gridCol w:w="1410"/>
        <w:gridCol w:w="1410"/>
        <w:gridCol w:w="1704"/>
        <w:gridCol w:w="1704"/>
        <w:gridCol w:w="1178"/>
        <w:gridCol w:w="1178"/>
        <w:gridCol w:w="1274"/>
      </w:tblGrid>
      <w:tr w:rsidR="00684BFC" w:rsidRPr="0004264F" w14:paraId="39B1EE0C" w14:textId="77777777" w:rsidTr="00C31B00">
        <w:trPr>
          <w:trHeight w:val="183"/>
          <w:jc w:val="center"/>
        </w:trPr>
        <w:tc>
          <w:tcPr>
            <w:tcW w:w="1728" w:type="dxa"/>
            <w:tcBorders>
              <w:top w:val="single" w:sz="4" w:space="0" w:color="auto"/>
            </w:tcBorders>
            <w:vAlign w:val="center"/>
          </w:tcPr>
          <w:p w14:paraId="12E3E910" w14:textId="77777777" w:rsidR="00684BFC" w:rsidRPr="0004264F" w:rsidRDefault="00684BFC" w:rsidP="00684BFC">
            <w:pPr>
              <w:rPr>
                <w:rFonts w:cstheme="majorBidi"/>
                <w:sz w:val="18"/>
                <w:szCs w:val="18"/>
              </w:rPr>
            </w:pPr>
          </w:p>
        </w:tc>
        <w:tc>
          <w:tcPr>
            <w:tcW w:w="13873" w:type="dxa"/>
            <w:gridSpan w:val="10"/>
            <w:tcBorders>
              <w:top w:val="single" w:sz="4" w:space="0" w:color="auto"/>
              <w:bottom w:val="single" w:sz="4" w:space="0" w:color="auto"/>
            </w:tcBorders>
            <w:vAlign w:val="center"/>
          </w:tcPr>
          <w:p w14:paraId="6A00BF25" w14:textId="187C1C3A" w:rsidR="00684BFC" w:rsidRPr="0004264F" w:rsidRDefault="00684BFC" w:rsidP="00684BFC">
            <w:pPr>
              <w:jc w:val="center"/>
              <w:rPr>
                <w:rFonts w:cstheme="majorBidi"/>
                <w:b/>
                <w:bCs/>
                <w:i/>
                <w:iCs/>
                <w:sz w:val="18"/>
                <w:szCs w:val="18"/>
              </w:rPr>
            </w:pPr>
            <w:r w:rsidRPr="0004264F">
              <w:rPr>
                <w:rFonts w:cstheme="majorBidi"/>
                <w:b/>
                <w:bCs/>
                <w:i/>
                <w:iCs/>
                <w:sz w:val="18"/>
                <w:szCs w:val="18"/>
              </w:rPr>
              <w:t>Outcomes:</w:t>
            </w:r>
          </w:p>
        </w:tc>
      </w:tr>
      <w:tr w:rsidR="00510E59" w:rsidRPr="0004264F" w14:paraId="0AB13977" w14:textId="77777777" w:rsidTr="00C31B00">
        <w:trPr>
          <w:trHeight w:val="183"/>
          <w:jc w:val="center"/>
        </w:trPr>
        <w:tc>
          <w:tcPr>
            <w:tcW w:w="1728" w:type="dxa"/>
            <w:vAlign w:val="center"/>
          </w:tcPr>
          <w:p w14:paraId="7A0602A5" w14:textId="77777777" w:rsidR="0089385F" w:rsidRPr="0004264F" w:rsidRDefault="0089385F" w:rsidP="00684BFC">
            <w:pPr>
              <w:rPr>
                <w:rFonts w:cstheme="majorBidi"/>
                <w:sz w:val="18"/>
                <w:szCs w:val="18"/>
              </w:rPr>
            </w:pPr>
          </w:p>
        </w:tc>
        <w:tc>
          <w:tcPr>
            <w:tcW w:w="1195" w:type="dxa"/>
            <w:tcBorders>
              <w:top w:val="single" w:sz="4" w:space="0" w:color="auto"/>
              <w:bottom w:val="single" w:sz="4" w:space="0" w:color="auto"/>
            </w:tcBorders>
            <w:vAlign w:val="center"/>
          </w:tcPr>
          <w:p w14:paraId="53A06E4C" w14:textId="03FB18FD" w:rsidR="0089385F" w:rsidRPr="0004264F" w:rsidRDefault="0089385F" w:rsidP="00684BFC">
            <w:pPr>
              <w:jc w:val="center"/>
              <w:rPr>
                <w:rFonts w:cstheme="majorBidi"/>
                <w:sz w:val="18"/>
                <w:szCs w:val="18"/>
              </w:rPr>
            </w:pPr>
            <w:r w:rsidRPr="0004264F">
              <w:rPr>
                <w:rFonts w:cstheme="majorBidi"/>
                <w:sz w:val="18"/>
                <w:szCs w:val="18"/>
              </w:rPr>
              <w:t>Years of Schooling</w:t>
            </w:r>
          </w:p>
        </w:tc>
        <w:tc>
          <w:tcPr>
            <w:tcW w:w="1410" w:type="dxa"/>
            <w:tcBorders>
              <w:top w:val="single" w:sz="4" w:space="0" w:color="auto"/>
              <w:bottom w:val="single" w:sz="4" w:space="0" w:color="auto"/>
            </w:tcBorders>
            <w:vAlign w:val="center"/>
          </w:tcPr>
          <w:p w14:paraId="4CB44B46" w14:textId="4DDD3228" w:rsidR="0089385F" w:rsidRPr="0004264F" w:rsidRDefault="0089385F" w:rsidP="00684BFC">
            <w:pPr>
              <w:jc w:val="center"/>
              <w:rPr>
                <w:rFonts w:cstheme="majorBidi"/>
                <w:sz w:val="18"/>
                <w:szCs w:val="18"/>
              </w:rPr>
            </w:pPr>
            <w:r w:rsidRPr="0004264F">
              <w:rPr>
                <w:rFonts w:cstheme="majorBidi"/>
                <w:sz w:val="18"/>
                <w:szCs w:val="18"/>
              </w:rPr>
              <w:t>Education</w:t>
            </w:r>
            <m:oMath>
              <m:r>
                <w:rPr>
                  <w:rFonts w:ascii="Cambria Math" w:hAnsi="Cambria Math" w:cstheme="majorBidi"/>
                  <w:sz w:val="18"/>
                  <w:szCs w:val="18"/>
                </w:rPr>
                <m:t>≥</m:t>
              </m:r>
            </m:oMath>
            <w:r w:rsidRPr="0004264F">
              <w:rPr>
                <w:rFonts w:eastAsiaTheme="minorEastAsia" w:cstheme="majorBidi"/>
                <w:sz w:val="18"/>
                <w:szCs w:val="18"/>
              </w:rPr>
              <w:t xml:space="preserve"> 1 </w:t>
            </w:r>
            <w:r w:rsidR="00060936" w:rsidRPr="0004264F">
              <w:rPr>
                <w:rFonts w:eastAsiaTheme="minorEastAsia" w:cstheme="majorBidi"/>
                <w:sz w:val="18"/>
                <w:szCs w:val="18"/>
              </w:rPr>
              <w:t>Y</w:t>
            </w:r>
            <w:r w:rsidRPr="0004264F">
              <w:rPr>
                <w:rFonts w:eastAsiaTheme="minorEastAsia" w:cstheme="majorBidi"/>
                <w:sz w:val="18"/>
                <w:szCs w:val="18"/>
              </w:rPr>
              <w:t>ear of College</w:t>
            </w:r>
          </w:p>
        </w:tc>
        <w:tc>
          <w:tcPr>
            <w:tcW w:w="1410" w:type="dxa"/>
            <w:tcBorders>
              <w:top w:val="single" w:sz="4" w:space="0" w:color="auto"/>
              <w:bottom w:val="single" w:sz="4" w:space="0" w:color="auto"/>
            </w:tcBorders>
            <w:vAlign w:val="center"/>
          </w:tcPr>
          <w:p w14:paraId="3BB8AB53" w14:textId="39DA0538" w:rsidR="0089385F" w:rsidRPr="0004264F" w:rsidRDefault="0089385F" w:rsidP="00684BFC">
            <w:pPr>
              <w:jc w:val="center"/>
              <w:rPr>
                <w:rFonts w:cstheme="majorBidi"/>
                <w:sz w:val="18"/>
                <w:szCs w:val="18"/>
              </w:rPr>
            </w:pPr>
            <w:r w:rsidRPr="0004264F">
              <w:rPr>
                <w:rFonts w:cstheme="majorBidi"/>
                <w:sz w:val="18"/>
                <w:szCs w:val="18"/>
              </w:rPr>
              <w:t>Education</w:t>
            </w:r>
            <m:oMath>
              <m:r>
                <w:rPr>
                  <w:rFonts w:ascii="Cambria Math" w:hAnsi="Cambria Math" w:cstheme="majorBidi"/>
                  <w:sz w:val="18"/>
                  <w:szCs w:val="18"/>
                </w:rPr>
                <m:t>≥</m:t>
              </m:r>
            </m:oMath>
            <w:r w:rsidRPr="0004264F">
              <w:rPr>
                <w:rFonts w:eastAsiaTheme="minorEastAsia" w:cstheme="majorBidi"/>
                <w:sz w:val="18"/>
                <w:szCs w:val="18"/>
              </w:rPr>
              <w:t xml:space="preserve"> 2 </w:t>
            </w:r>
            <w:r w:rsidR="00060936" w:rsidRPr="0004264F">
              <w:rPr>
                <w:rFonts w:eastAsiaTheme="minorEastAsia" w:cstheme="majorBidi"/>
                <w:sz w:val="18"/>
                <w:szCs w:val="18"/>
              </w:rPr>
              <w:t>Y</w:t>
            </w:r>
            <w:r w:rsidRPr="0004264F">
              <w:rPr>
                <w:rFonts w:eastAsiaTheme="minorEastAsia" w:cstheme="majorBidi"/>
                <w:sz w:val="18"/>
                <w:szCs w:val="18"/>
              </w:rPr>
              <w:t>ears of College</w:t>
            </w:r>
          </w:p>
        </w:tc>
        <w:tc>
          <w:tcPr>
            <w:tcW w:w="1410" w:type="dxa"/>
            <w:tcBorders>
              <w:top w:val="single" w:sz="4" w:space="0" w:color="auto"/>
              <w:bottom w:val="single" w:sz="4" w:space="0" w:color="auto"/>
            </w:tcBorders>
            <w:vAlign w:val="center"/>
          </w:tcPr>
          <w:p w14:paraId="36916266" w14:textId="7C070344" w:rsidR="0089385F" w:rsidRPr="0004264F" w:rsidRDefault="0089385F" w:rsidP="00684BFC">
            <w:pPr>
              <w:jc w:val="center"/>
              <w:rPr>
                <w:rFonts w:cstheme="majorBidi"/>
                <w:sz w:val="18"/>
                <w:szCs w:val="18"/>
              </w:rPr>
            </w:pPr>
            <w:r w:rsidRPr="0004264F">
              <w:rPr>
                <w:rFonts w:cstheme="majorBidi"/>
                <w:sz w:val="18"/>
                <w:szCs w:val="18"/>
              </w:rPr>
              <w:t>Education</w:t>
            </w:r>
            <m:oMath>
              <m:r>
                <w:rPr>
                  <w:rFonts w:ascii="Cambria Math" w:hAnsi="Cambria Math" w:cstheme="majorBidi"/>
                  <w:sz w:val="18"/>
                  <w:szCs w:val="18"/>
                </w:rPr>
                <m:t>≥</m:t>
              </m:r>
            </m:oMath>
            <w:r w:rsidRPr="0004264F">
              <w:rPr>
                <w:rFonts w:eastAsiaTheme="minorEastAsia" w:cstheme="majorBidi"/>
                <w:sz w:val="18"/>
                <w:szCs w:val="18"/>
              </w:rPr>
              <w:t xml:space="preserve"> 3 </w:t>
            </w:r>
            <w:r w:rsidR="00060936" w:rsidRPr="0004264F">
              <w:rPr>
                <w:rFonts w:eastAsiaTheme="minorEastAsia" w:cstheme="majorBidi"/>
                <w:sz w:val="18"/>
                <w:szCs w:val="18"/>
              </w:rPr>
              <w:t>Y</w:t>
            </w:r>
            <w:r w:rsidRPr="0004264F">
              <w:rPr>
                <w:rFonts w:eastAsiaTheme="minorEastAsia" w:cstheme="majorBidi"/>
                <w:sz w:val="18"/>
                <w:szCs w:val="18"/>
              </w:rPr>
              <w:t>ears of College</w:t>
            </w:r>
          </w:p>
        </w:tc>
        <w:tc>
          <w:tcPr>
            <w:tcW w:w="1410" w:type="dxa"/>
            <w:tcBorders>
              <w:top w:val="single" w:sz="4" w:space="0" w:color="auto"/>
              <w:bottom w:val="single" w:sz="4" w:space="0" w:color="auto"/>
            </w:tcBorders>
            <w:vAlign w:val="center"/>
          </w:tcPr>
          <w:p w14:paraId="0278B554" w14:textId="4B586554" w:rsidR="0089385F" w:rsidRPr="0004264F" w:rsidRDefault="0089385F" w:rsidP="00684BFC">
            <w:pPr>
              <w:jc w:val="center"/>
              <w:rPr>
                <w:rFonts w:cstheme="majorBidi"/>
                <w:sz w:val="18"/>
                <w:szCs w:val="18"/>
              </w:rPr>
            </w:pPr>
            <w:r w:rsidRPr="0004264F">
              <w:rPr>
                <w:rFonts w:cstheme="majorBidi"/>
                <w:sz w:val="18"/>
                <w:szCs w:val="18"/>
              </w:rPr>
              <w:t>Education</w:t>
            </w:r>
            <m:oMath>
              <m:r>
                <w:rPr>
                  <w:rFonts w:ascii="Cambria Math" w:hAnsi="Cambria Math" w:cstheme="majorBidi"/>
                  <w:sz w:val="18"/>
                  <w:szCs w:val="18"/>
                </w:rPr>
                <m:t>≥</m:t>
              </m:r>
            </m:oMath>
            <w:r w:rsidRPr="0004264F">
              <w:rPr>
                <w:rFonts w:eastAsiaTheme="minorEastAsia" w:cstheme="majorBidi"/>
                <w:sz w:val="18"/>
                <w:szCs w:val="18"/>
              </w:rPr>
              <w:t xml:space="preserve"> </w:t>
            </w:r>
            <w:r w:rsidR="00684BFC" w:rsidRPr="0004264F">
              <w:rPr>
                <w:rFonts w:eastAsiaTheme="minorEastAsia" w:cstheme="majorBidi"/>
                <w:sz w:val="18"/>
                <w:szCs w:val="18"/>
              </w:rPr>
              <w:t>4</w:t>
            </w:r>
            <w:r w:rsidRPr="0004264F">
              <w:rPr>
                <w:rFonts w:eastAsiaTheme="minorEastAsia" w:cstheme="majorBidi"/>
                <w:sz w:val="18"/>
                <w:szCs w:val="18"/>
              </w:rPr>
              <w:t xml:space="preserve"> </w:t>
            </w:r>
            <w:r w:rsidR="00060936" w:rsidRPr="0004264F">
              <w:rPr>
                <w:rFonts w:eastAsiaTheme="minorEastAsia" w:cstheme="majorBidi"/>
                <w:sz w:val="18"/>
                <w:szCs w:val="18"/>
              </w:rPr>
              <w:t>Y</w:t>
            </w:r>
            <w:r w:rsidRPr="0004264F">
              <w:rPr>
                <w:rFonts w:eastAsiaTheme="minorEastAsia" w:cstheme="majorBidi"/>
                <w:sz w:val="18"/>
                <w:szCs w:val="18"/>
              </w:rPr>
              <w:t>ears of College</w:t>
            </w:r>
          </w:p>
        </w:tc>
        <w:tc>
          <w:tcPr>
            <w:tcW w:w="1704" w:type="dxa"/>
            <w:tcBorders>
              <w:top w:val="single" w:sz="4" w:space="0" w:color="auto"/>
              <w:bottom w:val="single" w:sz="4" w:space="0" w:color="auto"/>
            </w:tcBorders>
            <w:vAlign w:val="center"/>
          </w:tcPr>
          <w:p w14:paraId="6BD11BEC" w14:textId="7B5CA44D" w:rsidR="0089385F" w:rsidRPr="0004264F" w:rsidRDefault="00684BFC" w:rsidP="00684BFC">
            <w:pPr>
              <w:jc w:val="center"/>
              <w:rPr>
                <w:rFonts w:cstheme="majorBidi"/>
                <w:sz w:val="18"/>
                <w:szCs w:val="18"/>
              </w:rPr>
            </w:pPr>
            <w:r w:rsidRPr="0004264F">
              <w:rPr>
                <w:rFonts w:cstheme="majorBidi"/>
                <w:sz w:val="18"/>
                <w:szCs w:val="18"/>
              </w:rPr>
              <w:t>Wage Income</w:t>
            </w:r>
          </w:p>
        </w:tc>
        <w:tc>
          <w:tcPr>
            <w:tcW w:w="1704" w:type="dxa"/>
            <w:tcBorders>
              <w:top w:val="single" w:sz="4" w:space="0" w:color="auto"/>
              <w:bottom w:val="single" w:sz="4" w:space="0" w:color="auto"/>
            </w:tcBorders>
            <w:vAlign w:val="center"/>
          </w:tcPr>
          <w:p w14:paraId="502926B8" w14:textId="5C969281" w:rsidR="0089385F" w:rsidRPr="0004264F" w:rsidRDefault="00684BFC" w:rsidP="00684BFC">
            <w:pPr>
              <w:jc w:val="center"/>
              <w:rPr>
                <w:rFonts w:cstheme="majorBidi"/>
                <w:sz w:val="18"/>
                <w:szCs w:val="18"/>
              </w:rPr>
            </w:pPr>
            <w:r w:rsidRPr="0004264F">
              <w:rPr>
                <w:rFonts w:cstheme="majorBidi"/>
                <w:sz w:val="18"/>
                <w:szCs w:val="18"/>
              </w:rPr>
              <w:t>Total personal Income</w:t>
            </w:r>
          </w:p>
        </w:tc>
        <w:tc>
          <w:tcPr>
            <w:tcW w:w="1178" w:type="dxa"/>
            <w:tcBorders>
              <w:top w:val="single" w:sz="4" w:space="0" w:color="auto"/>
              <w:bottom w:val="single" w:sz="4" w:space="0" w:color="auto"/>
            </w:tcBorders>
            <w:vAlign w:val="center"/>
          </w:tcPr>
          <w:p w14:paraId="55BF46AC" w14:textId="2F2012EC" w:rsidR="0089385F" w:rsidRPr="0004264F" w:rsidRDefault="00684BFC" w:rsidP="00684BFC">
            <w:pPr>
              <w:jc w:val="center"/>
              <w:rPr>
                <w:rFonts w:cstheme="majorBidi"/>
                <w:sz w:val="18"/>
                <w:szCs w:val="18"/>
              </w:rPr>
            </w:pPr>
            <w:r w:rsidRPr="0004264F">
              <w:rPr>
                <w:rFonts w:cstheme="majorBidi"/>
                <w:sz w:val="18"/>
                <w:szCs w:val="18"/>
              </w:rPr>
              <w:t>Socioeconomic Index</w:t>
            </w:r>
          </w:p>
        </w:tc>
        <w:tc>
          <w:tcPr>
            <w:tcW w:w="1178" w:type="dxa"/>
            <w:tcBorders>
              <w:top w:val="single" w:sz="4" w:space="0" w:color="auto"/>
              <w:bottom w:val="single" w:sz="4" w:space="0" w:color="auto"/>
            </w:tcBorders>
            <w:vAlign w:val="center"/>
          </w:tcPr>
          <w:p w14:paraId="2607088E" w14:textId="42CCAE6B" w:rsidR="0089385F" w:rsidRPr="0004264F" w:rsidRDefault="00684BFC" w:rsidP="00684BFC">
            <w:pPr>
              <w:jc w:val="center"/>
              <w:rPr>
                <w:rFonts w:cstheme="majorBidi"/>
                <w:sz w:val="18"/>
                <w:szCs w:val="18"/>
              </w:rPr>
            </w:pPr>
            <w:r w:rsidRPr="0004264F">
              <w:rPr>
                <w:rFonts w:cstheme="majorBidi"/>
                <w:sz w:val="18"/>
                <w:szCs w:val="18"/>
              </w:rPr>
              <w:t>Occupational Prestigious Score</w:t>
            </w:r>
          </w:p>
        </w:tc>
        <w:tc>
          <w:tcPr>
            <w:tcW w:w="1274" w:type="dxa"/>
            <w:tcBorders>
              <w:top w:val="single" w:sz="4" w:space="0" w:color="auto"/>
              <w:bottom w:val="single" w:sz="4" w:space="0" w:color="auto"/>
            </w:tcBorders>
            <w:vAlign w:val="center"/>
          </w:tcPr>
          <w:p w14:paraId="76E001C7" w14:textId="67246777" w:rsidR="0089385F" w:rsidRPr="0004264F" w:rsidRDefault="00684BFC" w:rsidP="00C31B00">
            <w:pPr>
              <w:jc w:val="center"/>
              <w:rPr>
                <w:rFonts w:cstheme="majorBidi"/>
                <w:sz w:val="18"/>
                <w:szCs w:val="18"/>
              </w:rPr>
            </w:pPr>
            <w:r w:rsidRPr="0004264F">
              <w:rPr>
                <w:rFonts w:cstheme="majorBidi"/>
                <w:sz w:val="18"/>
                <w:szCs w:val="18"/>
              </w:rPr>
              <w:t xml:space="preserve">Occupational </w:t>
            </w:r>
            <w:r w:rsidR="00C31B00" w:rsidRPr="0004264F">
              <w:rPr>
                <w:rFonts w:cstheme="majorBidi"/>
                <w:sz w:val="18"/>
                <w:szCs w:val="18"/>
              </w:rPr>
              <w:t xml:space="preserve">Educational </w:t>
            </w:r>
            <w:r w:rsidRPr="0004264F">
              <w:rPr>
                <w:rFonts w:cstheme="majorBidi"/>
                <w:sz w:val="18"/>
                <w:szCs w:val="18"/>
              </w:rPr>
              <w:t>Score</w:t>
            </w:r>
          </w:p>
        </w:tc>
      </w:tr>
      <w:tr w:rsidR="00510E59" w:rsidRPr="0004264F" w14:paraId="365137DB" w14:textId="77777777" w:rsidTr="00C31B00">
        <w:trPr>
          <w:trHeight w:val="183"/>
          <w:jc w:val="center"/>
        </w:trPr>
        <w:tc>
          <w:tcPr>
            <w:tcW w:w="1728" w:type="dxa"/>
            <w:tcBorders>
              <w:bottom w:val="single" w:sz="4" w:space="0" w:color="auto"/>
            </w:tcBorders>
            <w:vAlign w:val="center"/>
          </w:tcPr>
          <w:p w14:paraId="4BF63B9C" w14:textId="77777777" w:rsidR="0089385F" w:rsidRPr="0004264F" w:rsidRDefault="0089385F" w:rsidP="00684BFC">
            <w:pPr>
              <w:rPr>
                <w:rFonts w:cstheme="majorBidi"/>
                <w:sz w:val="18"/>
                <w:szCs w:val="18"/>
              </w:rPr>
            </w:pPr>
          </w:p>
        </w:tc>
        <w:tc>
          <w:tcPr>
            <w:tcW w:w="1195" w:type="dxa"/>
            <w:tcBorders>
              <w:top w:val="single" w:sz="4" w:space="0" w:color="auto"/>
              <w:bottom w:val="single" w:sz="4" w:space="0" w:color="auto"/>
            </w:tcBorders>
            <w:vAlign w:val="center"/>
          </w:tcPr>
          <w:p w14:paraId="40599E0C" w14:textId="28B1CD17" w:rsidR="0089385F" w:rsidRPr="0004264F" w:rsidRDefault="0089385F" w:rsidP="00684BFC">
            <w:pPr>
              <w:jc w:val="center"/>
              <w:rPr>
                <w:rFonts w:cstheme="majorBidi"/>
                <w:sz w:val="18"/>
                <w:szCs w:val="18"/>
              </w:rPr>
            </w:pPr>
            <w:r w:rsidRPr="0004264F">
              <w:rPr>
                <w:rFonts w:cstheme="majorBidi"/>
                <w:sz w:val="18"/>
                <w:szCs w:val="18"/>
              </w:rPr>
              <w:t>(1)</w:t>
            </w:r>
          </w:p>
        </w:tc>
        <w:tc>
          <w:tcPr>
            <w:tcW w:w="1410" w:type="dxa"/>
            <w:tcBorders>
              <w:top w:val="single" w:sz="4" w:space="0" w:color="auto"/>
              <w:bottom w:val="single" w:sz="4" w:space="0" w:color="auto"/>
            </w:tcBorders>
            <w:vAlign w:val="center"/>
          </w:tcPr>
          <w:p w14:paraId="49110C0C" w14:textId="4815BC94" w:rsidR="0089385F" w:rsidRPr="0004264F" w:rsidRDefault="0089385F" w:rsidP="00684BFC">
            <w:pPr>
              <w:jc w:val="center"/>
              <w:rPr>
                <w:rFonts w:cstheme="majorBidi"/>
                <w:sz w:val="18"/>
                <w:szCs w:val="18"/>
              </w:rPr>
            </w:pPr>
            <w:r w:rsidRPr="0004264F">
              <w:rPr>
                <w:rFonts w:cstheme="majorBidi"/>
                <w:sz w:val="18"/>
                <w:szCs w:val="18"/>
              </w:rPr>
              <w:t>(2)</w:t>
            </w:r>
          </w:p>
        </w:tc>
        <w:tc>
          <w:tcPr>
            <w:tcW w:w="1410" w:type="dxa"/>
            <w:tcBorders>
              <w:top w:val="single" w:sz="4" w:space="0" w:color="auto"/>
              <w:bottom w:val="single" w:sz="4" w:space="0" w:color="auto"/>
            </w:tcBorders>
            <w:vAlign w:val="center"/>
          </w:tcPr>
          <w:p w14:paraId="2E081276" w14:textId="04F04FB6" w:rsidR="0089385F" w:rsidRPr="0004264F" w:rsidRDefault="0089385F" w:rsidP="00684BFC">
            <w:pPr>
              <w:jc w:val="center"/>
              <w:rPr>
                <w:rFonts w:cstheme="majorBidi"/>
                <w:sz w:val="18"/>
                <w:szCs w:val="18"/>
              </w:rPr>
            </w:pPr>
            <w:r w:rsidRPr="0004264F">
              <w:rPr>
                <w:rFonts w:cstheme="majorBidi"/>
                <w:sz w:val="18"/>
                <w:szCs w:val="18"/>
              </w:rPr>
              <w:t>(3)</w:t>
            </w:r>
          </w:p>
        </w:tc>
        <w:tc>
          <w:tcPr>
            <w:tcW w:w="1410" w:type="dxa"/>
            <w:tcBorders>
              <w:top w:val="single" w:sz="4" w:space="0" w:color="auto"/>
              <w:bottom w:val="single" w:sz="4" w:space="0" w:color="auto"/>
            </w:tcBorders>
            <w:vAlign w:val="center"/>
          </w:tcPr>
          <w:p w14:paraId="06B8F424" w14:textId="122EB9B5" w:rsidR="0089385F" w:rsidRPr="0004264F" w:rsidRDefault="0089385F" w:rsidP="00684BFC">
            <w:pPr>
              <w:jc w:val="center"/>
              <w:rPr>
                <w:rFonts w:cstheme="majorBidi"/>
                <w:sz w:val="18"/>
                <w:szCs w:val="18"/>
              </w:rPr>
            </w:pPr>
            <w:r w:rsidRPr="0004264F">
              <w:rPr>
                <w:rFonts w:cstheme="majorBidi"/>
                <w:sz w:val="18"/>
                <w:szCs w:val="18"/>
              </w:rPr>
              <w:t>(4)</w:t>
            </w:r>
          </w:p>
        </w:tc>
        <w:tc>
          <w:tcPr>
            <w:tcW w:w="1410" w:type="dxa"/>
            <w:tcBorders>
              <w:top w:val="single" w:sz="4" w:space="0" w:color="auto"/>
              <w:bottom w:val="single" w:sz="4" w:space="0" w:color="auto"/>
            </w:tcBorders>
            <w:vAlign w:val="center"/>
          </w:tcPr>
          <w:p w14:paraId="007AB032" w14:textId="25971E43" w:rsidR="0089385F" w:rsidRPr="0004264F" w:rsidRDefault="0089385F" w:rsidP="00684BFC">
            <w:pPr>
              <w:jc w:val="center"/>
              <w:rPr>
                <w:rFonts w:cstheme="majorBidi"/>
                <w:sz w:val="18"/>
                <w:szCs w:val="18"/>
              </w:rPr>
            </w:pPr>
            <w:r w:rsidRPr="0004264F">
              <w:rPr>
                <w:rFonts w:cstheme="majorBidi"/>
                <w:sz w:val="18"/>
                <w:szCs w:val="18"/>
              </w:rPr>
              <w:t>(5)</w:t>
            </w:r>
          </w:p>
        </w:tc>
        <w:tc>
          <w:tcPr>
            <w:tcW w:w="1704" w:type="dxa"/>
            <w:tcBorders>
              <w:top w:val="single" w:sz="4" w:space="0" w:color="auto"/>
              <w:bottom w:val="single" w:sz="4" w:space="0" w:color="auto"/>
            </w:tcBorders>
            <w:vAlign w:val="center"/>
          </w:tcPr>
          <w:p w14:paraId="7DC61A98" w14:textId="3170AB16" w:rsidR="0089385F" w:rsidRPr="0004264F" w:rsidRDefault="0089385F" w:rsidP="00684BFC">
            <w:pPr>
              <w:jc w:val="center"/>
              <w:rPr>
                <w:rFonts w:cstheme="majorBidi"/>
                <w:sz w:val="18"/>
                <w:szCs w:val="18"/>
              </w:rPr>
            </w:pPr>
            <w:r w:rsidRPr="0004264F">
              <w:rPr>
                <w:rFonts w:cstheme="majorBidi"/>
                <w:sz w:val="18"/>
                <w:szCs w:val="18"/>
              </w:rPr>
              <w:t>(6)</w:t>
            </w:r>
          </w:p>
        </w:tc>
        <w:tc>
          <w:tcPr>
            <w:tcW w:w="1704" w:type="dxa"/>
            <w:tcBorders>
              <w:top w:val="single" w:sz="4" w:space="0" w:color="auto"/>
              <w:bottom w:val="single" w:sz="4" w:space="0" w:color="auto"/>
            </w:tcBorders>
            <w:vAlign w:val="center"/>
          </w:tcPr>
          <w:p w14:paraId="33F72E69" w14:textId="4A602E0D" w:rsidR="0089385F" w:rsidRPr="0004264F" w:rsidRDefault="0089385F" w:rsidP="00684BFC">
            <w:pPr>
              <w:jc w:val="center"/>
              <w:rPr>
                <w:rFonts w:cstheme="majorBidi"/>
                <w:sz w:val="18"/>
                <w:szCs w:val="18"/>
              </w:rPr>
            </w:pPr>
            <w:r w:rsidRPr="0004264F">
              <w:rPr>
                <w:rFonts w:cstheme="majorBidi"/>
                <w:sz w:val="18"/>
                <w:szCs w:val="18"/>
              </w:rPr>
              <w:t>(7)</w:t>
            </w:r>
          </w:p>
        </w:tc>
        <w:tc>
          <w:tcPr>
            <w:tcW w:w="1178" w:type="dxa"/>
            <w:tcBorders>
              <w:top w:val="single" w:sz="4" w:space="0" w:color="auto"/>
              <w:bottom w:val="single" w:sz="4" w:space="0" w:color="auto"/>
            </w:tcBorders>
            <w:vAlign w:val="center"/>
          </w:tcPr>
          <w:p w14:paraId="2CBC3475" w14:textId="66D3985D" w:rsidR="0089385F" w:rsidRPr="0004264F" w:rsidRDefault="0089385F" w:rsidP="00684BFC">
            <w:pPr>
              <w:jc w:val="center"/>
              <w:rPr>
                <w:rFonts w:cstheme="majorBidi"/>
                <w:sz w:val="18"/>
                <w:szCs w:val="18"/>
              </w:rPr>
            </w:pPr>
            <w:r w:rsidRPr="0004264F">
              <w:rPr>
                <w:rFonts w:cstheme="majorBidi"/>
                <w:sz w:val="18"/>
                <w:szCs w:val="18"/>
              </w:rPr>
              <w:t>(8)</w:t>
            </w:r>
          </w:p>
        </w:tc>
        <w:tc>
          <w:tcPr>
            <w:tcW w:w="1178" w:type="dxa"/>
            <w:tcBorders>
              <w:top w:val="single" w:sz="4" w:space="0" w:color="auto"/>
              <w:bottom w:val="single" w:sz="4" w:space="0" w:color="auto"/>
            </w:tcBorders>
            <w:vAlign w:val="center"/>
          </w:tcPr>
          <w:p w14:paraId="4B353CD4" w14:textId="5E891A59" w:rsidR="0089385F" w:rsidRPr="0004264F" w:rsidRDefault="0089385F" w:rsidP="00684BFC">
            <w:pPr>
              <w:jc w:val="center"/>
              <w:rPr>
                <w:rFonts w:cstheme="majorBidi"/>
                <w:sz w:val="18"/>
                <w:szCs w:val="18"/>
              </w:rPr>
            </w:pPr>
            <w:r w:rsidRPr="0004264F">
              <w:rPr>
                <w:rFonts w:cstheme="majorBidi"/>
                <w:sz w:val="18"/>
                <w:szCs w:val="18"/>
              </w:rPr>
              <w:t>(9)</w:t>
            </w:r>
          </w:p>
        </w:tc>
        <w:tc>
          <w:tcPr>
            <w:tcW w:w="1274" w:type="dxa"/>
            <w:tcBorders>
              <w:top w:val="single" w:sz="4" w:space="0" w:color="auto"/>
              <w:bottom w:val="single" w:sz="4" w:space="0" w:color="auto"/>
            </w:tcBorders>
            <w:vAlign w:val="center"/>
          </w:tcPr>
          <w:p w14:paraId="546B6010" w14:textId="4CC4BE1E" w:rsidR="0089385F" w:rsidRPr="0004264F" w:rsidRDefault="0089385F" w:rsidP="00684BFC">
            <w:pPr>
              <w:jc w:val="center"/>
              <w:rPr>
                <w:rFonts w:cstheme="majorBidi"/>
                <w:sz w:val="18"/>
                <w:szCs w:val="18"/>
              </w:rPr>
            </w:pPr>
            <w:r w:rsidRPr="0004264F">
              <w:rPr>
                <w:rFonts w:cstheme="majorBidi"/>
                <w:sz w:val="18"/>
                <w:szCs w:val="18"/>
              </w:rPr>
              <w:t>(10)</w:t>
            </w:r>
          </w:p>
        </w:tc>
      </w:tr>
      <w:tr w:rsidR="004A4CFD" w:rsidRPr="0004264F" w14:paraId="1CC6101C" w14:textId="77777777" w:rsidTr="00C31B00">
        <w:trPr>
          <w:trHeight w:val="183"/>
          <w:jc w:val="center"/>
        </w:trPr>
        <w:tc>
          <w:tcPr>
            <w:tcW w:w="1728" w:type="dxa"/>
            <w:vMerge w:val="restart"/>
            <w:tcBorders>
              <w:top w:val="single" w:sz="4" w:space="0" w:color="auto"/>
            </w:tcBorders>
            <w:vAlign w:val="center"/>
          </w:tcPr>
          <w:p w14:paraId="64D89191" w14:textId="61117FC7" w:rsidR="004A4CFD" w:rsidRPr="0004264F" w:rsidRDefault="004A4CFD" w:rsidP="004A4CFD">
            <w:pPr>
              <w:rPr>
                <w:rFonts w:cstheme="majorBidi"/>
                <w:sz w:val="18"/>
                <w:szCs w:val="18"/>
              </w:rPr>
            </w:pPr>
            <w:r w:rsidRPr="0004264F">
              <w:rPr>
                <w:rFonts w:cstheme="majorBidi"/>
                <w:sz w:val="18"/>
                <w:szCs w:val="18"/>
              </w:rPr>
              <w:t>Deposits per Capita (STD)</w:t>
            </w:r>
          </w:p>
        </w:tc>
        <w:tc>
          <w:tcPr>
            <w:tcW w:w="1195" w:type="dxa"/>
            <w:tcBorders>
              <w:top w:val="single" w:sz="4" w:space="0" w:color="auto"/>
            </w:tcBorders>
          </w:tcPr>
          <w:p w14:paraId="63554CAD" w14:textId="112B8BA0" w:rsidR="004A4CFD" w:rsidRPr="0004264F" w:rsidRDefault="004A4CFD" w:rsidP="004A4CFD">
            <w:pPr>
              <w:jc w:val="center"/>
              <w:rPr>
                <w:rFonts w:cstheme="majorBidi"/>
                <w:sz w:val="18"/>
                <w:szCs w:val="18"/>
              </w:rPr>
            </w:pPr>
            <w:r w:rsidRPr="0004264F">
              <w:rPr>
                <w:rFonts w:cstheme="majorBidi"/>
                <w:sz w:val="20"/>
                <w:szCs w:val="20"/>
              </w:rPr>
              <w:t>.03648**</w:t>
            </w:r>
          </w:p>
        </w:tc>
        <w:tc>
          <w:tcPr>
            <w:tcW w:w="1410" w:type="dxa"/>
            <w:tcBorders>
              <w:top w:val="single" w:sz="4" w:space="0" w:color="auto"/>
            </w:tcBorders>
          </w:tcPr>
          <w:p w14:paraId="5A6B835B" w14:textId="4E982EA0" w:rsidR="004A4CFD" w:rsidRPr="0004264F" w:rsidRDefault="004A4CFD" w:rsidP="004A4CFD">
            <w:pPr>
              <w:jc w:val="center"/>
              <w:rPr>
                <w:rFonts w:cstheme="majorBidi"/>
                <w:sz w:val="18"/>
                <w:szCs w:val="18"/>
              </w:rPr>
            </w:pPr>
            <w:r w:rsidRPr="0004264F">
              <w:rPr>
                <w:rFonts w:cstheme="majorBidi"/>
                <w:sz w:val="20"/>
                <w:szCs w:val="20"/>
              </w:rPr>
              <w:t>.00573***</w:t>
            </w:r>
          </w:p>
        </w:tc>
        <w:tc>
          <w:tcPr>
            <w:tcW w:w="1410" w:type="dxa"/>
            <w:tcBorders>
              <w:top w:val="single" w:sz="4" w:space="0" w:color="auto"/>
            </w:tcBorders>
          </w:tcPr>
          <w:p w14:paraId="699B1339" w14:textId="3F417E20" w:rsidR="004A4CFD" w:rsidRPr="0004264F" w:rsidRDefault="004A4CFD" w:rsidP="004A4CFD">
            <w:pPr>
              <w:jc w:val="center"/>
              <w:rPr>
                <w:rFonts w:cstheme="majorBidi"/>
                <w:sz w:val="18"/>
                <w:szCs w:val="18"/>
              </w:rPr>
            </w:pPr>
            <w:r w:rsidRPr="0004264F">
              <w:rPr>
                <w:rFonts w:cstheme="majorBidi"/>
                <w:sz w:val="20"/>
                <w:szCs w:val="20"/>
              </w:rPr>
              <w:t>.00477***</w:t>
            </w:r>
          </w:p>
        </w:tc>
        <w:tc>
          <w:tcPr>
            <w:tcW w:w="1410" w:type="dxa"/>
            <w:tcBorders>
              <w:top w:val="single" w:sz="4" w:space="0" w:color="auto"/>
            </w:tcBorders>
          </w:tcPr>
          <w:p w14:paraId="7D3D5163" w14:textId="4E906ED6" w:rsidR="004A4CFD" w:rsidRPr="0004264F" w:rsidRDefault="004A4CFD" w:rsidP="004A4CFD">
            <w:pPr>
              <w:jc w:val="center"/>
              <w:rPr>
                <w:rFonts w:cstheme="majorBidi"/>
                <w:sz w:val="18"/>
                <w:szCs w:val="18"/>
              </w:rPr>
            </w:pPr>
            <w:r w:rsidRPr="0004264F">
              <w:rPr>
                <w:rFonts w:cstheme="majorBidi"/>
                <w:sz w:val="20"/>
                <w:szCs w:val="20"/>
              </w:rPr>
              <w:t>.00353**</w:t>
            </w:r>
          </w:p>
        </w:tc>
        <w:tc>
          <w:tcPr>
            <w:tcW w:w="1410" w:type="dxa"/>
            <w:tcBorders>
              <w:top w:val="single" w:sz="4" w:space="0" w:color="auto"/>
            </w:tcBorders>
          </w:tcPr>
          <w:p w14:paraId="34684172" w14:textId="15F8E016" w:rsidR="004A4CFD" w:rsidRPr="0004264F" w:rsidRDefault="004A4CFD" w:rsidP="004A4CFD">
            <w:pPr>
              <w:jc w:val="center"/>
              <w:rPr>
                <w:rFonts w:cstheme="majorBidi"/>
                <w:sz w:val="18"/>
                <w:szCs w:val="18"/>
              </w:rPr>
            </w:pPr>
            <w:r w:rsidRPr="0004264F">
              <w:rPr>
                <w:rFonts w:cstheme="majorBidi"/>
                <w:sz w:val="20"/>
                <w:szCs w:val="20"/>
              </w:rPr>
              <w:t>.004***</w:t>
            </w:r>
          </w:p>
        </w:tc>
        <w:tc>
          <w:tcPr>
            <w:tcW w:w="1704" w:type="dxa"/>
            <w:tcBorders>
              <w:top w:val="single" w:sz="4" w:space="0" w:color="auto"/>
            </w:tcBorders>
          </w:tcPr>
          <w:p w14:paraId="1EA37D45" w14:textId="07B96564" w:rsidR="004A4CFD" w:rsidRPr="0004264F" w:rsidRDefault="004A4CFD" w:rsidP="004A4CFD">
            <w:pPr>
              <w:jc w:val="center"/>
              <w:rPr>
                <w:rFonts w:cstheme="majorBidi"/>
                <w:sz w:val="18"/>
                <w:szCs w:val="18"/>
              </w:rPr>
            </w:pPr>
            <w:r w:rsidRPr="0004264F">
              <w:rPr>
                <w:rFonts w:cstheme="majorBidi"/>
                <w:sz w:val="20"/>
                <w:szCs w:val="20"/>
              </w:rPr>
              <w:t>27.07686***</w:t>
            </w:r>
          </w:p>
        </w:tc>
        <w:tc>
          <w:tcPr>
            <w:tcW w:w="1704" w:type="dxa"/>
            <w:tcBorders>
              <w:top w:val="single" w:sz="4" w:space="0" w:color="auto"/>
            </w:tcBorders>
          </w:tcPr>
          <w:p w14:paraId="01098528" w14:textId="6E73660C" w:rsidR="004A4CFD" w:rsidRPr="0004264F" w:rsidRDefault="004A4CFD" w:rsidP="004A4CFD">
            <w:pPr>
              <w:jc w:val="center"/>
              <w:rPr>
                <w:rFonts w:cstheme="majorBidi"/>
                <w:sz w:val="18"/>
                <w:szCs w:val="18"/>
              </w:rPr>
            </w:pPr>
            <w:r w:rsidRPr="0004264F">
              <w:rPr>
                <w:rFonts w:cstheme="majorBidi"/>
                <w:sz w:val="20"/>
                <w:szCs w:val="20"/>
              </w:rPr>
              <w:t>30.1783***</w:t>
            </w:r>
          </w:p>
        </w:tc>
        <w:tc>
          <w:tcPr>
            <w:tcW w:w="1178" w:type="dxa"/>
            <w:tcBorders>
              <w:top w:val="single" w:sz="4" w:space="0" w:color="auto"/>
            </w:tcBorders>
          </w:tcPr>
          <w:p w14:paraId="6545EEC6" w14:textId="5C1EC774" w:rsidR="004A4CFD" w:rsidRPr="0004264F" w:rsidRDefault="004A4CFD" w:rsidP="004A4CFD">
            <w:pPr>
              <w:jc w:val="center"/>
              <w:rPr>
                <w:rFonts w:cstheme="majorBidi"/>
                <w:sz w:val="18"/>
                <w:szCs w:val="18"/>
              </w:rPr>
            </w:pPr>
            <w:r w:rsidRPr="0004264F">
              <w:rPr>
                <w:rFonts w:cstheme="majorBidi"/>
                <w:sz w:val="20"/>
                <w:szCs w:val="20"/>
              </w:rPr>
              <w:t>.17735*</w:t>
            </w:r>
          </w:p>
        </w:tc>
        <w:tc>
          <w:tcPr>
            <w:tcW w:w="1178" w:type="dxa"/>
            <w:tcBorders>
              <w:top w:val="single" w:sz="4" w:space="0" w:color="auto"/>
            </w:tcBorders>
          </w:tcPr>
          <w:p w14:paraId="46E61851" w14:textId="23D698F7" w:rsidR="004A4CFD" w:rsidRPr="0004264F" w:rsidRDefault="004A4CFD" w:rsidP="004A4CFD">
            <w:pPr>
              <w:jc w:val="center"/>
              <w:rPr>
                <w:rFonts w:cstheme="majorBidi"/>
                <w:sz w:val="18"/>
                <w:szCs w:val="18"/>
              </w:rPr>
            </w:pPr>
            <w:r w:rsidRPr="0004264F">
              <w:rPr>
                <w:rFonts w:cstheme="majorBidi"/>
                <w:sz w:val="20"/>
                <w:szCs w:val="20"/>
              </w:rPr>
              <w:t>.06397*</w:t>
            </w:r>
          </w:p>
        </w:tc>
        <w:tc>
          <w:tcPr>
            <w:tcW w:w="1274" w:type="dxa"/>
            <w:tcBorders>
              <w:top w:val="single" w:sz="4" w:space="0" w:color="auto"/>
            </w:tcBorders>
          </w:tcPr>
          <w:p w14:paraId="043FC06F" w14:textId="7AB6FDD0" w:rsidR="004A4CFD" w:rsidRPr="0004264F" w:rsidRDefault="004A4CFD" w:rsidP="004A4CFD">
            <w:pPr>
              <w:jc w:val="center"/>
              <w:rPr>
                <w:rFonts w:cstheme="majorBidi"/>
                <w:sz w:val="18"/>
                <w:szCs w:val="18"/>
              </w:rPr>
            </w:pPr>
            <w:r w:rsidRPr="0004264F">
              <w:rPr>
                <w:rFonts w:cstheme="majorBidi"/>
                <w:sz w:val="20"/>
                <w:szCs w:val="20"/>
              </w:rPr>
              <w:t>.16832**</w:t>
            </w:r>
          </w:p>
        </w:tc>
      </w:tr>
      <w:tr w:rsidR="004A4CFD" w:rsidRPr="0004264F" w14:paraId="76A7B6F6" w14:textId="77777777" w:rsidTr="00C31B00">
        <w:trPr>
          <w:trHeight w:val="183"/>
          <w:jc w:val="center"/>
        </w:trPr>
        <w:tc>
          <w:tcPr>
            <w:tcW w:w="1728" w:type="dxa"/>
            <w:vMerge/>
            <w:vAlign w:val="center"/>
          </w:tcPr>
          <w:p w14:paraId="7564B4F8" w14:textId="77777777" w:rsidR="004A4CFD" w:rsidRPr="0004264F" w:rsidRDefault="004A4CFD" w:rsidP="004A4CFD">
            <w:pPr>
              <w:rPr>
                <w:rFonts w:cstheme="majorBidi"/>
                <w:sz w:val="18"/>
                <w:szCs w:val="18"/>
              </w:rPr>
            </w:pPr>
          </w:p>
        </w:tc>
        <w:tc>
          <w:tcPr>
            <w:tcW w:w="1195" w:type="dxa"/>
          </w:tcPr>
          <w:p w14:paraId="337F9424" w14:textId="59341CB5" w:rsidR="004A4CFD" w:rsidRPr="0004264F" w:rsidRDefault="004A4CFD" w:rsidP="004A4CFD">
            <w:pPr>
              <w:jc w:val="center"/>
              <w:rPr>
                <w:rFonts w:cstheme="majorBidi"/>
                <w:sz w:val="18"/>
                <w:szCs w:val="18"/>
              </w:rPr>
            </w:pPr>
            <w:r w:rsidRPr="0004264F">
              <w:rPr>
                <w:rFonts w:cstheme="majorBidi"/>
                <w:sz w:val="20"/>
                <w:szCs w:val="20"/>
              </w:rPr>
              <w:t>(.01797)</w:t>
            </w:r>
          </w:p>
        </w:tc>
        <w:tc>
          <w:tcPr>
            <w:tcW w:w="1410" w:type="dxa"/>
          </w:tcPr>
          <w:p w14:paraId="40630145" w14:textId="3F3E273E" w:rsidR="004A4CFD" w:rsidRPr="0004264F" w:rsidRDefault="004A4CFD" w:rsidP="004A4CFD">
            <w:pPr>
              <w:jc w:val="center"/>
              <w:rPr>
                <w:rFonts w:cstheme="majorBidi"/>
                <w:sz w:val="18"/>
                <w:szCs w:val="18"/>
              </w:rPr>
            </w:pPr>
            <w:r w:rsidRPr="0004264F">
              <w:rPr>
                <w:rFonts w:cstheme="majorBidi"/>
                <w:sz w:val="20"/>
                <w:szCs w:val="20"/>
              </w:rPr>
              <w:t>(.00148)</w:t>
            </w:r>
          </w:p>
        </w:tc>
        <w:tc>
          <w:tcPr>
            <w:tcW w:w="1410" w:type="dxa"/>
          </w:tcPr>
          <w:p w14:paraId="313485E4" w14:textId="4E74470B" w:rsidR="004A4CFD" w:rsidRPr="0004264F" w:rsidRDefault="004A4CFD" w:rsidP="004A4CFD">
            <w:pPr>
              <w:jc w:val="center"/>
              <w:rPr>
                <w:rFonts w:cstheme="majorBidi"/>
                <w:sz w:val="18"/>
                <w:szCs w:val="18"/>
              </w:rPr>
            </w:pPr>
            <w:r w:rsidRPr="0004264F">
              <w:rPr>
                <w:rFonts w:cstheme="majorBidi"/>
                <w:sz w:val="20"/>
                <w:szCs w:val="20"/>
              </w:rPr>
              <w:t>(.00149)</w:t>
            </w:r>
          </w:p>
        </w:tc>
        <w:tc>
          <w:tcPr>
            <w:tcW w:w="1410" w:type="dxa"/>
          </w:tcPr>
          <w:p w14:paraId="47013CCA" w14:textId="5DD662D0" w:rsidR="004A4CFD" w:rsidRPr="0004264F" w:rsidRDefault="004A4CFD" w:rsidP="004A4CFD">
            <w:pPr>
              <w:jc w:val="center"/>
              <w:rPr>
                <w:rFonts w:cstheme="majorBidi"/>
                <w:sz w:val="18"/>
                <w:szCs w:val="18"/>
              </w:rPr>
            </w:pPr>
            <w:r w:rsidRPr="0004264F">
              <w:rPr>
                <w:rFonts w:cstheme="majorBidi"/>
                <w:sz w:val="20"/>
                <w:szCs w:val="20"/>
              </w:rPr>
              <w:t>(.00144)</w:t>
            </w:r>
          </w:p>
        </w:tc>
        <w:tc>
          <w:tcPr>
            <w:tcW w:w="1410" w:type="dxa"/>
          </w:tcPr>
          <w:p w14:paraId="1585FDBB" w14:textId="04999C09" w:rsidR="004A4CFD" w:rsidRPr="0004264F" w:rsidRDefault="004A4CFD" w:rsidP="004A4CFD">
            <w:pPr>
              <w:jc w:val="center"/>
              <w:rPr>
                <w:rFonts w:cstheme="majorBidi"/>
                <w:sz w:val="18"/>
                <w:szCs w:val="18"/>
              </w:rPr>
            </w:pPr>
            <w:r w:rsidRPr="0004264F">
              <w:rPr>
                <w:rFonts w:cstheme="majorBidi"/>
                <w:sz w:val="20"/>
                <w:szCs w:val="20"/>
              </w:rPr>
              <w:t>(.00146)</w:t>
            </w:r>
          </w:p>
        </w:tc>
        <w:tc>
          <w:tcPr>
            <w:tcW w:w="1704" w:type="dxa"/>
          </w:tcPr>
          <w:p w14:paraId="5063BB6F" w14:textId="1403A9EA" w:rsidR="004A4CFD" w:rsidRPr="0004264F" w:rsidRDefault="004A4CFD" w:rsidP="004A4CFD">
            <w:pPr>
              <w:jc w:val="center"/>
              <w:rPr>
                <w:rFonts w:cstheme="majorBidi"/>
                <w:sz w:val="18"/>
                <w:szCs w:val="18"/>
              </w:rPr>
            </w:pPr>
            <w:r w:rsidRPr="0004264F">
              <w:rPr>
                <w:rFonts w:cstheme="majorBidi"/>
                <w:sz w:val="20"/>
                <w:szCs w:val="20"/>
              </w:rPr>
              <w:t>(6.77593)</w:t>
            </w:r>
          </w:p>
        </w:tc>
        <w:tc>
          <w:tcPr>
            <w:tcW w:w="1704" w:type="dxa"/>
          </w:tcPr>
          <w:p w14:paraId="1D1A7CA0" w14:textId="6B9A22AA" w:rsidR="004A4CFD" w:rsidRPr="0004264F" w:rsidRDefault="004A4CFD" w:rsidP="004A4CFD">
            <w:pPr>
              <w:jc w:val="center"/>
              <w:rPr>
                <w:rFonts w:cstheme="majorBidi"/>
                <w:sz w:val="18"/>
                <w:szCs w:val="18"/>
              </w:rPr>
            </w:pPr>
            <w:r w:rsidRPr="0004264F">
              <w:rPr>
                <w:rFonts w:cstheme="majorBidi"/>
                <w:sz w:val="20"/>
                <w:szCs w:val="20"/>
              </w:rPr>
              <w:t>(8.75529)</w:t>
            </w:r>
          </w:p>
        </w:tc>
        <w:tc>
          <w:tcPr>
            <w:tcW w:w="1178" w:type="dxa"/>
          </w:tcPr>
          <w:p w14:paraId="1C2BBDCD" w14:textId="1330B77E" w:rsidR="004A4CFD" w:rsidRPr="0004264F" w:rsidRDefault="004A4CFD" w:rsidP="004A4CFD">
            <w:pPr>
              <w:jc w:val="center"/>
              <w:rPr>
                <w:rFonts w:cstheme="majorBidi"/>
                <w:sz w:val="18"/>
                <w:szCs w:val="18"/>
              </w:rPr>
            </w:pPr>
            <w:r w:rsidRPr="0004264F">
              <w:rPr>
                <w:rFonts w:cstheme="majorBidi"/>
                <w:sz w:val="20"/>
                <w:szCs w:val="20"/>
              </w:rPr>
              <w:t>(.09199)</w:t>
            </w:r>
          </w:p>
        </w:tc>
        <w:tc>
          <w:tcPr>
            <w:tcW w:w="1178" w:type="dxa"/>
          </w:tcPr>
          <w:p w14:paraId="551D1360" w14:textId="4EFC0742" w:rsidR="004A4CFD" w:rsidRPr="0004264F" w:rsidRDefault="004A4CFD" w:rsidP="004A4CFD">
            <w:pPr>
              <w:jc w:val="center"/>
              <w:rPr>
                <w:rFonts w:cstheme="majorBidi"/>
                <w:sz w:val="18"/>
                <w:szCs w:val="18"/>
              </w:rPr>
            </w:pPr>
            <w:r w:rsidRPr="0004264F">
              <w:rPr>
                <w:rFonts w:cstheme="majorBidi"/>
                <w:sz w:val="20"/>
                <w:szCs w:val="20"/>
              </w:rPr>
              <w:t>(.0357)</w:t>
            </w:r>
          </w:p>
        </w:tc>
        <w:tc>
          <w:tcPr>
            <w:tcW w:w="1274" w:type="dxa"/>
          </w:tcPr>
          <w:p w14:paraId="577D22AA" w14:textId="35AF4871" w:rsidR="004A4CFD" w:rsidRPr="0004264F" w:rsidRDefault="004A4CFD" w:rsidP="004A4CFD">
            <w:pPr>
              <w:jc w:val="center"/>
              <w:rPr>
                <w:rFonts w:cstheme="majorBidi"/>
                <w:sz w:val="18"/>
                <w:szCs w:val="18"/>
              </w:rPr>
            </w:pPr>
            <w:r w:rsidRPr="0004264F">
              <w:rPr>
                <w:rFonts w:cstheme="majorBidi"/>
                <w:sz w:val="20"/>
                <w:szCs w:val="20"/>
              </w:rPr>
              <w:t>(.07794)</w:t>
            </w:r>
          </w:p>
        </w:tc>
      </w:tr>
      <w:tr w:rsidR="004A4CFD" w:rsidRPr="0004264F" w14:paraId="422BA7F8" w14:textId="77777777" w:rsidTr="00C31B00">
        <w:trPr>
          <w:trHeight w:val="183"/>
          <w:jc w:val="center"/>
        </w:trPr>
        <w:tc>
          <w:tcPr>
            <w:tcW w:w="1728" w:type="dxa"/>
            <w:vAlign w:val="center"/>
          </w:tcPr>
          <w:p w14:paraId="1B22E817" w14:textId="332AB4DE" w:rsidR="004A4CFD" w:rsidRPr="0004264F" w:rsidRDefault="004A4CFD" w:rsidP="004A4CFD">
            <w:pPr>
              <w:rPr>
                <w:rFonts w:cstheme="majorBidi"/>
                <w:sz w:val="18"/>
                <w:szCs w:val="18"/>
              </w:rPr>
            </w:pPr>
            <w:r w:rsidRPr="0004264F">
              <w:rPr>
                <w:rFonts w:cstheme="majorBidi"/>
                <w:sz w:val="18"/>
                <w:szCs w:val="18"/>
              </w:rPr>
              <w:t>Observations</w:t>
            </w:r>
          </w:p>
        </w:tc>
        <w:tc>
          <w:tcPr>
            <w:tcW w:w="1195" w:type="dxa"/>
          </w:tcPr>
          <w:p w14:paraId="252E836A" w14:textId="207AEC3F" w:rsidR="004A4CFD" w:rsidRPr="0004264F" w:rsidRDefault="004A4CFD" w:rsidP="004A4CFD">
            <w:pPr>
              <w:jc w:val="center"/>
              <w:rPr>
                <w:rFonts w:cstheme="majorBidi"/>
                <w:sz w:val="18"/>
                <w:szCs w:val="18"/>
              </w:rPr>
            </w:pPr>
            <w:r w:rsidRPr="0004264F">
              <w:rPr>
                <w:rFonts w:cstheme="majorBidi"/>
                <w:sz w:val="20"/>
                <w:szCs w:val="20"/>
              </w:rPr>
              <w:t>310975</w:t>
            </w:r>
          </w:p>
        </w:tc>
        <w:tc>
          <w:tcPr>
            <w:tcW w:w="1410" w:type="dxa"/>
          </w:tcPr>
          <w:p w14:paraId="047430CF" w14:textId="26C5F485" w:rsidR="004A4CFD" w:rsidRPr="0004264F" w:rsidRDefault="004A4CFD" w:rsidP="004A4CFD">
            <w:pPr>
              <w:jc w:val="center"/>
              <w:rPr>
                <w:rFonts w:cstheme="majorBidi"/>
                <w:sz w:val="18"/>
                <w:szCs w:val="18"/>
              </w:rPr>
            </w:pPr>
            <w:r w:rsidRPr="0004264F">
              <w:rPr>
                <w:rFonts w:cstheme="majorBidi"/>
                <w:sz w:val="20"/>
                <w:szCs w:val="20"/>
              </w:rPr>
              <w:t>310975</w:t>
            </w:r>
          </w:p>
        </w:tc>
        <w:tc>
          <w:tcPr>
            <w:tcW w:w="1410" w:type="dxa"/>
          </w:tcPr>
          <w:p w14:paraId="78812A9F" w14:textId="13425EAC" w:rsidR="004A4CFD" w:rsidRPr="0004264F" w:rsidRDefault="004A4CFD" w:rsidP="004A4CFD">
            <w:pPr>
              <w:jc w:val="center"/>
              <w:rPr>
                <w:rFonts w:cstheme="majorBidi"/>
                <w:sz w:val="18"/>
                <w:szCs w:val="18"/>
              </w:rPr>
            </w:pPr>
            <w:r w:rsidRPr="0004264F">
              <w:rPr>
                <w:rFonts w:cstheme="majorBidi"/>
                <w:sz w:val="20"/>
                <w:szCs w:val="20"/>
              </w:rPr>
              <w:t>310975</w:t>
            </w:r>
          </w:p>
        </w:tc>
        <w:tc>
          <w:tcPr>
            <w:tcW w:w="1410" w:type="dxa"/>
          </w:tcPr>
          <w:p w14:paraId="0E4D0329" w14:textId="7436A37B" w:rsidR="004A4CFD" w:rsidRPr="0004264F" w:rsidRDefault="004A4CFD" w:rsidP="004A4CFD">
            <w:pPr>
              <w:jc w:val="center"/>
              <w:rPr>
                <w:rFonts w:cstheme="majorBidi"/>
                <w:sz w:val="18"/>
                <w:szCs w:val="18"/>
              </w:rPr>
            </w:pPr>
            <w:r w:rsidRPr="0004264F">
              <w:rPr>
                <w:rFonts w:cstheme="majorBidi"/>
                <w:sz w:val="20"/>
                <w:szCs w:val="20"/>
              </w:rPr>
              <w:t>310975</w:t>
            </w:r>
          </w:p>
        </w:tc>
        <w:tc>
          <w:tcPr>
            <w:tcW w:w="1410" w:type="dxa"/>
          </w:tcPr>
          <w:p w14:paraId="3B7EF6DD" w14:textId="6F2A8BF5" w:rsidR="004A4CFD" w:rsidRPr="0004264F" w:rsidRDefault="004A4CFD" w:rsidP="004A4CFD">
            <w:pPr>
              <w:jc w:val="center"/>
              <w:rPr>
                <w:rFonts w:cstheme="majorBidi"/>
                <w:sz w:val="18"/>
                <w:szCs w:val="18"/>
              </w:rPr>
            </w:pPr>
            <w:r w:rsidRPr="0004264F">
              <w:rPr>
                <w:rFonts w:cstheme="majorBidi"/>
                <w:sz w:val="20"/>
                <w:szCs w:val="20"/>
              </w:rPr>
              <w:t>310975</w:t>
            </w:r>
          </w:p>
        </w:tc>
        <w:tc>
          <w:tcPr>
            <w:tcW w:w="1704" w:type="dxa"/>
          </w:tcPr>
          <w:p w14:paraId="10D15441" w14:textId="4E4833F5" w:rsidR="004A4CFD" w:rsidRPr="0004264F" w:rsidRDefault="004A4CFD" w:rsidP="004A4CFD">
            <w:pPr>
              <w:jc w:val="center"/>
              <w:rPr>
                <w:rFonts w:cstheme="majorBidi"/>
                <w:sz w:val="18"/>
                <w:szCs w:val="18"/>
              </w:rPr>
            </w:pPr>
            <w:r w:rsidRPr="0004264F">
              <w:rPr>
                <w:rFonts w:cstheme="majorBidi"/>
                <w:sz w:val="20"/>
                <w:szCs w:val="20"/>
              </w:rPr>
              <w:t>310975</w:t>
            </w:r>
          </w:p>
        </w:tc>
        <w:tc>
          <w:tcPr>
            <w:tcW w:w="1704" w:type="dxa"/>
          </w:tcPr>
          <w:p w14:paraId="4999FE88" w14:textId="42FE24E1" w:rsidR="004A4CFD" w:rsidRPr="0004264F" w:rsidRDefault="004A4CFD" w:rsidP="004A4CFD">
            <w:pPr>
              <w:jc w:val="center"/>
              <w:rPr>
                <w:rFonts w:cstheme="majorBidi"/>
                <w:sz w:val="18"/>
                <w:szCs w:val="18"/>
              </w:rPr>
            </w:pPr>
            <w:r w:rsidRPr="0004264F">
              <w:rPr>
                <w:rFonts w:cstheme="majorBidi"/>
                <w:sz w:val="20"/>
                <w:szCs w:val="20"/>
              </w:rPr>
              <w:t>310975</w:t>
            </w:r>
          </w:p>
        </w:tc>
        <w:tc>
          <w:tcPr>
            <w:tcW w:w="1178" w:type="dxa"/>
          </w:tcPr>
          <w:p w14:paraId="33C674BC" w14:textId="2AD9B4A4" w:rsidR="004A4CFD" w:rsidRPr="0004264F" w:rsidRDefault="004A4CFD" w:rsidP="004A4CFD">
            <w:pPr>
              <w:jc w:val="center"/>
              <w:rPr>
                <w:rFonts w:cstheme="majorBidi"/>
                <w:sz w:val="18"/>
                <w:szCs w:val="18"/>
              </w:rPr>
            </w:pPr>
            <w:r w:rsidRPr="0004264F">
              <w:rPr>
                <w:rFonts w:cstheme="majorBidi"/>
                <w:sz w:val="20"/>
                <w:szCs w:val="20"/>
              </w:rPr>
              <w:t>269899</w:t>
            </w:r>
          </w:p>
        </w:tc>
        <w:tc>
          <w:tcPr>
            <w:tcW w:w="1178" w:type="dxa"/>
          </w:tcPr>
          <w:p w14:paraId="5F791528" w14:textId="7CF3B671" w:rsidR="004A4CFD" w:rsidRPr="0004264F" w:rsidRDefault="004A4CFD" w:rsidP="004A4CFD">
            <w:pPr>
              <w:jc w:val="center"/>
              <w:rPr>
                <w:rFonts w:cstheme="majorBidi"/>
                <w:sz w:val="18"/>
                <w:szCs w:val="18"/>
              </w:rPr>
            </w:pPr>
            <w:r w:rsidRPr="0004264F">
              <w:rPr>
                <w:rFonts w:cstheme="majorBidi"/>
                <w:sz w:val="20"/>
                <w:szCs w:val="20"/>
              </w:rPr>
              <w:t>268676</w:t>
            </w:r>
          </w:p>
        </w:tc>
        <w:tc>
          <w:tcPr>
            <w:tcW w:w="1274" w:type="dxa"/>
          </w:tcPr>
          <w:p w14:paraId="432D7699" w14:textId="2CAAF61A" w:rsidR="004A4CFD" w:rsidRPr="0004264F" w:rsidRDefault="004A4CFD" w:rsidP="004A4CFD">
            <w:pPr>
              <w:jc w:val="center"/>
              <w:rPr>
                <w:rFonts w:cstheme="majorBidi"/>
                <w:sz w:val="18"/>
                <w:szCs w:val="18"/>
              </w:rPr>
            </w:pPr>
            <w:r w:rsidRPr="0004264F">
              <w:rPr>
                <w:rFonts w:cstheme="majorBidi"/>
                <w:sz w:val="20"/>
                <w:szCs w:val="20"/>
              </w:rPr>
              <w:t>268631</w:t>
            </w:r>
          </w:p>
        </w:tc>
      </w:tr>
      <w:tr w:rsidR="004A4CFD" w:rsidRPr="0004264F" w14:paraId="25B1CE9B" w14:textId="77777777" w:rsidTr="00C31B00">
        <w:trPr>
          <w:trHeight w:val="183"/>
          <w:jc w:val="center"/>
        </w:trPr>
        <w:tc>
          <w:tcPr>
            <w:tcW w:w="1728" w:type="dxa"/>
            <w:vAlign w:val="center"/>
          </w:tcPr>
          <w:p w14:paraId="1FD7AD83" w14:textId="08698903" w:rsidR="004A4CFD" w:rsidRPr="0004264F" w:rsidRDefault="004A4CFD" w:rsidP="004A4CFD">
            <w:pPr>
              <w:rPr>
                <w:rFonts w:cstheme="majorBidi"/>
                <w:sz w:val="18"/>
                <w:szCs w:val="18"/>
              </w:rPr>
            </w:pPr>
            <w:r w:rsidRPr="0004264F">
              <w:rPr>
                <w:rFonts w:cstheme="majorBidi"/>
                <w:sz w:val="18"/>
                <w:szCs w:val="18"/>
              </w:rPr>
              <w:t>R-squared</w:t>
            </w:r>
          </w:p>
        </w:tc>
        <w:tc>
          <w:tcPr>
            <w:tcW w:w="1195" w:type="dxa"/>
          </w:tcPr>
          <w:p w14:paraId="30283AF4" w14:textId="35B01066" w:rsidR="004A4CFD" w:rsidRPr="0004264F" w:rsidRDefault="004A4CFD" w:rsidP="004A4CFD">
            <w:pPr>
              <w:jc w:val="center"/>
              <w:rPr>
                <w:rFonts w:cstheme="majorBidi"/>
                <w:sz w:val="18"/>
                <w:szCs w:val="18"/>
              </w:rPr>
            </w:pPr>
            <w:r w:rsidRPr="0004264F">
              <w:rPr>
                <w:rFonts w:cstheme="majorBidi"/>
                <w:sz w:val="20"/>
                <w:szCs w:val="20"/>
              </w:rPr>
              <w:t>.12647</w:t>
            </w:r>
          </w:p>
        </w:tc>
        <w:tc>
          <w:tcPr>
            <w:tcW w:w="1410" w:type="dxa"/>
          </w:tcPr>
          <w:p w14:paraId="126A7D9B" w14:textId="3E71E170" w:rsidR="004A4CFD" w:rsidRPr="0004264F" w:rsidRDefault="004A4CFD" w:rsidP="004A4CFD">
            <w:pPr>
              <w:jc w:val="center"/>
              <w:rPr>
                <w:rFonts w:cstheme="majorBidi"/>
                <w:sz w:val="18"/>
                <w:szCs w:val="18"/>
              </w:rPr>
            </w:pPr>
            <w:r w:rsidRPr="0004264F">
              <w:rPr>
                <w:rFonts w:cstheme="majorBidi"/>
                <w:sz w:val="20"/>
                <w:szCs w:val="20"/>
              </w:rPr>
              <w:t>.04356</w:t>
            </w:r>
          </w:p>
        </w:tc>
        <w:tc>
          <w:tcPr>
            <w:tcW w:w="1410" w:type="dxa"/>
          </w:tcPr>
          <w:p w14:paraId="1A616A6B" w14:textId="31E24AFF" w:rsidR="004A4CFD" w:rsidRPr="0004264F" w:rsidRDefault="004A4CFD" w:rsidP="004A4CFD">
            <w:pPr>
              <w:jc w:val="center"/>
              <w:rPr>
                <w:rFonts w:cstheme="majorBidi"/>
                <w:sz w:val="18"/>
                <w:szCs w:val="18"/>
              </w:rPr>
            </w:pPr>
            <w:r w:rsidRPr="0004264F">
              <w:rPr>
                <w:rFonts w:cstheme="majorBidi"/>
                <w:sz w:val="20"/>
                <w:szCs w:val="20"/>
              </w:rPr>
              <w:t>.03782</w:t>
            </w:r>
          </w:p>
        </w:tc>
        <w:tc>
          <w:tcPr>
            <w:tcW w:w="1410" w:type="dxa"/>
          </w:tcPr>
          <w:p w14:paraId="263C4CCF" w14:textId="5163F326" w:rsidR="004A4CFD" w:rsidRPr="0004264F" w:rsidRDefault="004A4CFD" w:rsidP="004A4CFD">
            <w:pPr>
              <w:jc w:val="center"/>
              <w:rPr>
                <w:rFonts w:cstheme="majorBidi"/>
                <w:sz w:val="18"/>
                <w:szCs w:val="18"/>
              </w:rPr>
            </w:pPr>
            <w:r w:rsidRPr="0004264F">
              <w:rPr>
                <w:rFonts w:cstheme="majorBidi"/>
                <w:sz w:val="20"/>
                <w:szCs w:val="20"/>
              </w:rPr>
              <w:t>.03092</w:t>
            </w:r>
          </w:p>
        </w:tc>
        <w:tc>
          <w:tcPr>
            <w:tcW w:w="1410" w:type="dxa"/>
          </w:tcPr>
          <w:p w14:paraId="725B750B" w14:textId="0273E2D5" w:rsidR="004A4CFD" w:rsidRPr="0004264F" w:rsidRDefault="004A4CFD" w:rsidP="004A4CFD">
            <w:pPr>
              <w:jc w:val="center"/>
              <w:rPr>
                <w:rFonts w:cstheme="majorBidi"/>
                <w:sz w:val="18"/>
                <w:szCs w:val="18"/>
              </w:rPr>
            </w:pPr>
            <w:r w:rsidRPr="0004264F">
              <w:rPr>
                <w:rFonts w:cstheme="majorBidi"/>
                <w:sz w:val="20"/>
                <w:szCs w:val="20"/>
              </w:rPr>
              <w:t>.02832</w:t>
            </w:r>
          </w:p>
        </w:tc>
        <w:tc>
          <w:tcPr>
            <w:tcW w:w="1704" w:type="dxa"/>
          </w:tcPr>
          <w:p w14:paraId="39A60AA7" w14:textId="32D1B9AE" w:rsidR="004A4CFD" w:rsidRPr="0004264F" w:rsidRDefault="004A4CFD" w:rsidP="004A4CFD">
            <w:pPr>
              <w:jc w:val="center"/>
              <w:rPr>
                <w:rFonts w:cstheme="majorBidi"/>
                <w:sz w:val="18"/>
                <w:szCs w:val="18"/>
              </w:rPr>
            </w:pPr>
            <w:r w:rsidRPr="0004264F">
              <w:rPr>
                <w:rFonts w:cstheme="majorBidi"/>
                <w:sz w:val="20"/>
                <w:szCs w:val="20"/>
              </w:rPr>
              <w:t>.39537</w:t>
            </w:r>
          </w:p>
        </w:tc>
        <w:tc>
          <w:tcPr>
            <w:tcW w:w="1704" w:type="dxa"/>
          </w:tcPr>
          <w:p w14:paraId="31F372A0" w14:textId="32CD19D0" w:rsidR="004A4CFD" w:rsidRPr="0004264F" w:rsidRDefault="004A4CFD" w:rsidP="004A4CFD">
            <w:pPr>
              <w:jc w:val="center"/>
              <w:rPr>
                <w:rFonts w:cstheme="majorBidi"/>
                <w:sz w:val="18"/>
                <w:szCs w:val="18"/>
              </w:rPr>
            </w:pPr>
            <w:r w:rsidRPr="0004264F">
              <w:rPr>
                <w:rFonts w:cstheme="majorBidi"/>
                <w:sz w:val="20"/>
                <w:szCs w:val="20"/>
              </w:rPr>
              <w:t>.43729</w:t>
            </w:r>
          </w:p>
        </w:tc>
        <w:tc>
          <w:tcPr>
            <w:tcW w:w="1178" w:type="dxa"/>
          </w:tcPr>
          <w:p w14:paraId="63812250" w14:textId="016403A1" w:rsidR="004A4CFD" w:rsidRPr="0004264F" w:rsidRDefault="004A4CFD" w:rsidP="004A4CFD">
            <w:pPr>
              <w:jc w:val="center"/>
              <w:rPr>
                <w:rFonts w:cstheme="majorBidi"/>
                <w:sz w:val="18"/>
                <w:szCs w:val="18"/>
              </w:rPr>
            </w:pPr>
            <w:r w:rsidRPr="0004264F">
              <w:rPr>
                <w:rFonts w:cstheme="majorBidi"/>
                <w:sz w:val="20"/>
                <w:szCs w:val="20"/>
              </w:rPr>
              <w:t>.12008</w:t>
            </w:r>
          </w:p>
        </w:tc>
        <w:tc>
          <w:tcPr>
            <w:tcW w:w="1178" w:type="dxa"/>
          </w:tcPr>
          <w:p w14:paraId="6C0E4E1F" w14:textId="74EBDA67" w:rsidR="004A4CFD" w:rsidRPr="0004264F" w:rsidRDefault="004A4CFD" w:rsidP="004A4CFD">
            <w:pPr>
              <w:jc w:val="center"/>
              <w:rPr>
                <w:rFonts w:cstheme="majorBidi"/>
                <w:sz w:val="18"/>
                <w:szCs w:val="18"/>
              </w:rPr>
            </w:pPr>
            <w:r w:rsidRPr="0004264F">
              <w:rPr>
                <w:rFonts w:cstheme="majorBidi"/>
                <w:sz w:val="20"/>
                <w:szCs w:val="20"/>
              </w:rPr>
              <w:t>.09413</w:t>
            </w:r>
          </w:p>
        </w:tc>
        <w:tc>
          <w:tcPr>
            <w:tcW w:w="1274" w:type="dxa"/>
          </w:tcPr>
          <w:p w14:paraId="7BD7ED26" w14:textId="172693FD" w:rsidR="004A4CFD" w:rsidRPr="0004264F" w:rsidRDefault="004A4CFD" w:rsidP="004A4CFD">
            <w:pPr>
              <w:jc w:val="center"/>
              <w:rPr>
                <w:rFonts w:cstheme="majorBidi"/>
                <w:sz w:val="18"/>
                <w:szCs w:val="18"/>
              </w:rPr>
            </w:pPr>
            <w:r w:rsidRPr="0004264F">
              <w:rPr>
                <w:rFonts w:cstheme="majorBidi"/>
                <w:sz w:val="20"/>
                <w:szCs w:val="20"/>
              </w:rPr>
              <w:t>.04716</w:t>
            </w:r>
          </w:p>
        </w:tc>
      </w:tr>
      <w:tr w:rsidR="004A4CFD" w:rsidRPr="0004264F" w14:paraId="28E396B5" w14:textId="77777777" w:rsidTr="00C31B00">
        <w:trPr>
          <w:trHeight w:val="183"/>
          <w:jc w:val="center"/>
        </w:trPr>
        <w:tc>
          <w:tcPr>
            <w:tcW w:w="1728" w:type="dxa"/>
            <w:vAlign w:val="center"/>
          </w:tcPr>
          <w:p w14:paraId="314FD744" w14:textId="53B9DBD4" w:rsidR="004A4CFD" w:rsidRPr="0004264F" w:rsidRDefault="004A4CFD" w:rsidP="004A4CFD">
            <w:pPr>
              <w:rPr>
                <w:rFonts w:cstheme="majorBidi"/>
                <w:sz w:val="18"/>
                <w:szCs w:val="18"/>
              </w:rPr>
            </w:pPr>
            <w:r w:rsidRPr="0004264F">
              <w:rPr>
                <w:rFonts w:cstheme="majorBidi"/>
                <w:sz w:val="18"/>
                <w:szCs w:val="18"/>
              </w:rPr>
              <w:t>Mean DV</w:t>
            </w:r>
          </w:p>
        </w:tc>
        <w:tc>
          <w:tcPr>
            <w:tcW w:w="1195" w:type="dxa"/>
          </w:tcPr>
          <w:p w14:paraId="5F022611" w14:textId="3E080596" w:rsidR="004A4CFD" w:rsidRPr="0004264F" w:rsidRDefault="004A4CFD" w:rsidP="004A4CFD">
            <w:pPr>
              <w:jc w:val="center"/>
              <w:rPr>
                <w:rFonts w:cstheme="majorBidi"/>
                <w:sz w:val="18"/>
                <w:szCs w:val="18"/>
              </w:rPr>
            </w:pPr>
            <w:r w:rsidRPr="0004264F">
              <w:rPr>
                <w:rFonts w:cstheme="majorBidi"/>
                <w:sz w:val="20"/>
                <w:szCs w:val="20"/>
              </w:rPr>
              <w:t>7.916</w:t>
            </w:r>
          </w:p>
        </w:tc>
        <w:tc>
          <w:tcPr>
            <w:tcW w:w="1410" w:type="dxa"/>
          </w:tcPr>
          <w:p w14:paraId="707B3643" w14:textId="54CB1991" w:rsidR="004A4CFD" w:rsidRPr="0004264F" w:rsidRDefault="004A4CFD" w:rsidP="004A4CFD">
            <w:pPr>
              <w:jc w:val="center"/>
              <w:rPr>
                <w:rFonts w:cstheme="majorBidi"/>
                <w:sz w:val="18"/>
                <w:szCs w:val="18"/>
              </w:rPr>
            </w:pPr>
            <w:r w:rsidRPr="0004264F">
              <w:rPr>
                <w:rFonts w:cstheme="majorBidi"/>
                <w:sz w:val="20"/>
                <w:szCs w:val="20"/>
              </w:rPr>
              <w:t>0.179</w:t>
            </w:r>
          </w:p>
        </w:tc>
        <w:tc>
          <w:tcPr>
            <w:tcW w:w="1410" w:type="dxa"/>
          </w:tcPr>
          <w:p w14:paraId="41DD8B3F" w14:textId="0EA0B3DC" w:rsidR="004A4CFD" w:rsidRPr="0004264F" w:rsidRDefault="004A4CFD" w:rsidP="004A4CFD">
            <w:pPr>
              <w:jc w:val="center"/>
              <w:rPr>
                <w:rFonts w:cstheme="majorBidi"/>
                <w:sz w:val="18"/>
                <w:szCs w:val="18"/>
              </w:rPr>
            </w:pPr>
            <w:r w:rsidRPr="0004264F">
              <w:rPr>
                <w:rFonts w:cstheme="majorBidi"/>
                <w:sz w:val="20"/>
                <w:szCs w:val="20"/>
              </w:rPr>
              <w:t>0.138</w:t>
            </w:r>
          </w:p>
        </w:tc>
        <w:tc>
          <w:tcPr>
            <w:tcW w:w="1410" w:type="dxa"/>
          </w:tcPr>
          <w:p w14:paraId="6B33C0BB" w14:textId="4620ACC7" w:rsidR="004A4CFD" w:rsidRPr="0004264F" w:rsidRDefault="004A4CFD" w:rsidP="004A4CFD">
            <w:pPr>
              <w:jc w:val="center"/>
              <w:rPr>
                <w:rFonts w:cstheme="majorBidi"/>
                <w:sz w:val="18"/>
                <w:szCs w:val="18"/>
              </w:rPr>
            </w:pPr>
            <w:r w:rsidRPr="0004264F">
              <w:rPr>
                <w:rFonts w:cstheme="majorBidi"/>
                <w:sz w:val="20"/>
                <w:szCs w:val="20"/>
              </w:rPr>
              <w:t>0.102</w:t>
            </w:r>
          </w:p>
        </w:tc>
        <w:tc>
          <w:tcPr>
            <w:tcW w:w="1410" w:type="dxa"/>
          </w:tcPr>
          <w:p w14:paraId="3B75C5C3" w14:textId="6E912E6C" w:rsidR="004A4CFD" w:rsidRPr="0004264F" w:rsidRDefault="004A4CFD" w:rsidP="004A4CFD">
            <w:pPr>
              <w:jc w:val="center"/>
              <w:rPr>
                <w:rFonts w:cstheme="majorBidi"/>
                <w:sz w:val="18"/>
                <w:szCs w:val="18"/>
              </w:rPr>
            </w:pPr>
            <w:r w:rsidRPr="0004264F">
              <w:rPr>
                <w:rFonts w:cstheme="majorBidi"/>
                <w:sz w:val="20"/>
                <w:szCs w:val="20"/>
              </w:rPr>
              <w:t>0.080</w:t>
            </w:r>
          </w:p>
        </w:tc>
        <w:tc>
          <w:tcPr>
            <w:tcW w:w="1704" w:type="dxa"/>
          </w:tcPr>
          <w:p w14:paraId="30309F2F" w14:textId="52AEE729" w:rsidR="004A4CFD" w:rsidRPr="0004264F" w:rsidRDefault="004A4CFD" w:rsidP="004A4CFD">
            <w:pPr>
              <w:jc w:val="center"/>
              <w:rPr>
                <w:rFonts w:cstheme="majorBidi"/>
                <w:sz w:val="18"/>
                <w:szCs w:val="18"/>
              </w:rPr>
            </w:pPr>
            <w:r w:rsidRPr="0004264F">
              <w:rPr>
                <w:rFonts w:cstheme="majorBidi"/>
                <w:sz w:val="20"/>
                <w:szCs w:val="20"/>
              </w:rPr>
              <w:t>1766.282</w:t>
            </w:r>
          </w:p>
        </w:tc>
        <w:tc>
          <w:tcPr>
            <w:tcW w:w="1704" w:type="dxa"/>
          </w:tcPr>
          <w:p w14:paraId="5457A3A4" w14:textId="1AE6E88A" w:rsidR="004A4CFD" w:rsidRPr="0004264F" w:rsidRDefault="004A4CFD" w:rsidP="004A4CFD">
            <w:pPr>
              <w:jc w:val="center"/>
              <w:rPr>
                <w:rFonts w:cstheme="majorBidi"/>
                <w:sz w:val="18"/>
                <w:szCs w:val="18"/>
              </w:rPr>
            </w:pPr>
            <w:r w:rsidRPr="0004264F">
              <w:rPr>
                <w:rFonts w:cstheme="majorBidi"/>
                <w:sz w:val="20"/>
                <w:szCs w:val="20"/>
              </w:rPr>
              <w:t>2032.139</w:t>
            </w:r>
          </w:p>
        </w:tc>
        <w:tc>
          <w:tcPr>
            <w:tcW w:w="1178" w:type="dxa"/>
          </w:tcPr>
          <w:p w14:paraId="412DB50D" w14:textId="2773A50A" w:rsidR="004A4CFD" w:rsidRPr="0004264F" w:rsidRDefault="004A4CFD" w:rsidP="004A4CFD">
            <w:pPr>
              <w:jc w:val="center"/>
              <w:rPr>
                <w:rFonts w:cstheme="majorBidi"/>
                <w:sz w:val="18"/>
                <w:szCs w:val="18"/>
              </w:rPr>
            </w:pPr>
            <w:r w:rsidRPr="0004264F">
              <w:rPr>
                <w:rFonts w:cstheme="majorBidi"/>
                <w:sz w:val="20"/>
                <w:szCs w:val="20"/>
              </w:rPr>
              <w:t>35.233</w:t>
            </w:r>
          </w:p>
        </w:tc>
        <w:tc>
          <w:tcPr>
            <w:tcW w:w="1178" w:type="dxa"/>
          </w:tcPr>
          <w:p w14:paraId="118791D6" w14:textId="1A8F3F3C" w:rsidR="004A4CFD" w:rsidRPr="0004264F" w:rsidRDefault="004A4CFD" w:rsidP="004A4CFD">
            <w:pPr>
              <w:jc w:val="center"/>
              <w:rPr>
                <w:rFonts w:cstheme="majorBidi"/>
                <w:sz w:val="18"/>
                <w:szCs w:val="18"/>
              </w:rPr>
            </w:pPr>
            <w:r w:rsidRPr="0004264F">
              <w:rPr>
                <w:rFonts w:cstheme="majorBidi"/>
                <w:sz w:val="20"/>
                <w:szCs w:val="20"/>
              </w:rPr>
              <w:t>36.138</w:t>
            </w:r>
          </w:p>
        </w:tc>
        <w:tc>
          <w:tcPr>
            <w:tcW w:w="1274" w:type="dxa"/>
          </w:tcPr>
          <w:p w14:paraId="18F2779E" w14:textId="0479A908" w:rsidR="004A4CFD" w:rsidRPr="0004264F" w:rsidRDefault="004A4CFD" w:rsidP="004A4CFD">
            <w:pPr>
              <w:jc w:val="center"/>
              <w:rPr>
                <w:rFonts w:cstheme="majorBidi"/>
                <w:sz w:val="18"/>
                <w:szCs w:val="18"/>
              </w:rPr>
            </w:pPr>
            <w:r w:rsidRPr="0004264F">
              <w:rPr>
                <w:rFonts w:cstheme="majorBidi"/>
                <w:sz w:val="20"/>
                <w:szCs w:val="20"/>
              </w:rPr>
              <w:t>19.104</w:t>
            </w:r>
          </w:p>
        </w:tc>
      </w:tr>
      <w:tr w:rsidR="004A4CFD" w:rsidRPr="0004264F" w14:paraId="5F8AC6B3" w14:textId="77777777" w:rsidTr="00C31B00">
        <w:trPr>
          <w:trHeight w:val="183"/>
          <w:jc w:val="center"/>
        </w:trPr>
        <w:tc>
          <w:tcPr>
            <w:tcW w:w="1728" w:type="dxa"/>
            <w:tcBorders>
              <w:bottom w:val="single" w:sz="4" w:space="0" w:color="auto"/>
            </w:tcBorders>
            <w:vAlign w:val="center"/>
          </w:tcPr>
          <w:p w14:paraId="3E195AF9" w14:textId="1C334682" w:rsidR="004A4CFD" w:rsidRPr="0004264F" w:rsidRDefault="004A4CFD" w:rsidP="004A4CFD">
            <w:pPr>
              <w:rPr>
                <w:rFonts w:cstheme="majorBidi"/>
                <w:sz w:val="18"/>
                <w:szCs w:val="18"/>
              </w:rPr>
            </w:pPr>
            <w:r w:rsidRPr="0004264F">
              <w:rPr>
                <w:rFonts w:cstheme="majorBidi"/>
                <w:sz w:val="18"/>
                <w:szCs w:val="18"/>
              </w:rPr>
              <w:t>%Change</w:t>
            </w:r>
          </w:p>
        </w:tc>
        <w:tc>
          <w:tcPr>
            <w:tcW w:w="1195" w:type="dxa"/>
            <w:tcBorders>
              <w:bottom w:val="single" w:sz="4" w:space="0" w:color="auto"/>
            </w:tcBorders>
          </w:tcPr>
          <w:p w14:paraId="6DC3C54A" w14:textId="4A564F47" w:rsidR="004A4CFD" w:rsidRPr="0004264F" w:rsidRDefault="004A4CFD" w:rsidP="004A4CFD">
            <w:pPr>
              <w:jc w:val="center"/>
              <w:rPr>
                <w:rFonts w:cstheme="majorBidi"/>
                <w:sz w:val="18"/>
                <w:szCs w:val="18"/>
              </w:rPr>
            </w:pPr>
            <w:r w:rsidRPr="0004264F">
              <w:rPr>
                <w:rFonts w:cstheme="majorBidi"/>
                <w:sz w:val="20"/>
                <w:szCs w:val="20"/>
              </w:rPr>
              <w:t>0.461</w:t>
            </w:r>
          </w:p>
        </w:tc>
        <w:tc>
          <w:tcPr>
            <w:tcW w:w="1410" w:type="dxa"/>
            <w:tcBorders>
              <w:bottom w:val="single" w:sz="4" w:space="0" w:color="auto"/>
            </w:tcBorders>
          </w:tcPr>
          <w:p w14:paraId="0A74A8FD" w14:textId="6C2C398C" w:rsidR="004A4CFD" w:rsidRPr="0004264F" w:rsidRDefault="004A4CFD" w:rsidP="004A4CFD">
            <w:pPr>
              <w:jc w:val="center"/>
              <w:rPr>
                <w:rFonts w:cstheme="majorBidi"/>
                <w:sz w:val="18"/>
                <w:szCs w:val="18"/>
              </w:rPr>
            </w:pPr>
            <w:r w:rsidRPr="0004264F">
              <w:rPr>
                <w:rFonts w:cstheme="majorBidi"/>
                <w:sz w:val="20"/>
                <w:szCs w:val="20"/>
              </w:rPr>
              <w:t xml:space="preserve"> 3.202</w:t>
            </w:r>
          </w:p>
        </w:tc>
        <w:tc>
          <w:tcPr>
            <w:tcW w:w="1410" w:type="dxa"/>
            <w:tcBorders>
              <w:bottom w:val="single" w:sz="4" w:space="0" w:color="auto"/>
            </w:tcBorders>
          </w:tcPr>
          <w:p w14:paraId="3883A430" w14:textId="77A89921" w:rsidR="004A4CFD" w:rsidRPr="0004264F" w:rsidRDefault="004A4CFD" w:rsidP="004A4CFD">
            <w:pPr>
              <w:jc w:val="center"/>
              <w:rPr>
                <w:rFonts w:cstheme="majorBidi"/>
                <w:sz w:val="18"/>
                <w:szCs w:val="18"/>
              </w:rPr>
            </w:pPr>
            <w:r w:rsidRPr="0004264F">
              <w:rPr>
                <w:rFonts w:cstheme="majorBidi"/>
                <w:sz w:val="20"/>
                <w:szCs w:val="20"/>
              </w:rPr>
              <w:t xml:space="preserve"> 3.457</w:t>
            </w:r>
          </w:p>
        </w:tc>
        <w:tc>
          <w:tcPr>
            <w:tcW w:w="1410" w:type="dxa"/>
            <w:tcBorders>
              <w:bottom w:val="single" w:sz="4" w:space="0" w:color="auto"/>
            </w:tcBorders>
          </w:tcPr>
          <w:p w14:paraId="2D3E9AB5" w14:textId="1A078F23" w:rsidR="004A4CFD" w:rsidRPr="0004264F" w:rsidRDefault="004A4CFD" w:rsidP="004A4CFD">
            <w:pPr>
              <w:jc w:val="center"/>
              <w:rPr>
                <w:rFonts w:cstheme="majorBidi"/>
                <w:sz w:val="18"/>
                <w:szCs w:val="18"/>
              </w:rPr>
            </w:pPr>
            <w:r w:rsidRPr="0004264F">
              <w:rPr>
                <w:rFonts w:cstheme="majorBidi"/>
                <w:sz w:val="20"/>
                <w:szCs w:val="20"/>
              </w:rPr>
              <w:t xml:space="preserve"> 3.456</w:t>
            </w:r>
          </w:p>
        </w:tc>
        <w:tc>
          <w:tcPr>
            <w:tcW w:w="1410" w:type="dxa"/>
            <w:tcBorders>
              <w:bottom w:val="single" w:sz="4" w:space="0" w:color="auto"/>
            </w:tcBorders>
          </w:tcPr>
          <w:p w14:paraId="55C1E05A" w14:textId="2F0AE6D7" w:rsidR="004A4CFD" w:rsidRPr="0004264F" w:rsidRDefault="004A4CFD" w:rsidP="004A4CFD">
            <w:pPr>
              <w:jc w:val="center"/>
              <w:rPr>
                <w:rFonts w:cstheme="majorBidi"/>
                <w:sz w:val="18"/>
                <w:szCs w:val="18"/>
              </w:rPr>
            </w:pPr>
            <w:r w:rsidRPr="0004264F">
              <w:rPr>
                <w:rFonts w:cstheme="majorBidi"/>
                <w:sz w:val="20"/>
                <w:szCs w:val="20"/>
              </w:rPr>
              <w:t xml:space="preserve"> 5.005</w:t>
            </w:r>
          </w:p>
        </w:tc>
        <w:tc>
          <w:tcPr>
            <w:tcW w:w="1704" w:type="dxa"/>
            <w:tcBorders>
              <w:bottom w:val="single" w:sz="4" w:space="0" w:color="auto"/>
            </w:tcBorders>
          </w:tcPr>
          <w:p w14:paraId="09C8CB4B" w14:textId="504697A0" w:rsidR="004A4CFD" w:rsidRPr="0004264F" w:rsidRDefault="004A4CFD" w:rsidP="004A4CFD">
            <w:pPr>
              <w:jc w:val="center"/>
              <w:rPr>
                <w:rFonts w:cstheme="majorBidi"/>
                <w:sz w:val="18"/>
                <w:szCs w:val="18"/>
              </w:rPr>
            </w:pPr>
            <w:r w:rsidRPr="0004264F">
              <w:rPr>
                <w:rFonts w:cstheme="majorBidi"/>
                <w:sz w:val="20"/>
                <w:szCs w:val="20"/>
              </w:rPr>
              <w:t xml:space="preserve"> 1.533</w:t>
            </w:r>
          </w:p>
        </w:tc>
        <w:tc>
          <w:tcPr>
            <w:tcW w:w="1704" w:type="dxa"/>
            <w:tcBorders>
              <w:bottom w:val="single" w:sz="4" w:space="0" w:color="auto"/>
            </w:tcBorders>
          </w:tcPr>
          <w:p w14:paraId="772BB39D" w14:textId="3F33C6F1" w:rsidR="004A4CFD" w:rsidRPr="0004264F" w:rsidRDefault="004A4CFD" w:rsidP="004A4CFD">
            <w:pPr>
              <w:jc w:val="center"/>
              <w:rPr>
                <w:rFonts w:cstheme="majorBidi"/>
                <w:sz w:val="18"/>
                <w:szCs w:val="18"/>
              </w:rPr>
            </w:pPr>
            <w:r w:rsidRPr="0004264F">
              <w:rPr>
                <w:rFonts w:cstheme="majorBidi"/>
                <w:sz w:val="20"/>
                <w:szCs w:val="20"/>
              </w:rPr>
              <w:t xml:space="preserve"> 1.485</w:t>
            </w:r>
          </w:p>
        </w:tc>
        <w:tc>
          <w:tcPr>
            <w:tcW w:w="1178" w:type="dxa"/>
            <w:tcBorders>
              <w:bottom w:val="single" w:sz="4" w:space="0" w:color="auto"/>
            </w:tcBorders>
          </w:tcPr>
          <w:p w14:paraId="62969727" w14:textId="4063E205" w:rsidR="004A4CFD" w:rsidRPr="0004264F" w:rsidRDefault="004A4CFD" w:rsidP="004A4CFD">
            <w:pPr>
              <w:jc w:val="center"/>
              <w:rPr>
                <w:rFonts w:cstheme="majorBidi"/>
                <w:sz w:val="18"/>
                <w:szCs w:val="18"/>
              </w:rPr>
            </w:pPr>
            <w:r w:rsidRPr="0004264F">
              <w:rPr>
                <w:rFonts w:cstheme="majorBidi"/>
                <w:sz w:val="20"/>
                <w:szCs w:val="20"/>
              </w:rPr>
              <w:t xml:space="preserve"> 0.503</w:t>
            </w:r>
          </w:p>
        </w:tc>
        <w:tc>
          <w:tcPr>
            <w:tcW w:w="1178" w:type="dxa"/>
            <w:tcBorders>
              <w:bottom w:val="single" w:sz="4" w:space="0" w:color="auto"/>
            </w:tcBorders>
          </w:tcPr>
          <w:p w14:paraId="46319C98" w14:textId="52E2A4D2" w:rsidR="004A4CFD" w:rsidRPr="0004264F" w:rsidRDefault="004A4CFD" w:rsidP="004A4CFD">
            <w:pPr>
              <w:jc w:val="center"/>
              <w:rPr>
                <w:rFonts w:cstheme="majorBidi"/>
                <w:sz w:val="18"/>
                <w:szCs w:val="18"/>
              </w:rPr>
            </w:pPr>
            <w:r w:rsidRPr="0004264F">
              <w:rPr>
                <w:rFonts w:cstheme="majorBidi"/>
                <w:sz w:val="20"/>
                <w:szCs w:val="20"/>
              </w:rPr>
              <w:t xml:space="preserve"> 0.177</w:t>
            </w:r>
          </w:p>
        </w:tc>
        <w:tc>
          <w:tcPr>
            <w:tcW w:w="1274" w:type="dxa"/>
            <w:tcBorders>
              <w:bottom w:val="single" w:sz="4" w:space="0" w:color="auto"/>
            </w:tcBorders>
          </w:tcPr>
          <w:p w14:paraId="78513C7F" w14:textId="5BD9DF4F" w:rsidR="004A4CFD" w:rsidRPr="0004264F" w:rsidRDefault="004A4CFD" w:rsidP="004A4CFD">
            <w:pPr>
              <w:jc w:val="center"/>
              <w:rPr>
                <w:rFonts w:cstheme="majorBidi"/>
                <w:sz w:val="18"/>
                <w:szCs w:val="18"/>
              </w:rPr>
            </w:pPr>
            <w:r w:rsidRPr="0004264F">
              <w:rPr>
                <w:rFonts w:cstheme="majorBidi"/>
                <w:sz w:val="20"/>
                <w:szCs w:val="20"/>
              </w:rPr>
              <w:t xml:space="preserve"> 0.881</w:t>
            </w:r>
          </w:p>
        </w:tc>
      </w:tr>
      <w:tr w:rsidR="00B82501" w:rsidRPr="0004264F" w14:paraId="6D1F85FC" w14:textId="77777777" w:rsidTr="009B5DB5">
        <w:trPr>
          <w:trHeight w:val="183"/>
          <w:jc w:val="center"/>
        </w:trPr>
        <w:tc>
          <w:tcPr>
            <w:tcW w:w="1728" w:type="dxa"/>
            <w:tcBorders>
              <w:top w:val="single" w:sz="4" w:space="0" w:color="auto"/>
            </w:tcBorders>
            <w:vAlign w:val="center"/>
          </w:tcPr>
          <w:p w14:paraId="69F5B6E3" w14:textId="18316F1D" w:rsidR="00B82501" w:rsidRPr="0004264F" w:rsidRDefault="00B82501" w:rsidP="00B82501">
            <w:pPr>
              <w:rPr>
                <w:rFonts w:cstheme="majorBidi"/>
                <w:sz w:val="18"/>
                <w:szCs w:val="18"/>
              </w:rPr>
            </w:pPr>
            <w:r w:rsidRPr="0004264F">
              <w:rPr>
                <w:rFonts w:cstheme="majorBidi"/>
                <w:sz w:val="18"/>
                <w:szCs w:val="18"/>
              </w:rPr>
              <w:t>Puma-County FE</w:t>
            </w:r>
          </w:p>
        </w:tc>
        <w:tc>
          <w:tcPr>
            <w:tcW w:w="1195" w:type="dxa"/>
            <w:tcBorders>
              <w:top w:val="single" w:sz="4" w:space="0" w:color="auto"/>
            </w:tcBorders>
          </w:tcPr>
          <w:p w14:paraId="127617F5" w14:textId="5058BD6E"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top w:val="single" w:sz="4" w:space="0" w:color="auto"/>
            </w:tcBorders>
          </w:tcPr>
          <w:p w14:paraId="5781BE49" w14:textId="7767F5BB"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top w:val="single" w:sz="4" w:space="0" w:color="auto"/>
            </w:tcBorders>
          </w:tcPr>
          <w:p w14:paraId="276DDDC6" w14:textId="6A4AFFCA"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top w:val="single" w:sz="4" w:space="0" w:color="auto"/>
            </w:tcBorders>
          </w:tcPr>
          <w:p w14:paraId="3CE1B3F2" w14:textId="5A43E822"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top w:val="single" w:sz="4" w:space="0" w:color="auto"/>
            </w:tcBorders>
          </w:tcPr>
          <w:p w14:paraId="39C11B8A" w14:textId="7A2D54F0"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704" w:type="dxa"/>
            <w:tcBorders>
              <w:top w:val="single" w:sz="4" w:space="0" w:color="auto"/>
            </w:tcBorders>
          </w:tcPr>
          <w:p w14:paraId="404A41B1" w14:textId="38206D4E"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704" w:type="dxa"/>
            <w:tcBorders>
              <w:top w:val="single" w:sz="4" w:space="0" w:color="auto"/>
            </w:tcBorders>
          </w:tcPr>
          <w:p w14:paraId="7BC704DB" w14:textId="4F0E1563"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178" w:type="dxa"/>
            <w:tcBorders>
              <w:top w:val="single" w:sz="4" w:space="0" w:color="auto"/>
            </w:tcBorders>
          </w:tcPr>
          <w:p w14:paraId="1D12326F" w14:textId="6A575ED0"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178" w:type="dxa"/>
            <w:tcBorders>
              <w:top w:val="single" w:sz="4" w:space="0" w:color="auto"/>
            </w:tcBorders>
          </w:tcPr>
          <w:p w14:paraId="5E257CF3" w14:textId="34DD4853"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274" w:type="dxa"/>
            <w:tcBorders>
              <w:top w:val="single" w:sz="4" w:space="0" w:color="auto"/>
            </w:tcBorders>
          </w:tcPr>
          <w:p w14:paraId="5F37720F" w14:textId="282C6E2C" w:rsidR="00B82501" w:rsidRPr="0004264F" w:rsidRDefault="00B82501" w:rsidP="00B82501">
            <w:pPr>
              <w:jc w:val="center"/>
              <w:rPr>
                <w:rFonts w:cstheme="majorBidi"/>
                <w:sz w:val="18"/>
                <w:szCs w:val="18"/>
              </w:rPr>
            </w:pPr>
            <w:r w:rsidRPr="0004264F">
              <w:rPr>
                <w:rFonts w:cstheme="majorBidi"/>
                <w:sz w:val="18"/>
                <w:szCs w:val="18"/>
              </w:rPr>
              <w:sym w:font="Wingdings" w:char="F0FC"/>
            </w:r>
          </w:p>
        </w:tc>
      </w:tr>
      <w:tr w:rsidR="00B82501" w:rsidRPr="0004264F" w14:paraId="3BB78CC6" w14:textId="77777777" w:rsidTr="009B5DB5">
        <w:trPr>
          <w:trHeight w:val="183"/>
          <w:jc w:val="center"/>
        </w:trPr>
        <w:tc>
          <w:tcPr>
            <w:tcW w:w="1728" w:type="dxa"/>
            <w:tcBorders>
              <w:bottom w:val="single" w:sz="4" w:space="0" w:color="auto"/>
            </w:tcBorders>
            <w:vAlign w:val="center"/>
          </w:tcPr>
          <w:p w14:paraId="406BB092" w14:textId="4B8B558A" w:rsidR="00B82501" w:rsidRPr="0004264F" w:rsidRDefault="000944C8" w:rsidP="00B82501">
            <w:pPr>
              <w:rPr>
                <w:rFonts w:cstheme="majorBidi"/>
                <w:sz w:val="18"/>
                <w:szCs w:val="18"/>
              </w:rPr>
            </w:pPr>
            <w:r w:rsidRPr="0004264F">
              <w:rPr>
                <w:rFonts w:cstheme="majorBidi"/>
                <w:sz w:val="18"/>
                <w:szCs w:val="18"/>
              </w:rPr>
              <w:t>State</w:t>
            </w:r>
            <w:r w:rsidR="00B82501" w:rsidRPr="0004264F">
              <w:rPr>
                <w:rFonts w:cstheme="majorBidi"/>
                <w:sz w:val="18"/>
                <w:szCs w:val="18"/>
              </w:rPr>
              <w:t>-Year FE</w:t>
            </w:r>
          </w:p>
        </w:tc>
        <w:tc>
          <w:tcPr>
            <w:tcW w:w="1195" w:type="dxa"/>
            <w:tcBorders>
              <w:bottom w:val="single" w:sz="4" w:space="0" w:color="auto"/>
            </w:tcBorders>
          </w:tcPr>
          <w:p w14:paraId="7E61B7C3" w14:textId="3B5D7AE1"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bottom w:val="single" w:sz="4" w:space="0" w:color="auto"/>
            </w:tcBorders>
          </w:tcPr>
          <w:p w14:paraId="05D3B52C" w14:textId="0C3FEB39"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bottom w:val="single" w:sz="4" w:space="0" w:color="auto"/>
            </w:tcBorders>
          </w:tcPr>
          <w:p w14:paraId="25D9F9E1" w14:textId="0B2FA940"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bottom w:val="single" w:sz="4" w:space="0" w:color="auto"/>
            </w:tcBorders>
          </w:tcPr>
          <w:p w14:paraId="3653FC9D" w14:textId="3E7CB0ED"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410" w:type="dxa"/>
            <w:tcBorders>
              <w:bottom w:val="single" w:sz="4" w:space="0" w:color="auto"/>
            </w:tcBorders>
          </w:tcPr>
          <w:p w14:paraId="4F0EDEA3" w14:textId="509C422C"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704" w:type="dxa"/>
            <w:tcBorders>
              <w:bottom w:val="single" w:sz="4" w:space="0" w:color="auto"/>
            </w:tcBorders>
          </w:tcPr>
          <w:p w14:paraId="087FF79F" w14:textId="15A3762B"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704" w:type="dxa"/>
            <w:tcBorders>
              <w:bottom w:val="single" w:sz="4" w:space="0" w:color="auto"/>
            </w:tcBorders>
          </w:tcPr>
          <w:p w14:paraId="304B5186" w14:textId="3AF8FD7A"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178" w:type="dxa"/>
            <w:tcBorders>
              <w:bottom w:val="single" w:sz="4" w:space="0" w:color="auto"/>
            </w:tcBorders>
          </w:tcPr>
          <w:p w14:paraId="54835573" w14:textId="7D211173"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178" w:type="dxa"/>
            <w:tcBorders>
              <w:bottom w:val="single" w:sz="4" w:space="0" w:color="auto"/>
            </w:tcBorders>
          </w:tcPr>
          <w:p w14:paraId="4D71F977" w14:textId="78A76AB3" w:rsidR="00B82501" w:rsidRPr="0004264F" w:rsidRDefault="00B82501" w:rsidP="00B82501">
            <w:pPr>
              <w:jc w:val="center"/>
              <w:rPr>
                <w:rFonts w:cstheme="majorBidi"/>
                <w:sz w:val="18"/>
                <w:szCs w:val="18"/>
              </w:rPr>
            </w:pPr>
            <w:r w:rsidRPr="0004264F">
              <w:rPr>
                <w:rFonts w:cstheme="majorBidi"/>
                <w:sz w:val="18"/>
                <w:szCs w:val="18"/>
              </w:rPr>
              <w:sym w:font="Wingdings" w:char="F0FC"/>
            </w:r>
          </w:p>
        </w:tc>
        <w:tc>
          <w:tcPr>
            <w:tcW w:w="1274" w:type="dxa"/>
            <w:tcBorders>
              <w:bottom w:val="single" w:sz="4" w:space="0" w:color="auto"/>
            </w:tcBorders>
          </w:tcPr>
          <w:p w14:paraId="287C1828" w14:textId="49B55408" w:rsidR="00B82501" w:rsidRPr="0004264F" w:rsidRDefault="00B82501" w:rsidP="00B82501">
            <w:pPr>
              <w:jc w:val="center"/>
              <w:rPr>
                <w:rFonts w:cstheme="majorBidi"/>
                <w:sz w:val="18"/>
                <w:szCs w:val="18"/>
              </w:rPr>
            </w:pPr>
            <w:r w:rsidRPr="0004264F">
              <w:rPr>
                <w:rFonts w:cstheme="majorBidi"/>
                <w:sz w:val="18"/>
                <w:szCs w:val="18"/>
              </w:rPr>
              <w:sym w:font="Wingdings" w:char="F0FC"/>
            </w:r>
          </w:p>
        </w:tc>
      </w:tr>
      <w:tr w:rsidR="004A4CFD" w:rsidRPr="0004264F" w14:paraId="59CF2A40" w14:textId="77777777" w:rsidTr="00C31B00">
        <w:trPr>
          <w:trHeight w:val="183"/>
          <w:jc w:val="center"/>
        </w:trPr>
        <w:tc>
          <w:tcPr>
            <w:tcW w:w="15601" w:type="dxa"/>
            <w:gridSpan w:val="11"/>
            <w:tcBorders>
              <w:top w:val="single" w:sz="4" w:space="0" w:color="auto"/>
            </w:tcBorders>
            <w:vAlign w:val="center"/>
          </w:tcPr>
          <w:p w14:paraId="2166526C" w14:textId="77777777" w:rsidR="004A4CFD" w:rsidRPr="0004264F" w:rsidRDefault="004A4CFD" w:rsidP="004A4CFD">
            <w:pPr>
              <w:widowControl w:val="0"/>
              <w:autoSpaceDE w:val="0"/>
              <w:autoSpaceDN w:val="0"/>
              <w:adjustRightInd w:val="0"/>
              <w:rPr>
                <w:rFonts w:cstheme="majorBidi"/>
                <w:sz w:val="18"/>
                <w:szCs w:val="18"/>
              </w:rPr>
            </w:pPr>
            <w:r w:rsidRPr="0004264F">
              <w:rPr>
                <w:rFonts w:cstheme="majorBidi"/>
                <w:sz w:val="18"/>
                <w:szCs w:val="18"/>
              </w:rPr>
              <w:t>Notes. Standard errors, reported in parentheses, are clustered at the county-Puma-level. The regressions are weighted using county-Puma-level mean of population over the sample period.</w:t>
            </w:r>
          </w:p>
          <w:p w14:paraId="6D74B327" w14:textId="77777777" w:rsidR="004A4CFD" w:rsidRPr="0004264F" w:rsidRDefault="004A4CFD" w:rsidP="004A4CFD">
            <w:pPr>
              <w:widowControl w:val="0"/>
              <w:autoSpaceDE w:val="0"/>
              <w:autoSpaceDN w:val="0"/>
              <w:adjustRightInd w:val="0"/>
              <w:rPr>
                <w:rFonts w:cstheme="majorBidi"/>
                <w:sz w:val="18"/>
                <w:szCs w:val="18"/>
              </w:rPr>
            </w:pPr>
            <w:r w:rsidRPr="0004264F">
              <w:rPr>
                <w:rFonts w:cstheme="majorBidi"/>
                <w:sz w:val="18"/>
                <w:szCs w:val="18"/>
              </w:rPr>
              <w:t>*** p&lt;0.01, ** p&lt;0.05, * p&lt;0.1</w:t>
            </w:r>
          </w:p>
          <w:p w14:paraId="391AF253" w14:textId="77777777" w:rsidR="004A4CFD" w:rsidRPr="0004264F" w:rsidRDefault="004A4CFD" w:rsidP="004A4CFD">
            <w:pPr>
              <w:jc w:val="center"/>
              <w:rPr>
                <w:rFonts w:cstheme="majorBidi"/>
                <w:sz w:val="18"/>
                <w:szCs w:val="18"/>
              </w:rPr>
            </w:pPr>
          </w:p>
        </w:tc>
      </w:tr>
    </w:tbl>
    <w:p w14:paraId="69113922" w14:textId="77777777" w:rsidR="0089385F" w:rsidRPr="0004264F" w:rsidRDefault="0089385F" w:rsidP="00F32C69">
      <w:pPr>
        <w:rPr>
          <w:rFonts w:cstheme="majorBidi"/>
          <w:b/>
          <w:bCs/>
          <w:sz w:val="20"/>
          <w:szCs w:val="20"/>
        </w:rPr>
        <w:sectPr w:rsidR="0089385F" w:rsidRPr="0004264F" w:rsidSect="00C31B00">
          <w:pgSz w:w="20160" w:h="12240" w:orient="landscape" w:code="5"/>
          <w:pgMar w:top="1440" w:right="1440" w:bottom="1440" w:left="1440" w:header="720" w:footer="720" w:gutter="0"/>
          <w:cols w:space="720"/>
          <w:docGrid w:linePitch="360"/>
        </w:sectPr>
      </w:pPr>
    </w:p>
    <w:p w14:paraId="40BD8267" w14:textId="3053DF8F" w:rsidR="00204C5C" w:rsidRPr="0004264F" w:rsidRDefault="004463FA" w:rsidP="00F32C69">
      <w:pPr>
        <w:rPr>
          <w:rFonts w:cstheme="majorBidi"/>
          <w:b/>
          <w:bCs/>
          <w:sz w:val="20"/>
          <w:szCs w:val="20"/>
        </w:rPr>
      </w:pPr>
      <w:r w:rsidRPr="0004264F">
        <w:rPr>
          <w:rFonts w:cstheme="majorBidi"/>
          <w:b/>
          <w:bCs/>
          <w:sz w:val="20"/>
          <w:szCs w:val="20"/>
        </w:rPr>
        <w:lastRenderedPageBreak/>
        <w:t>Fig</w:t>
      </w:r>
      <w:r w:rsidR="00847BB4" w:rsidRPr="0004264F">
        <w:rPr>
          <w:rFonts w:cstheme="majorBidi"/>
          <w:b/>
          <w:bCs/>
          <w:sz w:val="20"/>
          <w:szCs w:val="20"/>
        </w:rPr>
        <w:t xml:space="preserve">ures </w:t>
      </w:r>
    </w:p>
    <w:p w14:paraId="1F4ACACB" w14:textId="69EA146A" w:rsidR="00847BB4" w:rsidRPr="0004264F" w:rsidRDefault="00847BB4" w:rsidP="00F32C69">
      <w:pPr>
        <w:rPr>
          <w:rFonts w:cstheme="majorBidi"/>
          <w:b/>
          <w:bCs/>
          <w:sz w:val="20"/>
          <w:szCs w:val="20"/>
        </w:rPr>
      </w:pPr>
    </w:p>
    <w:p w14:paraId="63CBB7D4" w14:textId="491E0832" w:rsidR="005F6A80" w:rsidRPr="0004264F" w:rsidRDefault="005F6A80" w:rsidP="005F6A80">
      <w:pPr>
        <w:keepNext/>
        <w:jc w:val="center"/>
        <w:rPr>
          <w:rFonts w:cstheme="majorBidi"/>
        </w:rPr>
      </w:pPr>
    </w:p>
    <w:p w14:paraId="5100D8BD" w14:textId="77777777" w:rsidR="00A4279D" w:rsidRPr="0004264F" w:rsidRDefault="00A4279D" w:rsidP="00A4279D">
      <w:pPr>
        <w:keepNext/>
        <w:jc w:val="center"/>
        <w:rPr>
          <w:rFonts w:cstheme="majorBidi"/>
        </w:rPr>
      </w:pPr>
      <w:r w:rsidRPr="0004264F">
        <w:rPr>
          <w:rFonts w:cstheme="majorBidi"/>
          <w:b/>
          <w:bCs/>
          <w:noProof/>
          <w:sz w:val="20"/>
          <w:szCs w:val="20"/>
        </w:rPr>
        <w:drawing>
          <wp:inline distT="0" distB="0" distL="0" distR="0" wp14:anchorId="23B0E900" wp14:editId="37027DB1">
            <wp:extent cx="4657725" cy="62102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6204" cy="6221604"/>
                    </a:xfrm>
                    <a:prstGeom prst="rect">
                      <a:avLst/>
                    </a:prstGeom>
                  </pic:spPr>
                </pic:pic>
              </a:graphicData>
            </a:graphic>
          </wp:inline>
        </w:drawing>
      </w:r>
    </w:p>
    <w:p w14:paraId="5AB568C2" w14:textId="0C2A0836" w:rsidR="00204C5C" w:rsidRPr="0004264F" w:rsidRDefault="00A4279D" w:rsidP="00A4279D">
      <w:pPr>
        <w:pStyle w:val="Caption"/>
        <w:bidi w:val="0"/>
        <w:rPr>
          <w:rFonts w:cstheme="majorBidi"/>
        </w:rPr>
      </w:pPr>
      <w:bookmarkStart w:id="22" w:name="_Ref97686105"/>
      <w:r w:rsidRPr="0004264F">
        <w:rPr>
          <w:rFonts w:cstheme="majorBidi"/>
        </w:rPr>
        <w:t xml:space="preserve">Figure </w:t>
      </w:r>
      <w:r w:rsidR="00AD3D04" w:rsidRPr="0004264F">
        <w:rPr>
          <w:rFonts w:cstheme="majorBidi"/>
        </w:rPr>
        <w:fldChar w:fldCharType="begin"/>
      </w:r>
      <w:r w:rsidR="00AD3D04" w:rsidRPr="0004264F">
        <w:rPr>
          <w:rFonts w:cstheme="majorBidi"/>
        </w:rPr>
        <w:instrText xml:space="preserve"> SEQ Figure \* ARABIC </w:instrText>
      </w:r>
      <w:r w:rsidR="00AD3D04" w:rsidRPr="0004264F">
        <w:rPr>
          <w:rFonts w:cstheme="majorBidi"/>
        </w:rPr>
        <w:fldChar w:fldCharType="separate"/>
      </w:r>
      <w:r w:rsidR="00CA5B9D" w:rsidRPr="0004264F">
        <w:rPr>
          <w:rFonts w:cstheme="majorBidi"/>
          <w:noProof/>
        </w:rPr>
        <w:t>1</w:t>
      </w:r>
      <w:r w:rsidR="00AD3D04" w:rsidRPr="0004264F">
        <w:rPr>
          <w:rFonts w:cstheme="majorBidi"/>
          <w:noProof/>
        </w:rPr>
        <w:fldChar w:fldCharType="end"/>
      </w:r>
      <w:bookmarkEnd w:id="22"/>
      <w:r w:rsidRPr="0004264F">
        <w:rPr>
          <w:rFonts w:cstheme="majorBidi"/>
        </w:rPr>
        <w:t xml:space="preserve"> - Geographic Distribution of Variables</w:t>
      </w:r>
      <w:r w:rsidR="00DE06FA" w:rsidRPr="0004264F">
        <w:rPr>
          <w:rFonts w:cstheme="majorBidi"/>
        </w:rPr>
        <w:t xml:space="preserve"> </w:t>
      </w:r>
    </w:p>
    <w:p w14:paraId="21CD2D87" w14:textId="1E867AC8" w:rsidR="00DE06FA" w:rsidRPr="0004264F" w:rsidRDefault="00DE06FA" w:rsidP="00DE06FA">
      <w:pPr>
        <w:jc w:val="both"/>
        <w:rPr>
          <w:rFonts w:cstheme="majorBidi"/>
          <w:sz w:val="20"/>
          <w:szCs w:val="18"/>
        </w:rPr>
      </w:pPr>
      <w:r w:rsidRPr="0004264F">
        <w:rPr>
          <w:rFonts w:cstheme="majorBidi"/>
          <w:sz w:val="20"/>
          <w:szCs w:val="18"/>
        </w:rPr>
        <w:t xml:space="preserve">Notes. The colors in the map are based on the county’s quartile rank in the nation’s distribution of the respective variable. </w:t>
      </w:r>
    </w:p>
    <w:p w14:paraId="1B0C1C37" w14:textId="35637AD8" w:rsidR="00204C5C" w:rsidRPr="0004264F" w:rsidRDefault="00204C5C" w:rsidP="00F32C69">
      <w:pPr>
        <w:rPr>
          <w:rFonts w:cstheme="majorBidi"/>
          <w:b/>
          <w:bCs/>
          <w:sz w:val="20"/>
          <w:szCs w:val="20"/>
        </w:rPr>
      </w:pPr>
    </w:p>
    <w:p w14:paraId="446C8DD4" w14:textId="0BE6A647" w:rsidR="00204C5C" w:rsidRPr="0004264F" w:rsidRDefault="00204C5C" w:rsidP="00F32C69">
      <w:pPr>
        <w:rPr>
          <w:rFonts w:cstheme="majorBidi"/>
          <w:b/>
          <w:bCs/>
          <w:sz w:val="20"/>
          <w:szCs w:val="20"/>
        </w:rPr>
      </w:pPr>
    </w:p>
    <w:p w14:paraId="4AC6B2AA" w14:textId="77777777" w:rsidR="00E5692A" w:rsidRPr="0004264F" w:rsidRDefault="00E5692A" w:rsidP="00F32C69">
      <w:pPr>
        <w:rPr>
          <w:rFonts w:cstheme="majorBidi"/>
          <w:b/>
          <w:bCs/>
          <w:sz w:val="20"/>
          <w:szCs w:val="20"/>
        </w:rPr>
        <w:sectPr w:rsidR="00E5692A" w:rsidRPr="0004264F" w:rsidSect="00847BB4">
          <w:pgSz w:w="12240" w:h="15840" w:code="1"/>
          <w:pgMar w:top="1440" w:right="1440" w:bottom="1440" w:left="1440" w:header="720" w:footer="720" w:gutter="0"/>
          <w:cols w:space="720"/>
          <w:docGrid w:linePitch="360"/>
        </w:sectPr>
      </w:pPr>
    </w:p>
    <w:p w14:paraId="36E4CE7C" w14:textId="49C60E5F" w:rsidR="00E5692A" w:rsidRPr="0004264F" w:rsidRDefault="00E5692A" w:rsidP="00F32C69">
      <w:pPr>
        <w:rPr>
          <w:rFonts w:cstheme="majorBidi"/>
          <w:b/>
          <w:bCs/>
          <w:sz w:val="20"/>
          <w:szCs w:val="20"/>
        </w:rPr>
      </w:pPr>
    </w:p>
    <w:p w14:paraId="4E223C89" w14:textId="7557BBD7" w:rsidR="00E5692A" w:rsidRPr="0004264F" w:rsidRDefault="00E5692A" w:rsidP="00F32C69">
      <w:pPr>
        <w:rPr>
          <w:rFonts w:cstheme="majorBidi"/>
          <w:b/>
          <w:bCs/>
          <w:sz w:val="20"/>
          <w:szCs w:val="20"/>
        </w:rPr>
      </w:pPr>
    </w:p>
    <w:p w14:paraId="1FD78035" w14:textId="77777777" w:rsidR="00E5692A" w:rsidRPr="0004264F" w:rsidRDefault="00E5692A" w:rsidP="00E5692A">
      <w:pPr>
        <w:keepNext/>
        <w:jc w:val="center"/>
        <w:rPr>
          <w:rFonts w:cstheme="majorBidi"/>
        </w:rPr>
      </w:pPr>
      <w:r w:rsidRPr="0004264F">
        <w:rPr>
          <w:rFonts w:cstheme="majorBidi"/>
          <w:b/>
          <w:bCs/>
          <w:noProof/>
          <w:sz w:val="20"/>
          <w:szCs w:val="20"/>
        </w:rPr>
        <w:drawing>
          <wp:inline distT="0" distB="0" distL="0" distR="0" wp14:anchorId="2AF1482A" wp14:editId="34AF4CBB">
            <wp:extent cx="5028818" cy="3648816"/>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028818" cy="3648816"/>
                    </a:xfrm>
                    <a:prstGeom prst="rect">
                      <a:avLst/>
                    </a:prstGeom>
                  </pic:spPr>
                </pic:pic>
              </a:graphicData>
            </a:graphic>
          </wp:inline>
        </w:drawing>
      </w:r>
    </w:p>
    <w:p w14:paraId="41CE1746" w14:textId="2B58FAA3" w:rsidR="00E5692A" w:rsidRPr="0004264F" w:rsidRDefault="00E5692A" w:rsidP="00E5692A">
      <w:pPr>
        <w:pStyle w:val="Caption"/>
        <w:bidi w:val="0"/>
        <w:rPr>
          <w:rFonts w:cstheme="majorBidi"/>
          <w:b w:val="0"/>
          <w:bCs w:val="0"/>
        </w:rPr>
        <w:sectPr w:rsidR="00E5692A" w:rsidRPr="0004264F" w:rsidSect="00847BB4">
          <w:pgSz w:w="12240" w:h="15840" w:code="1"/>
          <w:pgMar w:top="1440" w:right="1440" w:bottom="1440" w:left="1440" w:header="720" w:footer="720" w:gutter="0"/>
          <w:cols w:space="720"/>
          <w:docGrid w:linePitch="360"/>
        </w:sectPr>
      </w:pPr>
      <w:r w:rsidRPr="0004264F">
        <w:rPr>
          <w:rFonts w:cstheme="majorBidi"/>
        </w:rPr>
        <w:t xml:space="preserve">Figure </w:t>
      </w:r>
      <w:r w:rsidRPr="0004264F">
        <w:rPr>
          <w:rFonts w:cstheme="majorBidi"/>
        </w:rPr>
        <w:fldChar w:fldCharType="begin"/>
      </w:r>
      <w:r w:rsidRPr="0004264F">
        <w:rPr>
          <w:rFonts w:cstheme="majorBidi"/>
        </w:rPr>
        <w:instrText xml:space="preserve"> SEQ Figure \* ARABIC </w:instrText>
      </w:r>
      <w:r w:rsidRPr="0004264F">
        <w:rPr>
          <w:rFonts w:cstheme="majorBidi"/>
        </w:rPr>
        <w:fldChar w:fldCharType="separate"/>
      </w:r>
      <w:r w:rsidR="00CA5B9D" w:rsidRPr="0004264F">
        <w:rPr>
          <w:rFonts w:cstheme="majorBidi"/>
          <w:noProof/>
        </w:rPr>
        <w:t>2</w:t>
      </w:r>
      <w:r w:rsidRPr="0004264F">
        <w:rPr>
          <w:rFonts w:cstheme="majorBidi"/>
        </w:rPr>
        <w:fldChar w:fldCharType="end"/>
      </w:r>
      <w:r w:rsidRPr="0004264F">
        <w:rPr>
          <w:rFonts w:cstheme="majorBidi"/>
        </w:rPr>
        <w:t xml:space="preserve"> - Time-Series Evolution of Per Capita Bank Deposits across </w:t>
      </w:r>
      <w:r w:rsidR="00DE06FA" w:rsidRPr="0004264F">
        <w:rPr>
          <w:rFonts w:cstheme="majorBidi"/>
        </w:rPr>
        <w:t xml:space="preserve">Census </w:t>
      </w:r>
      <w:r w:rsidRPr="0004264F">
        <w:rPr>
          <w:rFonts w:cstheme="majorBidi"/>
        </w:rPr>
        <w:t>Regions</w:t>
      </w:r>
    </w:p>
    <w:p w14:paraId="7B846EA9" w14:textId="31056447" w:rsidR="00204C5C" w:rsidRPr="0004264F" w:rsidRDefault="00204C5C" w:rsidP="00F32C69">
      <w:pPr>
        <w:rPr>
          <w:rFonts w:cstheme="majorBidi"/>
          <w:b/>
          <w:bCs/>
          <w:sz w:val="20"/>
          <w:szCs w:val="20"/>
        </w:rPr>
      </w:pPr>
    </w:p>
    <w:p w14:paraId="20AE400F" w14:textId="77777777" w:rsidR="005F6A80" w:rsidRPr="0004264F" w:rsidRDefault="005F6A80" w:rsidP="005F6A80">
      <w:pPr>
        <w:keepNext/>
        <w:jc w:val="center"/>
        <w:rPr>
          <w:rFonts w:cstheme="majorBidi"/>
        </w:rPr>
      </w:pPr>
      <w:r w:rsidRPr="0004264F">
        <w:rPr>
          <w:rFonts w:cstheme="majorBidi"/>
          <w:b/>
          <w:bCs/>
          <w:noProof/>
          <w:sz w:val="20"/>
          <w:szCs w:val="20"/>
        </w:rPr>
        <w:drawing>
          <wp:inline distT="0" distB="0" distL="0" distR="0" wp14:anchorId="6D5BF84F" wp14:editId="33BA3181">
            <wp:extent cx="5029291" cy="365731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91" cy="3657319"/>
                    </a:xfrm>
                    <a:prstGeom prst="rect">
                      <a:avLst/>
                    </a:prstGeom>
                  </pic:spPr>
                </pic:pic>
              </a:graphicData>
            </a:graphic>
          </wp:inline>
        </w:drawing>
      </w:r>
    </w:p>
    <w:p w14:paraId="6D99C23C" w14:textId="1746F251" w:rsidR="00204C5C" w:rsidRPr="0004264F" w:rsidRDefault="005F6A80" w:rsidP="005F6A80">
      <w:pPr>
        <w:pStyle w:val="Caption"/>
        <w:bidi w:val="0"/>
        <w:rPr>
          <w:rFonts w:cstheme="majorBidi"/>
          <w:b w:val="0"/>
          <w:bCs w:val="0"/>
        </w:rPr>
      </w:pPr>
      <w:bookmarkStart w:id="23" w:name="_Ref97686391"/>
      <w:r w:rsidRPr="0004264F">
        <w:rPr>
          <w:rFonts w:cstheme="majorBidi"/>
        </w:rPr>
        <w:t xml:space="preserve">Figure </w:t>
      </w:r>
      <w:r w:rsidR="00AD3D04" w:rsidRPr="0004264F">
        <w:rPr>
          <w:rFonts w:cstheme="majorBidi"/>
        </w:rPr>
        <w:fldChar w:fldCharType="begin"/>
      </w:r>
      <w:r w:rsidR="00AD3D04" w:rsidRPr="0004264F">
        <w:rPr>
          <w:rFonts w:cstheme="majorBidi"/>
        </w:rPr>
        <w:instrText xml:space="preserve"> SEQ Figure \* ARABIC </w:instrText>
      </w:r>
      <w:r w:rsidR="00AD3D04" w:rsidRPr="0004264F">
        <w:rPr>
          <w:rFonts w:cstheme="majorBidi"/>
        </w:rPr>
        <w:fldChar w:fldCharType="separate"/>
      </w:r>
      <w:r w:rsidR="00CA5B9D" w:rsidRPr="0004264F">
        <w:rPr>
          <w:rFonts w:cstheme="majorBidi"/>
          <w:noProof/>
        </w:rPr>
        <w:t>3</w:t>
      </w:r>
      <w:r w:rsidR="00AD3D04" w:rsidRPr="0004264F">
        <w:rPr>
          <w:rFonts w:cstheme="majorBidi"/>
          <w:noProof/>
        </w:rPr>
        <w:fldChar w:fldCharType="end"/>
      </w:r>
      <w:bookmarkEnd w:id="23"/>
      <w:r w:rsidRPr="0004264F">
        <w:rPr>
          <w:rFonts w:cstheme="majorBidi"/>
        </w:rPr>
        <w:t xml:space="preserve"> - Density Distribution of Age at Death by County above/below Median Bank Deposit Per Capita</w:t>
      </w:r>
    </w:p>
    <w:p w14:paraId="190DB11E" w14:textId="60E1EBBF" w:rsidR="00204C5C" w:rsidRPr="0004264F" w:rsidRDefault="00204C5C" w:rsidP="00F32C69">
      <w:pPr>
        <w:rPr>
          <w:rFonts w:cstheme="majorBidi"/>
          <w:b/>
          <w:bCs/>
          <w:sz w:val="20"/>
          <w:szCs w:val="20"/>
        </w:rPr>
      </w:pPr>
    </w:p>
    <w:p w14:paraId="561DD5D4" w14:textId="252732A0" w:rsidR="00204C5C" w:rsidRPr="0004264F" w:rsidRDefault="00204C5C" w:rsidP="00F32C69">
      <w:pPr>
        <w:rPr>
          <w:rFonts w:cstheme="majorBidi"/>
          <w:b/>
          <w:bCs/>
          <w:sz w:val="20"/>
          <w:szCs w:val="20"/>
        </w:rPr>
      </w:pPr>
    </w:p>
    <w:p w14:paraId="6BCDF75E" w14:textId="17BCB066" w:rsidR="00204C5C" w:rsidRPr="0004264F" w:rsidRDefault="00204C5C" w:rsidP="00F32C69">
      <w:pPr>
        <w:rPr>
          <w:rFonts w:cstheme="majorBidi"/>
          <w:b/>
          <w:bCs/>
          <w:sz w:val="20"/>
          <w:szCs w:val="20"/>
        </w:rPr>
      </w:pPr>
    </w:p>
    <w:p w14:paraId="3CC7E989" w14:textId="59E187B6" w:rsidR="00204C5C" w:rsidRPr="0004264F" w:rsidRDefault="00204C5C" w:rsidP="00F32C69">
      <w:pPr>
        <w:rPr>
          <w:rFonts w:cstheme="majorBidi"/>
          <w:b/>
          <w:bCs/>
          <w:sz w:val="20"/>
          <w:szCs w:val="20"/>
        </w:rPr>
      </w:pPr>
    </w:p>
    <w:p w14:paraId="3C203DEA" w14:textId="1BD3340D" w:rsidR="00204C5C" w:rsidRPr="0004264F" w:rsidRDefault="00204C5C" w:rsidP="00F32C69">
      <w:pPr>
        <w:rPr>
          <w:rFonts w:cstheme="majorBidi"/>
          <w:b/>
          <w:bCs/>
          <w:sz w:val="20"/>
          <w:szCs w:val="20"/>
        </w:rPr>
      </w:pPr>
    </w:p>
    <w:p w14:paraId="10809B5C" w14:textId="4BF3402F" w:rsidR="00204C5C" w:rsidRPr="0004264F" w:rsidRDefault="00204C5C" w:rsidP="00F32C69">
      <w:pPr>
        <w:rPr>
          <w:rFonts w:cstheme="majorBidi"/>
          <w:b/>
          <w:bCs/>
          <w:sz w:val="20"/>
          <w:szCs w:val="20"/>
        </w:rPr>
      </w:pPr>
    </w:p>
    <w:p w14:paraId="4DF21D92" w14:textId="2B313823" w:rsidR="00204C5C" w:rsidRPr="0004264F" w:rsidRDefault="00204C5C" w:rsidP="00F32C69">
      <w:pPr>
        <w:rPr>
          <w:rFonts w:cstheme="majorBidi"/>
          <w:b/>
          <w:bCs/>
          <w:sz w:val="20"/>
          <w:szCs w:val="20"/>
        </w:rPr>
      </w:pPr>
    </w:p>
    <w:p w14:paraId="1A437367" w14:textId="68CE5006" w:rsidR="00204C5C" w:rsidRPr="0004264F" w:rsidRDefault="00204C5C" w:rsidP="00F32C69">
      <w:pPr>
        <w:rPr>
          <w:rFonts w:cstheme="majorBidi"/>
          <w:b/>
          <w:bCs/>
          <w:sz w:val="20"/>
          <w:szCs w:val="20"/>
        </w:rPr>
      </w:pPr>
    </w:p>
    <w:p w14:paraId="4DE0E140" w14:textId="5D282521" w:rsidR="00204C5C" w:rsidRPr="0004264F" w:rsidRDefault="00204C5C" w:rsidP="00F32C69">
      <w:pPr>
        <w:rPr>
          <w:rFonts w:cstheme="majorBidi"/>
          <w:b/>
          <w:bCs/>
          <w:sz w:val="20"/>
          <w:szCs w:val="20"/>
        </w:rPr>
      </w:pPr>
    </w:p>
    <w:p w14:paraId="28A069CF" w14:textId="77777777" w:rsidR="00C61E40" w:rsidRPr="0004264F" w:rsidRDefault="00C61E40" w:rsidP="00F32C69">
      <w:pPr>
        <w:rPr>
          <w:rFonts w:cstheme="majorBidi"/>
          <w:b/>
          <w:bCs/>
          <w:sz w:val="20"/>
          <w:szCs w:val="20"/>
        </w:rPr>
        <w:sectPr w:rsidR="00C61E40" w:rsidRPr="0004264F" w:rsidSect="00847BB4">
          <w:pgSz w:w="12240" w:h="15840" w:code="1"/>
          <w:pgMar w:top="1440" w:right="1440" w:bottom="1440" w:left="1440" w:header="720" w:footer="720" w:gutter="0"/>
          <w:cols w:space="720"/>
          <w:docGrid w:linePitch="360"/>
        </w:sectPr>
      </w:pPr>
    </w:p>
    <w:p w14:paraId="68254511" w14:textId="2D07E1DF" w:rsidR="00204C5C" w:rsidRPr="0004264F" w:rsidRDefault="00204C5C" w:rsidP="00C61E40">
      <w:pPr>
        <w:pStyle w:val="Heading3"/>
        <w:bidi w:val="0"/>
      </w:pPr>
      <w:bookmarkStart w:id="24" w:name="_Ref97968173"/>
    </w:p>
    <w:bookmarkEnd w:id="24"/>
    <w:p w14:paraId="22710048" w14:textId="0647B515" w:rsidR="00C61E40" w:rsidRPr="0004264F" w:rsidRDefault="007665E2" w:rsidP="00F86EE0">
      <w:pPr>
        <w:spacing w:before="60" w:after="60" w:line="360" w:lineRule="auto"/>
        <w:ind w:firstLine="720"/>
        <w:jc w:val="both"/>
        <w:rPr>
          <w:rFonts w:cstheme="majorBidi"/>
          <w:szCs w:val="24"/>
        </w:rPr>
      </w:pPr>
      <w:r w:rsidRPr="0004264F">
        <w:rPr>
          <w:rFonts w:cstheme="majorBidi"/>
          <w:szCs w:val="24"/>
        </w:rPr>
        <w:t xml:space="preserve">In </w:t>
      </w:r>
      <w:r w:rsidRPr="0004264F">
        <w:rPr>
          <w:rFonts w:cstheme="majorBidi"/>
          <w:szCs w:val="24"/>
        </w:rPr>
        <w:fldChar w:fldCharType="begin"/>
      </w:r>
      <w:r w:rsidRPr="0004264F">
        <w:rPr>
          <w:rFonts w:cstheme="majorBidi"/>
          <w:szCs w:val="24"/>
        </w:rPr>
        <w:instrText xml:space="preserve"> REF _Ref99387710 \h </w:instrText>
      </w:r>
      <w:r w:rsidR="00710820" w:rsidRPr="0004264F">
        <w:rPr>
          <w:rFonts w:cstheme="majorBidi"/>
          <w:szCs w:val="24"/>
        </w:rPr>
        <w:instrText xml:space="preserve"> \* MERGEFORMAT </w:instrText>
      </w:r>
      <w:r w:rsidRPr="0004264F">
        <w:rPr>
          <w:rFonts w:cstheme="majorBidi"/>
          <w:szCs w:val="24"/>
        </w:rPr>
      </w:r>
      <w:r w:rsidRPr="0004264F">
        <w:rPr>
          <w:rFonts w:cstheme="majorBidi"/>
          <w:szCs w:val="24"/>
        </w:rPr>
        <w:fldChar w:fldCharType="separate"/>
      </w:r>
      <w:r w:rsidR="00CA5B9D" w:rsidRPr="0004264F">
        <w:rPr>
          <w:rFonts w:cstheme="majorBidi"/>
          <w:szCs w:val="24"/>
        </w:rPr>
        <w:t xml:space="preserve">Appendix Table </w:t>
      </w:r>
      <w:r w:rsidR="00CA5B9D" w:rsidRPr="0004264F">
        <w:rPr>
          <w:rFonts w:cstheme="majorBidi"/>
          <w:noProof/>
          <w:szCs w:val="24"/>
        </w:rPr>
        <w:t>A</w:t>
      </w:r>
      <w:r w:rsidR="00CA5B9D" w:rsidRPr="0004264F">
        <w:rPr>
          <w:rFonts w:cstheme="majorBidi"/>
          <w:noProof/>
          <w:szCs w:val="24"/>
        </w:rPr>
        <w:noBreakHyphen/>
        <w:t>1</w:t>
      </w:r>
      <w:r w:rsidRPr="0004264F">
        <w:rPr>
          <w:rFonts w:cstheme="majorBidi"/>
          <w:szCs w:val="24"/>
        </w:rPr>
        <w:fldChar w:fldCharType="end"/>
      </w:r>
      <w:r w:rsidRPr="0004264F">
        <w:rPr>
          <w:rFonts w:cstheme="majorBidi"/>
          <w:szCs w:val="24"/>
        </w:rPr>
        <w:t xml:space="preserve">, we replicate the main results across subsamples of whites and blacks. We observe relatively larger coefficients among </w:t>
      </w:r>
      <w:r w:rsidR="00F86EE0" w:rsidRPr="0004264F">
        <w:rPr>
          <w:rFonts w:cstheme="majorBidi"/>
          <w:szCs w:val="24"/>
        </w:rPr>
        <w:t>whites</w:t>
      </w:r>
      <w:r w:rsidRPr="0004264F">
        <w:rPr>
          <w:rFonts w:cstheme="majorBidi"/>
          <w:szCs w:val="24"/>
        </w:rPr>
        <w:t xml:space="preserve">. </w:t>
      </w:r>
      <w:r w:rsidR="00F86EE0" w:rsidRPr="0004264F">
        <w:rPr>
          <w:rFonts w:cstheme="majorBidi"/>
          <w:szCs w:val="24"/>
        </w:rPr>
        <w:t xml:space="preserve">A one-standard-deviation rise in bank deposits per capita during in-utero is associated with </w:t>
      </w:r>
      <w:proofErr w:type="gramStart"/>
      <w:r w:rsidR="00A8609A" w:rsidRPr="0004264F">
        <w:rPr>
          <w:rFonts w:cstheme="majorBidi"/>
          <w:szCs w:val="24"/>
        </w:rPr>
        <w:t>4.9</w:t>
      </w:r>
      <w:r w:rsidR="00F86EE0" w:rsidRPr="0004264F">
        <w:rPr>
          <w:rFonts w:cstheme="majorBidi"/>
          <w:szCs w:val="24"/>
        </w:rPr>
        <w:t xml:space="preserve"> and </w:t>
      </w:r>
      <w:r w:rsidR="00A8609A" w:rsidRPr="0004264F">
        <w:rPr>
          <w:rFonts w:cstheme="majorBidi"/>
          <w:szCs w:val="24"/>
        </w:rPr>
        <w:t>1.9</w:t>
      </w:r>
      <w:r w:rsidR="00F86EE0" w:rsidRPr="0004264F">
        <w:rPr>
          <w:rFonts w:cstheme="majorBidi"/>
          <w:szCs w:val="24"/>
        </w:rPr>
        <w:t xml:space="preserve"> months</w:t>
      </w:r>
      <w:proofErr w:type="gramEnd"/>
      <w:r w:rsidR="00F86EE0" w:rsidRPr="0004264F">
        <w:rPr>
          <w:rFonts w:cstheme="majorBidi"/>
          <w:szCs w:val="24"/>
        </w:rPr>
        <w:t xml:space="preserve"> higher longevity</w:t>
      </w:r>
      <w:r w:rsidR="00A8609A" w:rsidRPr="0004264F">
        <w:rPr>
          <w:rFonts w:cstheme="majorBidi"/>
          <w:szCs w:val="24"/>
        </w:rPr>
        <w:t xml:space="preserve"> among blacks and whites, respectively</w:t>
      </w:r>
      <w:r w:rsidR="00F86EE0" w:rsidRPr="0004264F">
        <w:rPr>
          <w:rFonts w:cstheme="majorBidi"/>
          <w:szCs w:val="24"/>
        </w:rPr>
        <w:t>.</w:t>
      </w:r>
    </w:p>
    <w:p w14:paraId="6D438FCD" w14:textId="77777777" w:rsidR="007665E2" w:rsidRPr="0004264F" w:rsidRDefault="007665E2" w:rsidP="007665E2">
      <w:pPr>
        <w:spacing w:before="60" w:after="60" w:line="360" w:lineRule="auto"/>
        <w:ind w:firstLine="720"/>
        <w:rPr>
          <w:rFonts w:cstheme="majorBidi"/>
          <w:sz w:val="22"/>
        </w:rPr>
      </w:pPr>
    </w:p>
    <w:p w14:paraId="66CC4355" w14:textId="4540009A" w:rsidR="00C61E40" w:rsidRPr="0004264F" w:rsidRDefault="00C61E40" w:rsidP="007665E2">
      <w:pPr>
        <w:spacing w:before="60" w:after="60" w:line="360" w:lineRule="auto"/>
        <w:ind w:firstLine="720"/>
        <w:rPr>
          <w:rFonts w:cstheme="majorBidi"/>
          <w:b/>
          <w:bCs/>
          <w:sz w:val="20"/>
          <w:szCs w:val="20"/>
        </w:rPr>
      </w:pPr>
    </w:p>
    <w:p w14:paraId="4363DCED" w14:textId="691F46CA" w:rsidR="00C61E40" w:rsidRPr="0004264F" w:rsidRDefault="00C61E40" w:rsidP="00F32C69">
      <w:pPr>
        <w:rPr>
          <w:rFonts w:cstheme="majorBidi"/>
          <w:b/>
          <w:bCs/>
          <w:sz w:val="20"/>
          <w:szCs w:val="20"/>
        </w:rPr>
      </w:pPr>
    </w:p>
    <w:p w14:paraId="7BD804D8" w14:textId="77777777" w:rsidR="00C61E40" w:rsidRPr="0004264F" w:rsidRDefault="00C61E40" w:rsidP="00F32C69">
      <w:pPr>
        <w:rPr>
          <w:rFonts w:cstheme="majorBidi"/>
          <w:b/>
          <w:bCs/>
          <w:sz w:val="20"/>
          <w:szCs w:val="20"/>
        </w:rPr>
        <w:sectPr w:rsidR="00C61E40" w:rsidRPr="0004264F" w:rsidSect="00847BB4">
          <w:pgSz w:w="12240" w:h="15840" w:code="1"/>
          <w:pgMar w:top="1440" w:right="1440" w:bottom="1440" w:left="1440" w:header="720" w:footer="720" w:gutter="0"/>
          <w:cols w:space="720"/>
          <w:docGrid w:linePitch="360"/>
        </w:sectPr>
      </w:pPr>
    </w:p>
    <w:p w14:paraId="6FEB934A" w14:textId="293EC603" w:rsidR="00C61E40" w:rsidRPr="0004264F" w:rsidRDefault="00C61E40" w:rsidP="00F32C69">
      <w:pPr>
        <w:rPr>
          <w:rFonts w:cstheme="majorBidi"/>
          <w:b/>
          <w:bCs/>
          <w:sz w:val="20"/>
          <w:szCs w:val="20"/>
        </w:rPr>
      </w:pPr>
    </w:p>
    <w:p w14:paraId="683F1829" w14:textId="578ECA24" w:rsidR="00C61E40" w:rsidRPr="0004264F" w:rsidRDefault="00C61E40" w:rsidP="00F32C69">
      <w:pPr>
        <w:rPr>
          <w:rFonts w:cstheme="majorBidi"/>
          <w:b/>
          <w:bCs/>
          <w:sz w:val="20"/>
          <w:szCs w:val="20"/>
        </w:rPr>
      </w:pPr>
    </w:p>
    <w:p w14:paraId="5D987348" w14:textId="0E3A3836" w:rsidR="00C61E40" w:rsidRPr="0004264F" w:rsidRDefault="00C61E40" w:rsidP="00C61E40">
      <w:pPr>
        <w:pStyle w:val="Caption"/>
        <w:keepNext/>
        <w:bidi w:val="0"/>
        <w:rPr>
          <w:rFonts w:cstheme="majorBidi"/>
        </w:rPr>
      </w:pPr>
    </w:p>
    <w:p w14:paraId="46A1C5D7" w14:textId="6B0FA77F" w:rsidR="00C61E40" w:rsidRPr="0004264F" w:rsidRDefault="00C61E40" w:rsidP="007665E2">
      <w:pPr>
        <w:pStyle w:val="Caption"/>
        <w:keepNext/>
        <w:bidi w:val="0"/>
        <w:rPr>
          <w:rFonts w:cstheme="majorBidi"/>
        </w:rPr>
      </w:pPr>
    </w:p>
    <w:p w14:paraId="613E2C26" w14:textId="3B93FBDC" w:rsidR="007665E2" w:rsidRPr="0004264F" w:rsidRDefault="007665E2" w:rsidP="007665E2">
      <w:pPr>
        <w:pStyle w:val="Caption"/>
        <w:keepNext/>
        <w:bidi w:val="0"/>
        <w:rPr>
          <w:rFonts w:cstheme="majorBidi"/>
        </w:rPr>
      </w:pPr>
      <w:bookmarkStart w:id="25" w:name="_Ref99387710"/>
      <w:r w:rsidRPr="0004264F">
        <w:rPr>
          <w:rFonts w:cstheme="majorBidi"/>
        </w:rPr>
        <w:t xml:space="preserve">Appendix Table </w:t>
      </w:r>
      <w:r w:rsidR="00B751B8" w:rsidRPr="0004264F">
        <w:rPr>
          <w:rFonts w:cstheme="majorBidi"/>
        </w:rPr>
        <w:fldChar w:fldCharType="begin"/>
      </w:r>
      <w:r w:rsidR="00B751B8" w:rsidRPr="0004264F">
        <w:rPr>
          <w:rFonts w:cstheme="majorBidi"/>
        </w:rPr>
        <w:instrText xml:space="preserve"> STYLEREF 3 \s </w:instrText>
      </w:r>
      <w:r w:rsidR="00B751B8" w:rsidRPr="0004264F">
        <w:rPr>
          <w:rFonts w:cstheme="majorBidi"/>
        </w:rPr>
        <w:fldChar w:fldCharType="separate"/>
      </w:r>
      <w:r w:rsidR="00CA5B9D" w:rsidRPr="0004264F">
        <w:rPr>
          <w:rFonts w:cstheme="majorBidi"/>
          <w:noProof/>
        </w:rPr>
        <w:t>A</w:t>
      </w:r>
      <w:r w:rsidR="00B751B8" w:rsidRPr="0004264F">
        <w:rPr>
          <w:rFonts w:cstheme="majorBidi"/>
        </w:rPr>
        <w:fldChar w:fldCharType="end"/>
      </w:r>
      <w:r w:rsidR="00B751B8" w:rsidRPr="0004264F">
        <w:rPr>
          <w:rFonts w:cstheme="majorBidi"/>
        </w:rPr>
        <w:noBreakHyphen/>
      </w:r>
      <w:r w:rsidR="00B751B8" w:rsidRPr="0004264F">
        <w:rPr>
          <w:rFonts w:cstheme="majorBidi"/>
        </w:rPr>
        <w:fldChar w:fldCharType="begin"/>
      </w:r>
      <w:r w:rsidR="00B751B8" w:rsidRPr="0004264F">
        <w:rPr>
          <w:rFonts w:cstheme="majorBidi"/>
        </w:rPr>
        <w:instrText xml:space="preserve"> SEQ Appendix_Table \* ARABIC \s 3 </w:instrText>
      </w:r>
      <w:r w:rsidR="00B751B8" w:rsidRPr="0004264F">
        <w:rPr>
          <w:rFonts w:cstheme="majorBidi"/>
        </w:rPr>
        <w:fldChar w:fldCharType="separate"/>
      </w:r>
      <w:r w:rsidR="00CA5B9D" w:rsidRPr="0004264F">
        <w:rPr>
          <w:rFonts w:cstheme="majorBidi"/>
          <w:noProof/>
        </w:rPr>
        <w:t>1</w:t>
      </w:r>
      <w:r w:rsidR="00B751B8" w:rsidRPr="0004264F">
        <w:rPr>
          <w:rFonts w:cstheme="majorBidi"/>
        </w:rPr>
        <w:fldChar w:fldCharType="end"/>
      </w:r>
      <w:bookmarkEnd w:id="25"/>
      <w:r w:rsidRPr="0004264F">
        <w:rPr>
          <w:rFonts w:cstheme="majorBidi"/>
        </w:rPr>
        <w:t xml:space="preserve"> - The Effects across Subsamples</w:t>
      </w:r>
    </w:p>
    <w:tbl>
      <w:tblPr>
        <w:tblW w:w="10095" w:type="dxa"/>
        <w:jc w:val="center"/>
        <w:tblLayout w:type="fixed"/>
        <w:tblLook w:val="0000" w:firstRow="0" w:lastRow="0" w:firstColumn="0" w:lastColumn="0" w:noHBand="0" w:noVBand="0"/>
      </w:tblPr>
      <w:tblGrid>
        <w:gridCol w:w="4569"/>
        <w:gridCol w:w="2708"/>
        <w:gridCol w:w="2818"/>
      </w:tblGrid>
      <w:tr w:rsidR="00C61E40" w:rsidRPr="0004264F" w14:paraId="4EC48DA8" w14:textId="77777777" w:rsidTr="004463FA">
        <w:trPr>
          <w:trHeight w:val="238"/>
          <w:jc w:val="center"/>
        </w:trPr>
        <w:tc>
          <w:tcPr>
            <w:tcW w:w="4569" w:type="dxa"/>
            <w:tcBorders>
              <w:top w:val="single" w:sz="4" w:space="0" w:color="auto"/>
            </w:tcBorders>
            <w:vAlign w:val="center"/>
          </w:tcPr>
          <w:p w14:paraId="13D66C50" w14:textId="77777777" w:rsidR="00C61E40" w:rsidRPr="0004264F" w:rsidRDefault="00C61E40" w:rsidP="00306A15">
            <w:pPr>
              <w:widowControl w:val="0"/>
              <w:autoSpaceDE w:val="0"/>
              <w:autoSpaceDN w:val="0"/>
              <w:adjustRightInd w:val="0"/>
              <w:spacing w:after="0"/>
              <w:rPr>
                <w:rFonts w:cstheme="majorBidi"/>
                <w:sz w:val="20"/>
                <w:szCs w:val="20"/>
              </w:rPr>
            </w:pPr>
          </w:p>
        </w:tc>
        <w:tc>
          <w:tcPr>
            <w:tcW w:w="5526" w:type="dxa"/>
            <w:gridSpan w:val="2"/>
            <w:tcBorders>
              <w:top w:val="single" w:sz="4" w:space="0" w:color="auto"/>
              <w:bottom w:val="single" w:sz="4" w:space="0" w:color="auto"/>
            </w:tcBorders>
            <w:vAlign w:val="center"/>
          </w:tcPr>
          <w:p w14:paraId="10D4CCE1" w14:textId="25CA9109" w:rsidR="00C61E40" w:rsidRPr="0004264F" w:rsidRDefault="00C61E40" w:rsidP="00306A15">
            <w:pPr>
              <w:widowControl w:val="0"/>
              <w:autoSpaceDE w:val="0"/>
              <w:autoSpaceDN w:val="0"/>
              <w:adjustRightInd w:val="0"/>
              <w:spacing w:after="0"/>
              <w:jc w:val="center"/>
              <w:rPr>
                <w:rFonts w:cstheme="majorBidi"/>
                <w:sz w:val="20"/>
                <w:szCs w:val="20"/>
              </w:rPr>
            </w:pPr>
            <w:r w:rsidRPr="0004264F">
              <w:rPr>
                <w:rFonts w:cstheme="majorBidi"/>
                <w:sz w:val="20"/>
                <w:szCs w:val="20"/>
              </w:rPr>
              <w:t>Outcome: Age at Death (Months)</w:t>
            </w:r>
          </w:p>
        </w:tc>
      </w:tr>
      <w:tr w:rsidR="00C61E40" w:rsidRPr="0004264F" w14:paraId="48463C38" w14:textId="77777777" w:rsidTr="007665E2">
        <w:trPr>
          <w:trHeight w:val="238"/>
          <w:jc w:val="center"/>
        </w:trPr>
        <w:tc>
          <w:tcPr>
            <w:tcW w:w="4569" w:type="dxa"/>
            <w:vAlign w:val="center"/>
          </w:tcPr>
          <w:p w14:paraId="6C808147" w14:textId="77777777" w:rsidR="00C61E40" w:rsidRPr="0004264F" w:rsidRDefault="00C61E40" w:rsidP="00306A15">
            <w:pPr>
              <w:widowControl w:val="0"/>
              <w:autoSpaceDE w:val="0"/>
              <w:autoSpaceDN w:val="0"/>
              <w:adjustRightInd w:val="0"/>
              <w:spacing w:after="0"/>
              <w:rPr>
                <w:rFonts w:cstheme="majorBidi"/>
                <w:sz w:val="20"/>
                <w:szCs w:val="20"/>
              </w:rPr>
            </w:pPr>
          </w:p>
        </w:tc>
        <w:tc>
          <w:tcPr>
            <w:tcW w:w="2708" w:type="dxa"/>
            <w:tcBorders>
              <w:top w:val="single" w:sz="4" w:space="0" w:color="auto"/>
              <w:bottom w:val="single" w:sz="4" w:space="0" w:color="auto"/>
            </w:tcBorders>
            <w:vAlign w:val="center"/>
          </w:tcPr>
          <w:p w14:paraId="18EC6F17" w14:textId="0E2F1520" w:rsidR="00C61E40" w:rsidRPr="0004264F" w:rsidRDefault="00C61E40" w:rsidP="00306A15">
            <w:pPr>
              <w:widowControl w:val="0"/>
              <w:autoSpaceDE w:val="0"/>
              <w:autoSpaceDN w:val="0"/>
              <w:adjustRightInd w:val="0"/>
              <w:spacing w:after="0"/>
              <w:jc w:val="center"/>
              <w:rPr>
                <w:rFonts w:cstheme="majorBidi"/>
                <w:sz w:val="20"/>
                <w:szCs w:val="20"/>
              </w:rPr>
            </w:pPr>
            <w:r w:rsidRPr="0004264F">
              <w:rPr>
                <w:rFonts w:cstheme="majorBidi"/>
                <w:sz w:val="20"/>
                <w:szCs w:val="20"/>
              </w:rPr>
              <w:t>Blacks</w:t>
            </w:r>
          </w:p>
        </w:tc>
        <w:tc>
          <w:tcPr>
            <w:tcW w:w="2818" w:type="dxa"/>
            <w:tcBorders>
              <w:top w:val="single" w:sz="4" w:space="0" w:color="auto"/>
              <w:bottom w:val="single" w:sz="4" w:space="0" w:color="auto"/>
            </w:tcBorders>
            <w:vAlign w:val="center"/>
          </w:tcPr>
          <w:p w14:paraId="416E8738" w14:textId="50681A6B" w:rsidR="00C61E40" w:rsidRPr="0004264F" w:rsidRDefault="00C61E40" w:rsidP="00306A15">
            <w:pPr>
              <w:widowControl w:val="0"/>
              <w:autoSpaceDE w:val="0"/>
              <w:autoSpaceDN w:val="0"/>
              <w:adjustRightInd w:val="0"/>
              <w:spacing w:after="0"/>
              <w:jc w:val="center"/>
              <w:rPr>
                <w:rFonts w:cstheme="majorBidi"/>
                <w:sz w:val="20"/>
                <w:szCs w:val="20"/>
              </w:rPr>
            </w:pPr>
            <w:r w:rsidRPr="0004264F">
              <w:rPr>
                <w:rFonts w:cstheme="majorBidi"/>
                <w:sz w:val="20"/>
                <w:szCs w:val="20"/>
              </w:rPr>
              <w:t>Whites</w:t>
            </w:r>
          </w:p>
        </w:tc>
      </w:tr>
      <w:tr w:rsidR="00C61E40" w:rsidRPr="0004264F" w14:paraId="1105A2D4" w14:textId="77777777" w:rsidTr="007665E2">
        <w:trPr>
          <w:trHeight w:val="238"/>
          <w:jc w:val="center"/>
        </w:trPr>
        <w:tc>
          <w:tcPr>
            <w:tcW w:w="4569" w:type="dxa"/>
            <w:tcBorders>
              <w:bottom w:val="single" w:sz="4" w:space="0" w:color="auto"/>
            </w:tcBorders>
            <w:vAlign w:val="center"/>
          </w:tcPr>
          <w:p w14:paraId="0CA641B3" w14:textId="77777777" w:rsidR="00C61E40" w:rsidRPr="0004264F" w:rsidRDefault="00C61E40" w:rsidP="00306A15">
            <w:pPr>
              <w:widowControl w:val="0"/>
              <w:autoSpaceDE w:val="0"/>
              <w:autoSpaceDN w:val="0"/>
              <w:adjustRightInd w:val="0"/>
              <w:spacing w:after="0"/>
              <w:rPr>
                <w:rFonts w:cstheme="majorBidi"/>
                <w:sz w:val="20"/>
                <w:szCs w:val="20"/>
              </w:rPr>
            </w:pPr>
          </w:p>
        </w:tc>
        <w:tc>
          <w:tcPr>
            <w:tcW w:w="2708" w:type="dxa"/>
            <w:tcBorders>
              <w:top w:val="single" w:sz="4" w:space="0" w:color="auto"/>
              <w:bottom w:val="single" w:sz="4" w:space="0" w:color="auto"/>
            </w:tcBorders>
            <w:vAlign w:val="center"/>
          </w:tcPr>
          <w:p w14:paraId="613329F2" w14:textId="77777777" w:rsidR="00C61E40" w:rsidRPr="0004264F" w:rsidRDefault="00C61E40" w:rsidP="00306A15">
            <w:pPr>
              <w:widowControl w:val="0"/>
              <w:autoSpaceDE w:val="0"/>
              <w:autoSpaceDN w:val="0"/>
              <w:adjustRightInd w:val="0"/>
              <w:spacing w:after="0"/>
              <w:jc w:val="center"/>
              <w:rPr>
                <w:rFonts w:cstheme="majorBidi"/>
                <w:sz w:val="20"/>
                <w:szCs w:val="20"/>
              </w:rPr>
            </w:pPr>
            <w:r w:rsidRPr="0004264F">
              <w:rPr>
                <w:rFonts w:cstheme="majorBidi"/>
                <w:sz w:val="20"/>
                <w:szCs w:val="20"/>
              </w:rPr>
              <w:t>(1)</w:t>
            </w:r>
          </w:p>
        </w:tc>
        <w:tc>
          <w:tcPr>
            <w:tcW w:w="2818" w:type="dxa"/>
            <w:tcBorders>
              <w:top w:val="single" w:sz="4" w:space="0" w:color="auto"/>
              <w:bottom w:val="single" w:sz="4" w:space="0" w:color="auto"/>
            </w:tcBorders>
            <w:vAlign w:val="center"/>
          </w:tcPr>
          <w:p w14:paraId="02DD126B" w14:textId="77777777" w:rsidR="00C61E40" w:rsidRPr="0004264F" w:rsidRDefault="00C61E40" w:rsidP="00306A15">
            <w:pPr>
              <w:widowControl w:val="0"/>
              <w:autoSpaceDE w:val="0"/>
              <w:autoSpaceDN w:val="0"/>
              <w:adjustRightInd w:val="0"/>
              <w:spacing w:after="0"/>
              <w:jc w:val="center"/>
              <w:rPr>
                <w:rFonts w:cstheme="majorBidi"/>
                <w:sz w:val="20"/>
                <w:szCs w:val="20"/>
              </w:rPr>
            </w:pPr>
            <w:r w:rsidRPr="0004264F">
              <w:rPr>
                <w:rFonts w:cstheme="majorBidi"/>
                <w:sz w:val="20"/>
                <w:szCs w:val="20"/>
              </w:rPr>
              <w:t>(2)</w:t>
            </w:r>
          </w:p>
        </w:tc>
      </w:tr>
      <w:tr w:rsidR="004A4CFD" w:rsidRPr="0004264F" w14:paraId="2DAC37A1" w14:textId="77777777" w:rsidTr="007665E2">
        <w:trPr>
          <w:trHeight w:val="222"/>
          <w:jc w:val="center"/>
        </w:trPr>
        <w:tc>
          <w:tcPr>
            <w:tcW w:w="4569" w:type="dxa"/>
            <w:vMerge w:val="restart"/>
            <w:tcBorders>
              <w:top w:val="single" w:sz="4" w:space="0" w:color="auto"/>
            </w:tcBorders>
            <w:vAlign w:val="center"/>
          </w:tcPr>
          <w:p w14:paraId="2044618E" w14:textId="77777777" w:rsidR="004A4CFD" w:rsidRPr="0004264F" w:rsidRDefault="004A4CFD" w:rsidP="004A4CFD">
            <w:pPr>
              <w:widowControl w:val="0"/>
              <w:autoSpaceDE w:val="0"/>
              <w:autoSpaceDN w:val="0"/>
              <w:adjustRightInd w:val="0"/>
              <w:spacing w:after="0"/>
              <w:rPr>
                <w:rFonts w:cstheme="majorBidi"/>
                <w:sz w:val="20"/>
                <w:szCs w:val="20"/>
              </w:rPr>
            </w:pPr>
            <w:r w:rsidRPr="0004264F">
              <w:rPr>
                <w:rFonts w:cstheme="majorBidi"/>
                <w:sz w:val="20"/>
                <w:szCs w:val="20"/>
              </w:rPr>
              <w:t>Deposits per Capita (STD)</w:t>
            </w:r>
          </w:p>
        </w:tc>
        <w:tc>
          <w:tcPr>
            <w:tcW w:w="2708" w:type="dxa"/>
            <w:tcBorders>
              <w:top w:val="single" w:sz="4" w:space="0" w:color="auto"/>
            </w:tcBorders>
          </w:tcPr>
          <w:p w14:paraId="7A5F4373" w14:textId="2C7AD650"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4.85125**</w:t>
            </w:r>
          </w:p>
        </w:tc>
        <w:tc>
          <w:tcPr>
            <w:tcW w:w="2818" w:type="dxa"/>
            <w:tcBorders>
              <w:top w:val="single" w:sz="4" w:space="0" w:color="auto"/>
            </w:tcBorders>
          </w:tcPr>
          <w:p w14:paraId="33AB7BD4" w14:textId="7F7C75F4"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1.93562***</w:t>
            </w:r>
          </w:p>
        </w:tc>
      </w:tr>
      <w:tr w:rsidR="004A4CFD" w:rsidRPr="0004264F" w14:paraId="7D2C0013" w14:textId="77777777" w:rsidTr="007665E2">
        <w:trPr>
          <w:trHeight w:val="238"/>
          <w:jc w:val="center"/>
        </w:trPr>
        <w:tc>
          <w:tcPr>
            <w:tcW w:w="4569" w:type="dxa"/>
            <w:vMerge/>
            <w:vAlign w:val="center"/>
          </w:tcPr>
          <w:p w14:paraId="42DEF600" w14:textId="77777777" w:rsidR="004A4CFD" w:rsidRPr="0004264F" w:rsidRDefault="004A4CFD" w:rsidP="004A4CFD">
            <w:pPr>
              <w:widowControl w:val="0"/>
              <w:autoSpaceDE w:val="0"/>
              <w:autoSpaceDN w:val="0"/>
              <w:adjustRightInd w:val="0"/>
              <w:spacing w:after="0"/>
              <w:rPr>
                <w:rFonts w:cstheme="majorBidi"/>
                <w:sz w:val="20"/>
                <w:szCs w:val="20"/>
              </w:rPr>
            </w:pPr>
          </w:p>
        </w:tc>
        <w:tc>
          <w:tcPr>
            <w:tcW w:w="2708" w:type="dxa"/>
          </w:tcPr>
          <w:p w14:paraId="7E904805" w14:textId="64C61480"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(2.42706)</w:t>
            </w:r>
          </w:p>
        </w:tc>
        <w:tc>
          <w:tcPr>
            <w:tcW w:w="2818" w:type="dxa"/>
          </w:tcPr>
          <w:p w14:paraId="0027E8D9" w14:textId="1E0D68AA"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(.70076)</w:t>
            </w:r>
          </w:p>
        </w:tc>
      </w:tr>
      <w:tr w:rsidR="004A4CFD" w:rsidRPr="0004264F" w14:paraId="5108619A" w14:textId="77777777" w:rsidTr="007665E2">
        <w:trPr>
          <w:trHeight w:val="238"/>
          <w:jc w:val="center"/>
        </w:trPr>
        <w:tc>
          <w:tcPr>
            <w:tcW w:w="4569" w:type="dxa"/>
            <w:vAlign w:val="center"/>
          </w:tcPr>
          <w:p w14:paraId="1C0BCE78" w14:textId="77777777" w:rsidR="004A4CFD" w:rsidRPr="0004264F" w:rsidRDefault="004A4CFD" w:rsidP="004A4CFD">
            <w:pPr>
              <w:widowControl w:val="0"/>
              <w:autoSpaceDE w:val="0"/>
              <w:autoSpaceDN w:val="0"/>
              <w:adjustRightInd w:val="0"/>
              <w:spacing w:after="0"/>
              <w:rPr>
                <w:rFonts w:cstheme="majorBidi"/>
                <w:sz w:val="20"/>
                <w:szCs w:val="20"/>
              </w:rPr>
            </w:pPr>
            <w:r w:rsidRPr="0004264F">
              <w:rPr>
                <w:rFonts w:cstheme="majorBidi"/>
                <w:sz w:val="20"/>
                <w:szCs w:val="20"/>
              </w:rPr>
              <w:t>Observations</w:t>
            </w:r>
          </w:p>
        </w:tc>
        <w:tc>
          <w:tcPr>
            <w:tcW w:w="2708" w:type="dxa"/>
          </w:tcPr>
          <w:p w14:paraId="0BFC84EC" w14:textId="03750665"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95690</w:t>
            </w:r>
          </w:p>
        </w:tc>
        <w:tc>
          <w:tcPr>
            <w:tcW w:w="2818" w:type="dxa"/>
          </w:tcPr>
          <w:p w14:paraId="71841578" w14:textId="3B8312DB"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1116246</w:t>
            </w:r>
          </w:p>
        </w:tc>
      </w:tr>
      <w:tr w:rsidR="004A4CFD" w:rsidRPr="0004264F" w14:paraId="51F3B049" w14:textId="77777777" w:rsidTr="007665E2">
        <w:trPr>
          <w:trHeight w:val="222"/>
          <w:jc w:val="center"/>
        </w:trPr>
        <w:tc>
          <w:tcPr>
            <w:tcW w:w="4569" w:type="dxa"/>
            <w:vAlign w:val="center"/>
          </w:tcPr>
          <w:p w14:paraId="4995229E" w14:textId="77777777" w:rsidR="004A4CFD" w:rsidRPr="0004264F" w:rsidRDefault="004A4CFD" w:rsidP="004A4CFD">
            <w:pPr>
              <w:widowControl w:val="0"/>
              <w:autoSpaceDE w:val="0"/>
              <w:autoSpaceDN w:val="0"/>
              <w:adjustRightInd w:val="0"/>
              <w:spacing w:after="0"/>
              <w:rPr>
                <w:rFonts w:cstheme="majorBidi"/>
                <w:sz w:val="20"/>
                <w:szCs w:val="20"/>
              </w:rPr>
            </w:pPr>
            <w:r w:rsidRPr="0004264F">
              <w:rPr>
                <w:rFonts w:cstheme="majorBidi"/>
                <w:sz w:val="20"/>
                <w:szCs w:val="20"/>
              </w:rPr>
              <w:t>R-squared</w:t>
            </w:r>
          </w:p>
        </w:tc>
        <w:tc>
          <w:tcPr>
            <w:tcW w:w="2708" w:type="dxa"/>
          </w:tcPr>
          <w:p w14:paraId="795DE0C9" w14:textId="2E771DF2"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.13416</w:t>
            </w:r>
          </w:p>
        </w:tc>
        <w:tc>
          <w:tcPr>
            <w:tcW w:w="2818" w:type="dxa"/>
          </w:tcPr>
          <w:p w14:paraId="2185739C" w14:textId="2AC4A435"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.10225</w:t>
            </w:r>
          </w:p>
        </w:tc>
      </w:tr>
      <w:tr w:rsidR="004A4CFD" w:rsidRPr="0004264F" w14:paraId="755BC0B9" w14:textId="77777777" w:rsidTr="007665E2">
        <w:trPr>
          <w:trHeight w:val="222"/>
          <w:jc w:val="center"/>
        </w:trPr>
        <w:tc>
          <w:tcPr>
            <w:tcW w:w="4569" w:type="dxa"/>
            <w:vAlign w:val="center"/>
          </w:tcPr>
          <w:p w14:paraId="0CBEB51E" w14:textId="77777777" w:rsidR="004A4CFD" w:rsidRPr="0004264F" w:rsidRDefault="004A4CFD" w:rsidP="004A4CFD">
            <w:pPr>
              <w:widowControl w:val="0"/>
              <w:autoSpaceDE w:val="0"/>
              <w:autoSpaceDN w:val="0"/>
              <w:adjustRightInd w:val="0"/>
              <w:spacing w:after="0"/>
              <w:rPr>
                <w:rFonts w:cstheme="majorBidi"/>
                <w:sz w:val="20"/>
                <w:szCs w:val="20"/>
              </w:rPr>
            </w:pPr>
            <w:r w:rsidRPr="0004264F">
              <w:rPr>
                <w:rFonts w:cstheme="majorBidi"/>
                <w:sz w:val="20"/>
                <w:szCs w:val="20"/>
              </w:rPr>
              <w:t>Mean DV</w:t>
            </w:r>
          </w:p>
        </w:tc>
        <w:tc>
          <w:tcPr>
            <w:tcW w:w="2708" w:type="dxa"/>
          </w:tcPr>
          <w:p w14:paraId="0B36F626" w14:textId="54DC502E"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754.521</w:t>
            </w:r>
          </w:p>
        </w:tc>
        <w:tc>
          <w:tcPr>
            <w:tcW w:w="2818" w:type="dxa"/>
          </w:tcPr>
          <w:p w14:paraId="568DD6C3" w14:textId="22FCE721"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773.914</w:t>
            </w:r>
          </w:p>
        </w:tc>
      </w:tr>
      <w:tr w:rsidR="004A4CFD" w:rsidRPr="0004264F" w14:paraId="713DF1CE" w14:textId="77777777" w:rsidTr="007665E2">
        <w:trPr>
          <w:trHeight w:val="238"/>
          <w:jc w:val="center"/>
        </w:trPr>
        <w:tc>
          <w:tcPr>
            <w:tcW w:w="4569" w:type="dxa"/>
            <w:tcBorders>
              <w:bottom w:val="single" w:sz="4" w:space="0" w:color="auto"/>
            </w:tcBorders>
            <w:vAlign w:val="center"/>
          </w:tcPr>
          <w:p w14:paraId="5BFD706B" w14:textId="77777777" w:rsidR="004A4CFD" w:rsidRPr="0004264F" w:rsidRDefault="004A4CFD" w:rsidP="004A4CFD">
            <w:pPr>
              <w:widowControl w:val="0"/>
              <w:autoSpaceDE w:val="0"/>
              <w:autoSpaceDN w:val="0"/>
              <w:adjustRightInd w:val="0"/>
              <w:spacing w:after="0"/>
              <w:rPr>
                <w:rFonts w:cstheme="majorBidi"/>
                <w:sz w:val="20"/>
                <w:szCs w:val="20"/>
              </w:rPr>
            </w:pPr>
            <w:r w:rsidRPr="0004264F">
              <w:rPr>
                <w:rFonts w:cstheme="majorBidi"/>
                <w:sz w:val="20"/>
                <w:szCs w:val="20"/>
              </w:rPr>
              <w:t>%Change</w:t>
            </w:r>
          </w:p>
        </w:tc>
        <w:tc>
          <w:tcPr>
            <w:tcW w:w="2708" w:type="dxa"/>
            <w:tcBorders>
              <w:bottom w:val="single" w:sz="4" w:space="0" w:color="auto"/>
            </w:tcBorders>
          </w:tcPr>
          <w:p w14:paraId="24CE926A" w14:textId="5B3B9E79"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0.643</w:t>
            </w:r>
          </w:p>
        </w:tc>
        <w:tc>
          <w:tcPr>
            <w:tcW w:w="2818" w:type="dxa"/>
            <w:tcBorders>
              <w:bottom w:val="single" w:sz="4" w:space="0" w:color="auto"/>
            </w:tcBorders>
          </w:tcPr>
          <w:p w14:paraId="23D3A24F" w14:textId="193B7EB9" w:rsidR="004A4CFD" w:rsidRPr="0004264F" w:rsidRDefault="004A4CFD" w:rsidP="004A4CFD">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0.250</w:t>
            </w:r>
          </w:p>
        </w:tc>
      </w:tr>
      <w:tr w:rsidR="00B82501" w:rsidRPr="0004264F" w14:paraId="22BA1E2A" w14:textId="77777777" w:rsidTr="009B5DB5">
        <w:trPr>
          <w:trHeight w:val="222"/>
          <w:jc w:val="center"/>
        </w:trPr>
        <w:tc>
          <w:tcPr>
            <w:tcW w:w="4569" w:type="dxa"/>
            <w:tcBorders>
              <w:top w:val="single" w:sz="4" w:space="0" w:color="auto"/>
            </w:tcBorders>
          </w:tcPr>
          <w:p w14:paraId="707263DE" w14:textId="77777777" w:rsidR="00B82501" w:rsidRPr="0004264F" w:rsidRDefault="00B82501" w:rsidP="00B82501">
            <w:pPr>
              <w:widowControl w:val="0"/>
              <w:autoSpaceDE w:val="0"/>
              <w:autoSpaceDN w:val="0"/>
              <w:adjustRightInd w:val="0"/>
              <w:spacing w:after="0"/>
              <w:rPr>
                <w:rFonts w:cstheme="majorBidi"/>
                <w:sz w:val="20"/>
                <w:szCs w:val="20"/>
              </w:rPr>
            </w:pPr>
            <w:r w:rsidRPr="0004264F">
              <w:rPr>
                <w:rFonts w:cstheme="majorBidi"/>
                <w:sz w:val="20"/>
                <w:szCs w:val="20"/>
              </w:rPr>
              <w:t>County FE</w:t>
            </w:r>
          </w:p>
        </w:tc>
        <w:tc>
          <w:tcPr>
            <w:tcW w:w="2708" w:type="dxa"/>
            <w:tcBorders>
              <w:top w:val="single" w:sz="4" w:space="0" w:color="auto"/>
            </w:tcBorders>
          </w:tcPr>
          <w:p w14:paraId="6F6E3B8C" w14:textId="1A792EDD"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2818" w:type="dxa"/>
            <w:tcBorders>
              <w:top w:val="single" w:sz="4" w:space="0" w:color="auto"/>
            </w:tcBorders>
          </w:tcPr>
          <w:p w14:paraId="72EF6C75" w14:textId="36079BD8"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B82501" w:rsidRPr="0004264F" w14:paraId="7D9A8029" w14:textId="77777777" w:rsidTr="009B5DB5">
        <w:trPr>
          <w:trHeight w:val="152"/>
          <w:jc w:val="center"/>
        </w:trPr>
        <w:tc>
          <w:tcPr>
            <w:tcW w:w="4569" w:type="dxa"/>
          </w:tcPr>
          <w:p w14:paraId="5923FBA9" w14:textId="5CF272DA" w:rsidR="00B82501" w:rsidRPr="0004264F" w:rsidRDefault="00B82501" w:rsidP="00B82501">
            <w:pPr>
              <w:widowControl w:val="0"/>
              <w:autoSpaceDE w:val="0"/>
              <w:autoSpaceDN w:val="0"/>
              <w:adjustRightInd w:val="0"/>
              <w:spacing w:after="0"/>
              <w:rPr>
                <w:rFonts w:cstheme="majorBidi"/>
                <w:sz w:val="20"/>
                <w:szCs w:val="20"/>
              </w:rPr>
            </w:pPr>
            <w:r w:rsidRPr="0004264F">
              <w:rPr>
                <w:rFonts w:cstheme="majorBidi"/>
                <w:sz w:val="20"/>
                <w:szCs w:val="20"/>
              </w:rPr>
              <w:t>SEA-by-Birth-Year FE</w:t>
            </w:r>
          </w:p>
        </w:tc>
        <w:tc>
          <w:tcPr>
            <w:tcW w:w="2708" w:type="dxa"/>
          </w:tcPr>
          <w:p w14:paraId="547A6A65" w14:textId="5C2CF6AD"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2818" w:type="dxa"/>
          </w:tcPr>
          <w:p w14:paraId="77508306" w14:textId="440030C0"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B82501" w:rsidRPr="0004264F" w14:paraId="5DA8FAD2" w14:textId="77777777" w:rsidTr="009B5DB5">
        <w:trPr>
          <w:trHeight w:val="222"/>
          <w:jc w:val="center"/>
        </w:trPr>
        <w:tc>
          <w:tcPr>
            <w:tcW w:w="4569" w:type="dxa"/>
            <w:vAlign w:val="center"/>
          </w:tcPr>
          <w:p w14:paraId="2B33A1A7" w14:textId="77777777" w:rsidR="00B82501" w:rsidRPr="0004264F" w:rsidRDefault="00B82501" w:rsidP="00B82501">
            <w:pPr>
              <w:widowControl w:val="0"/>
              <w:autoSpaceDE w:val="0"/>
              <w:autoSpaceDN w:val="0"/>
              <w:adjustRightInd w:val="0"/>
              <w:spacing w:after="0"/>
              <w:rPr>
                <w:rFonts w:cstheme="majorBidi"/>
                <w:sz w:val="20"/>
                <w:szCs w:val="20"/>
              </w:rPr>
            </w:pPr>
            <w:r w:rsidRPr="0004264F">
              <w:rPr>
                <w:rFonts w:cstheme="majorBidi"/>
                <w:sz w:val="20"/>
                <w:szCs w:val="20"/>
              </w:rPr>
              <w:t>Individual Controls</w:t>
            </w:r>
          </w:p>
        </w:tc>
        <w:tc>
          <w:tcPr>
            <w:tcW w:w="2708" w:type="dxa"/>
          </w:tcPr>
          <w:p w14:paraId="76CD47C6" w14:textId="565B10C9"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2818" w:type="dxa"/>
          </w:tcPr>
          <w:p w14:paraId="3C477B67" w14:textId="7E9FE374"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B82501" w:rsidRPr="0004264F" w14:paraId="11A63761" w14:textId="77777777" w:rsidTr="007665E2">
        <w:trPr>
          <w:trHeight w:val="238"/>
          <w:jc w:val="center"/>
        </w:trPr>
        <w:tc>
          <w:tcPr>
            <w:tcW w:w="4569" w:type="dxa"/>
            <w:vAlign w:val="center"/>
          </w:tcPr>
          <w:p w14:paraId="36AB337D" w14:textId="77777777" w:rsidR="00B82501" w:rsidRPr="0004264F" w:rsidRDefault="00B82501" w:rsidP="00B82501">
            <w:pPr>
              <w:widowControl w:val="0"/>
              <w:autoSpaceDE w:val="0"/>
              <w:autoSpaceDN w:val="0"/>
              <w:adjustRightInd w:val="0"/>
              <w:spacing w:after="0"/>
              <w:rPr>
                <w:rFonts w:cstheme="majorBidi"/>
                <w:sz w:val="20"/>
                <w:szCs w:val="20"/>
              </w:rPr>
            </w:pPr>
            <w:r w:rsidRPr="0004264F">
              <w:rPr>
                <w:rFonts w:cstheme="majorBidi"/>
                <w:sz w:val="20"/>
                <w:szCs w:val="20"/>
              </w:rPr>
              <w:t>Family Controls</w:t>
            </w:r>
          </w:p>
        </w:tc>
        <w:tc>
          <w:tcPr>
            <w:tcW w:w="2708" w:type="dxa"/>
          </w:tcPr>
          <w:p w14:paraId="60E31D26" w14:textId="56E5E3AF"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2818" w:type="dxa"/>
          </w:tcPr>
          <w:p w14:paraId="03E21360" w14:textId="4C5C84DE"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B82501" w:rsidRPr="0004264F" w14:paraId="0A02CD2A" w14:textId="77777777" w:rsidTr="007665E2">
        <w:trPr>
          <w:trHeight w:val="222"/>
          <w:jc w:val="center"/>
        </w:trPr>
        <w:tc>
          <w:tcPr>
            <w:tcW w:w="4569" w:type="dxa"/>
            <w:tcBorders>
              <w:bottom w:val="single" w:sz="4" w:space="0" w:color="auto"/>
            </w:tcBorders>
            <w:vAlign w:val="center"/>
          </w:tcPr>
          <w:p w14:paraId="30A73F22" w14:textId="77777777" w:rsidR="00B82501" w:rsidRPr="0004264F" w:rsidRDefault="00B82501" w:rsidP="00B82501">
            <w:pPr>
              <w:widowControl w:val="0"/>
              <w:autoSpaceDE w:val="0"/>
              <w:autoSpaceDN w:val="0"/>
              <w:adjustRightInd w:val="0"/>
              <w:spacing w:after="0"/>
              <w:rPr>
                <w:rFonts w:cstheme="majorBidi"/>
                <w:sz w:val="20"/>
                <w:szCs w:val="20"/>
              </w:rPr>
            </w:pPr>
            <w:r w:rsidRPr="0004264F">
              <w:rPr>
                <w:rFonts w:cstheme="majorBidi"/>
                <w:sz w:val="20"/>
                <w:szCs w:val="20"/>
              </w:rPr>
              <w:t>County Controls</w:t>
            </w:r>
          </w:p>
        </w:tc>
        <w:tc>
          <w:tcPr>
            <w:tcW w:w="2708" w:type="dxa"/>
            <w:tcBorders>
              <w:bottom w:val="single" w:sz="4" w:space="0" w:color="auto"/>
            </w:tcBorders>
          </w:tcPr>
          <w:p w14:paraId="1B2DCC5A" w14:textId="14621FC1"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2818" w:type="dxa"/>
            <w:tcBorders>
              <w:bottom w:val="single" w:sz="4" w:space="0" w:color="auto"/>
            </w:tcBorders>
          </w:tcPr>
          <w:p w14:paraId="470559BC" w14:textId="1368E032" w:rsidR="00B82501" w:rsidRPr="0004264F" w:rsidRDefault="00B82501" w:rsidP="00B82501">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4A4CFD" w:rsidRPr="0004264F" w14:paraId="409E6434" w14:textId="77777777" w:rsidTr="004463FA">
        <w:trPr>
          <w:trHeight w:val="222"/>
          <w:jc w:val="center"/>
        </w:trPr>
        <w:tc>
          <w:tcPr>
            <w:tcW w:w="10095" w:type="dxa"/>
            <w:gridSpan w:val="3"/>
            <w:tcBorders>
              <w:top w:val="single" w:sz="4" w:space="0" w:color="auto"/>
            </w:tcBorders>
            <w:vAlign w:val="center"/>
          </w:tcPr>
          <w:p w14:paraId="3F8B326E" w14:textId="173BC0B5" w:rsidR="004A4CFD" w:rsidRPr="0004264F" w:rsidRDefault="004A4CFD" w:rsidP="004A4CFD">
            <w:pPr>
              <w:widowControl w:val="0"/>
              <w:autoSpaceDE w:val="0"/>
              <w:autoSpaceDN w:val="0"/>
              <w:adjustRightInd w:val="0"/>
              <w:spacing w:after="0"/>
              <w:jc w:val="both"/>
              <w:rPr>
                <w:rFonts w:cstheme="majorBidi"/>
                <w:sz w:val="20"/>
                <w:szCs w:val="20"/>
              </w:rPr>
            </w:pPr>
            <w:r w:rsidRPr="0004264F">
              <w:rPr>
                <w:rFonts w:cstheme="majorBidi"/>
                <w:sz w:val="20"/>
                <w:szCs w:val="20"/>
              </w:rPr>
              <w:t>Notes. Standard errors, clustered at the county-level, are in parentheses.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w:t>
            </w:r>
          </w:p>
          <w:p w14:paraId="5A1A79F4" w14:textId="77777777" w:rsidR="004A4CFD" w:rsidRPr="0004264F" w:rsidRDefault="004A4CFD" w:rsidP="004A4CFD">
            <w:pPr>
              <w:widowControl w:val="0"/>
              <w:autoSpaceDE w:val="0"/>
              <w:autoSpaceDN w:val="0"/>
              <w:adjustRightInd w:val="0"/>
              <w:spacing w:after="0"/>
              <w:jc w:val="both"/>
              <w:rPr>
                <w:rFonts w:cstheme="majorBidi"/>
                <w:sz w:val="20"/>
                <w:szCs w:val="20"/>
              </w:rPr>
            </w:pPr>
            <w:r w:rsidRPr="0004264F">
              <w:rPr>
                <w:rFonts w:cstheme="majorBidi"/>
                <w:sz w:val="20"/>
                <w:szCs w:val="20"/>
              </w:rPr>
              <w:t>*** p&lt;0.01, ** p&lt;0.05, * p&lt;0.1</w:t>
            </w:r>
          </w:p>
          <w:p w14:paraId="4D5E959C" w14:textId="77777777" w:rsidR="004A4CFD" w:rsidRPr="0004264F" w:rsidRDefault="004A4CFD" w:rsidP="004A4CFD">
            <w:pPr>
              <w:keepNext/>
              <w:widowControl w:val="0"/>
              <w:autoSpaceDE w:val="0"/>
              <w:autoSpaceDN w:val="0"/>
              <w:adjustRightInd w:val="0"/>
              <w:spacing w:after="0"/>
              <w:jc w:val="center"/>
              <w:rPr>
                <w:rFonts w:cstheme="majorBidi"/>
                <w:sz w:val="20"/>
                <w:szCs w:val="20"/>
              </w:rPr>
            </w:pPr>
          </w:p>
        </w:tc>
      </w:tr>
    </w:tbl>
    <w:p w14:paraId="1BED9A7A" w14:textId="36BADBF7" w:rsidR="00C61E40" w:rsidRPr="0004264F" w:rsidRDefault="00C61E40" w:rsidP="00F32C69">
      <w:pPr>
        <w:rPr>
          <w:rFonts w:cstheme="majorBidi"/>
          <w:b/>
          <w:bCs/>
          <w:sz w:val="20"/>
          <w:szCs w:val="20"/>
        </w:rPr>
      </w:pPr>
    </w:p>
    <w:p w14:paraId="39956873" w14:textId="1500EB3C" w:rsidR="00E5692A" w:rsidRPr="0004264F" w:rsidRDefault="00E5692A" w:rsidP="00F32C69">
      <w:pPr>
        <w:rPr>
          <w:rFonts w:cstheme="majorBidi"/>
          <w:b/>
          <w:bCs/>
          <w:sz w:val="20"/>
          <w:szCs w:val="20"/>
        </w:rPr>
      </w:pPr>
    </w:p>
    <w:p w14:paraId="5F4D2181" w14:textId="3C5D7976" w:rsidR="00E5692A" w:rsidRPr="0004264F" w:rsidRDefault="00E5692A" w:rsidP="00F32C69">
      <w:pPr>
        <w:rPr>
          <w:rFonts w:cstheme="majorBidi"/>
          <w:b/>
          <w:bCs/>
          <w:sz w:val="20"/>
          <w:szCs w:val="20"/>
        </w:rPr>
      </w:pPr>
    </w:p>
    <w:p w14:paraId="690985F2" w14:textId="7DBEA5CB" w:rsidR="00E5692A" w:rsidRPr="0004264F" w:rsidRDefault="00E5692A" w:rsidP="00F32C69">
      <w:pPr>
        <w:rPr>
          <w:rFonts w:cstheme="majorBidi"/>
          <w:b/>
          <w:bCs/>
          <w:sz w:val="20"/>
          <w:szCs w:val="20"/>
        </w:rPr>
      </w:pPr>
    </w:p>
    <w:p w14:paraId="15EB4905" w14:textId="2938DCF3" w:rsidR="00E5692A" w:rsidRPr="0004264F" w:rsidRDefault="00E5692A" w:rsidP="00F32C69">
      <w:pPr>
        <w:rPr>
          <w:rFonts w:cstheme="majorBidi"/>
          <w:b/>
          <w:bCs/>
          <w:sz w:val="20"/>
          <w:szCs w:val="20"/>
        </w:rPr>
      </w:pPr>
    </w:p>
    <w:p w14:paraId="058127F4" w14:textId="12B5C140" w:rsidR="00E5692A" w:rsidRPr="0004264F" w:rsidRDefault="00E5692A" w:rsidP="00F32C69">
      <w:pPr>
        <w:rPr>
          <w:rFonts w:cstheme="majorBidi"/>
          <w:b/>
          <w:bCs/>
          <w:sz w:val="20"/>
          <w:szCs w:val="20"/>
        </w:rPr>
      </w:pPr>
    </w:p>
    <w:p w14:paraId="61C37F54" w14:textId="2F46BC50" w:rsidR="00E5692A" w:rsidRPr="0004264F" w:rsidRDefault="00E5692A" w:rsidP="00F32C69">
      <w:pPr>
        <w:rPr>
          <w:rFonts w:cstheme="majorBidi"/>
          <w:b/>
          <w:bCs/>
          <w:sz w:val="20"/>
          <w:szCs w:val="20"/>
        </w:rPr>
      </w:pPr>
    </w:p>
    <w:p w14:paraId="47B31C9B" w14:textId="54C295D0" w:rsidR="00E5692A" w:rsidRPr="0004264F" w:rsidRDefault="00E5692A" w:rsidP="00F32C69">
      <w:pPr>
        <w:rPr>
          <w:rFonts w:cstheme="majorBidi"/>
          <w:b/>
          <w:bCs/>
          <w:sz w:val="20"/>
          <w:szCs w:val="20"/>
        </w:rPr>
      </w:pPr>
    </w:p>
    <w:p w14:paraId="47FA38AF" w14:textId="30C00519" w:rsidR="00E5692A" w:rsidRPr="0004264F" w:rsidRDefault="00E5692A" w:rsidP="00F32C69">
      <w:pPr>
        <w:rPr>
          <w:rFonts w:cstheme="majorBidi"/>
          <w:b/>
          <w:bCs/>
          <w:sz w:val="20"/>
          <w:szCs w:val="20"/>
        </w:rPr>
      </w:pPr>
    </w:p>
    <w:p w14:paraId="57BA9341" w14:textId="77777777" w:rsidR="00E5692A" w:rsidRPr="0004264F" w:rsidRDefault="00E5692A" w:rsidP="00F32C69">
      <w:pPr>
        <w:rPr>
          <w:rFonts w:cstheme="majorBidi"/>
          <w:b/>
          <w:bCs/>
          <w:sz w:val="20"/>
          <w:szCs w:val="20"/>
        </w:rPr>
        <w:sectPr w:rsidR="00E5692A" w:rsidRPr="0004264F" w:rsidSect="00847BB4">
          <w:pgSz w:w="12240" w:h="15840" w:code="1"/>
          <w:pgMar w:top="1440" w:right="1440" w:bottom="1440" w:left="1440" w:header="720" w:footer="720" w:gutter="0"/>
          <w:cols w:space="720"/>
          <w:docGrid w:linePitch="360"/>
        </w:sectPr>
      </w:pPr>
    </w:p>
    <w:p w14:paraId="5190522B" w14:textId="4254E021" w:rsidR="00E5692A" w:rsidRPr="0004264F" w:rsidRDefault="00E5692A" w:rsidP="00E5692A">
      <w:pPr>
        <w:pStyle w:val="Heading3"/>
        <w:bidi w:val="0"/>
      </w:pPr>
      <w:bookmarkStart w:id="26" w:name="_Ref105368166"/>
    </w:p>
    <w:bookmarkEnd w:id="26"/>
    <w:p w14:paraId="4D271B45" w14:textId="7B014D00" w:rsidR="00E5692A" w:rsidRPr="0004264F" w:rsidRDefault="00F45DF3" w:rsidP="00A6668D">
      <w:pPr>
        <w:spacing w:before="100" w:after="100" w:line="360" w:lineRule="auto"/>
        <w:ind w:firstLine="720"/>
        <w:jc w:val="both"/>
        <w:rPr>
          <w:rFonts w:cstheme="majorBidi"/>
          <w:szCs w:val="24"/>
        </w:rPr>
      </w:pPr>
      <w:r w:rsidRPr="0004264F">
        <w:rPr>
          <w:rFonts w:cstheme="majorBidi"/>
          <w:szCs w:val="24"/>
        </w:rPr>
        <w:t>In this appendix, we replicate the main results us</w:t>
      </w:r>
      <w:r w:rsidR="00E66FAD" w:rsidRPr="0004264F">
        <w:rPr>
          <w:rFonts w:cstheme="majorBidi"/>
          <w:szCs w:val="24"/>
        </w:rPr>
        <w:t>ing Numident death records (1988-2005) as an</w:t>
      </w:r>
      <w:r w:rsidRPr="0004264F">
        <w:rPr>
          <w:rFonts w:cstheme="majorBidi"/>
          <w:szCs w:val="24"/>
        </w:rPr>
        <w:t xml:space="preserve"> alternative data sour</w:t>
      </w:r>
      <w:r w:rsidR="00E66FAD" w:rsidRPr="0004264F">
        <w:rPr>
          <w:rFonts w:cstheme="majorBidi"/>
          <w:szCs w:val="24"/>
        </w:rPr>
        <w:t>c</w:t>
      </w:r>
      <w:r w:rsidRPr="0004264F">
        <w:rPr>
          <w:rFonts w:cstheme="majorBidi"/>
          <w:szCs w:val="24"/>
        </w:rPr>
        <w:t>e</w:t>
      </w:r>
      <w:r w:rsidR="00E66FAD" w:rsidRPr="0004264F">
        <w:rPr>
          <w:rFonts w:cstheme="majorBidi"/>
          <w:szCs w:val="24"/>
        </w:rPr>
        <w:t xml:space="preserve">. </w:t>
      </w:r>
      <w:r w:rsidR="009404F1" w:rsidRPr="0004264F">
        <w:rPr>
          <w:rFonts w:cstheme="majorBidi"/>
          <w:szCs w:val="24"/>
        </w:rPr>
        <w:t xml:space="preserve">We start by replicating the full specification of column 4 of </w:t>
      </w:r>
      <w:r w:rsidR="00A6668D" w:rsidRPr="0004264F">
        <w:rPr>
          <w:rFonts w:cstheme="majorBidi"/>
          <w:szCs w:val="24"/>
        </w:rPr>
        <w:fldChar w:fldCharType="begin"/>
      </w:r>
      <w:r w:rsidR="00A6668D" w:rsidRPr="0004264F">
        <w:rPr>
          <w:rFonts w:cstheme="majorBidi"/>
          <w:szCs w:val="24"/>
        </w:rPr>
        <w:instrText xml:space="preserve"> REF _Ref111322750 \h </w:instrText>
      </w:r>
      <w:r w:rsidR="00A57EB6" w:rsidRPr="0004264F">
        <w:rPr>
          <w:rFonts w:cstheme="majorBidi"/>
          <w:szCs w:val="24"/>
        </w:rPr>
        <w:instrText xml:space="preserve"> \* MERGEFORMAT </w:instrText>
      </w:r>
      <w:r w:rsidR="00A6668D" w:rsidRPr="0004264F">
        <w:rPr>
          <w:rFonts w:cstheme="majorBidi"/>
          <w:szCs w:val="24"/>
        </w:rPr>
      </w:r>
      <w:r w:rsidR="00A6668D" w:rsidRPr="0004264F">
        <w:rPr>
          <w:rFonts w:cstheme="majorBidi"/>
          <w:szCs w:val="24"/>
        </w:rPr>
        <w:fldChar w:fldCharType="separate"/>
      </w:r>
      <w:r w:rsidR="00A6668D" w:rsidRPr="0004264F">
        <w:rPr>
          <w:rFonts w:cstheme="majorBidi"/>
        </w:rPr>
        <w:t xml:space="preserve">Table </w:t>
      </w:r>
      <w:r w:rsidR="00A6668D" w:rsidRPr="0004264F">
        <w:rPr>
          <w:rFonts w:cstheme="majorBidi"/>
          <w:noProof/>
        </w:rPr>
        <w:t>4</w:t>
      </w:r>
      <w:r w:rsidR="00A6668D" w:rsidRPr="0004264F">
        <w:rPr>
          <w:rFonts w:cstheme="majorBidi"/>
          <w:szCs w:val="24"/>
        </w:rPr>
        <w:fldChar w:fldCharType="end"/>
      </w:r>
      <w:r w:rsidR="00A6668D" w:rsidRPr="0004264F">
        <w:rPr>
          <w:rFonts w:cstheme="majorBidi"/>
          <w:szCs w:val="24"/>
        </w:rPr>
        <w:t xml:space="preserve"> </w:t>
      </w:r>
      <w:r w:rsidR="009404F1" w:rsidRPr="0004264F">
        <w:rPr>
          <w:rFonts w:cstheme="majorBidi"/>
          <w:szCs w:val="24"/>
        </w:rPr>
        <w:t xml:space="preserve">in the first column of </w:t>
      </w:r>
      <w:r w:rsidR="009404F1" w:rsidRPr="0004264F">
        <w:rPr>
          <w:rFonts w:cstheme="majorBidi"/>
          <w:szCs w:val="24"/>
        </w:rPr>
        <w:fldChar w:fldCharType="begin"/>
      </w:r>
      <w:r w:rsidR="009404F1" w:rsidRPr="0004264F">
        <w:rPr>
          <w:rFonts w:cstheme="majorBidi"/>
          <w:szCs w:val="24"/>
        </w:rPr>
        <w:instrText xml:space="preserve"> REF _Ref105368270 \h </w:instrText>
      </w:r>
      <w:r w:rsidR="00033EB9" w:rsidRPr="0004264F">
        <w:rPr>
          <w:rFonts w:cstheme="majorBidi"/>
          <w:szCs w:val="24"/>
        </w:rPr>
        <w:instrText xml:space="preserve"> \* MERGEFORMAT </w:instrText>
      </w:r>
      <w:r w:rsidR="009404F1" w:rsidRPr="0004264F">
        <w:rPr>
          <w:rFonts w:cstheme="majorBidi"/>
          <w:szCs w:val="24"/>
        </w:rPr>
      </w:r>
      <w:r w:rsidR="009404F1" w:rsidRPr="0004264F">
        <w:rPr>
          <w:rFonts w:cstheme="majorBidi"/>
          <w:szCs w:val="24"/>
        </w:rPr>
        <w:fldChar w:fldCharType="separate"/>
      </w:r>
      <w:r w:rsidR="00CA5B9D" w:rsidRPr="0004264F">
        <w:rPr>
          <w:rFonts w:cstheme="majorBidi"/>
        </w:rPr>
        <w:t xml:space="preserve">Appendix Table </w:t>
      </w:r>
      <w:r w:rsidR="00CA5B9D" w:rsidRPr="0004264F">
        <w:rPr>
          <w:rFonts w:cstheme="majorBidi"/>
          <w:noProof/>
        </w:rPr>
        <w:t>B</w:t>
      </w:r>
      <w:r w:rsidR="00CA5B9D" w:rsidRPr="0004264F">
        <w:rPr>
          <w:rFonts w:cstheme="majorBidi"/>
          <w:noProof/>
        </w:rPr>
        <w:noBreakHyphen/>
        <w:t>1</w:t>
      </w:r>
      <w:r w:rsidR="009404F1" w:rsidRPr="0004264F">
        <w:rPr>
          <w:rFonts w:cstheme="majorBidi"/>
          <w:szCs w:val="24"/>
        </w:rPr>
        <w:fldChar w:fldCharType="end"/>
      </w:r>
      <w:r w:rsidR="009404F1" w:rsidRPr="0004264F">
        <w:rPr>
          <w:rFonts w:cstheme="majorBidi"/>
          <w:szCs w:val="24"/>
        </w:rPr>
        <w:t>.</w:t>
      </w:r>
      <w:r w:rsidR="001A2EAD" w:rsidRPr="0004264F">
        <w:rPr>
          <w:rFonts w:cstheme="majorBidi"/>
          <w:szCs w:val="24"/>
        </w:rPr>
        <w:t xml:space="preserve"> We then restrict DMF data to the coverage years of Numident data, i.e., years 1988-2005, in column 2. </w:t>
      </w:r>
      <w:r w:rsidR="00C114EB" w:rsidRPr="0004264F">
        <w:rPr>
          <w:rFonts w:cstheme="majorBidi"/>
          <w:szCs w:val="24"/>
        </w:rPr>
        <w:t>We reach a significant coefficient of</w:t>
      </w:r>
      <w:r w:rsidR="00A6668D" w:rsidRPr="0004264F">
        <w:rPr>
          <w:rFonts w:cstheme="majorBidi"/>
          <w:szCs w:val="24"/>
        </w:rPr>
        <w:t xml:space="preserve"> 0.65</w:t>
      </w:r>
      <w:r w:rsidR="00C114EB" w:rsidRPr="0004264F">
        <w:rPr>
          <w:rFonts w:cstheme="majorBidi"/>
          <w:szCs w:val="24"/>
        </w:rPr>
        <w:t xml:space="preserve">, about </w:t>
      </w:r>
      <w:r w:rsidR="00A6668D" w:rsidRPr="0004264F">
        <w:rPr>
          <w:rFonts w:cstheme="majorBidi"/>
          <w:szCs w:val="24"/>
        </w:rPr>
        <w:t xml:space="preserve">38 percent of </w:t>
      </w:r>
      <w:r w:rsidR="00C114EB" w:rsidRPr="0004264F">
        <w:rPr>
          <w:rFonts w:cstheme="majorBidi"/>
          <w:szCs w:val="24"/>
        </w:rPr>
        <w:t xml:space="preserve">the size of the main results. Using male deaths in Numident, we observe an effect of </w:t>
      </w:r>
      <w:r w:rsidR="00A6668D" w:rsidRPr="0004264F">
        <w:rPr>
          <w:rFonts w:cstheme="majorBidi"/>
          <w:szCs w:val="24"/>
        </w:rPr>
        <w:t>0.8</w:t>
      </w:r>
      <w:r w:rsidR="00C114EB" w:rsidRPr="0004264F">
        <w:rPr>
          <w:rFonts w:cstheme="majorBidi"/>
          <w:szCs w:val="24"/>
        </w:rPr>
        <w:t xml:space="preserve"> months (column 3). Comparing columns 2 and 3, we observe a relatively larger effect in Numident data. However, focusing on female death records reveal an insignificant effect of 0.</w:t>
      </w:r>
      <w:r w:rsidR="00A6668D" w:rsidRPr="0004264F">
        <w:rPr>
          <w:rFonts w:cstheme="majorBidi"/>
          <w:szCs w:val="24"/>
        </w:rPr>
        <w:t>3</w:t>
      </w:r>
      <w:r w:rsidR="00C114EB" w:rsidRPr="0004264F">
        <w:rPr>
          <w:rFonts w:cstheme="majorBidi"/>
          <w:szCs w:val="24"/>
        </w:rPr>
        <w:t xml:space="preserve"> months (column 4). Pooling both genders in Numident data suggests a significant effect of </w:t>
      </w:r>
      <w:r w:rsidR="00A6668D" w:rsidRPr="0004264F">
        <w:rPr>
          <w:rFonts w:cstheme="majorBidi"/>
          <w:szCs w:val="24"/>
        </w:rPr>
        <w:t>0.55</w:t>
      </w:r>
      <w:r w:rsidR="00C114EB" w:rsidRPr="0004264F">
        <w:rPr>
          <w:rFonts w:cstheme="majorBidi"/>
          <w:szCs w:val="24"/>
        </w:rPr>
        <w:t xml:space="preserve"> months (column 5). </w:t>
      </w:r>
    </w:p>
    <w:p w14:paraId="735637DF" w14:textId="11DF5126" w:rsidR="00E5692A" w:rsidRPr="0004264F" w:rsidRDefault="00E5692A" w:rsidP="00C25371">
      <w:pPr>
        <w:spacing w:before="100" w:after="100" w:line="360" w:lineRule="auto"/>
        <w:ind w:firstLine="720"/>
        <w:rPr>
          <w:rFonts w:cstheme="majorBidi"/>
          <w:szCs w:val="24"/>
        </w:rPr>
      </w:pPr>
    </w:p>
    <w:p w14:paraId="3F38D1AE" w14:textId="5A846C2D" w:rsidR="00E5692A" w:rsidRPr="0004264F" w:rsidRDefault="00E5692A" w:rsidP="00C25371">
      <w:pPr>
        <w:spacing w:before="100" w:after="100" w:line="360" w:lineRule="auto"/>
        <w:ind w:firstLine="720"/>
        <w:rPr>
          <w:rFonts w:cstheme="majorBidi"/>
          <w:szCs w:val="24"/>
        </w:rPr>
      </w:pPr>
    </w:p>
    <w:p w14:paraId="2536DB9B" w14:textId="25469503" w:rsidR="00E5692A" w:rsidRPr="0004264F" w:rsidRDefault="00E5692A" w:rsidP="00C25371">
      <w:pPr>
        <w:spacing w:before="100" w:after="100" w:line="360" w:lineRule="auto"/>
        <w:ind w:firstLine="720"/>
        <w:rPr>
          <w:rFonts w:cstheme="majorBidi"/>
          <w:szCs w:val="24"/>
        </w:rPr>
      </w:pPr>
    </w:p>
    <w:p w14:paraId="1FCF4BD7" w14:textId="2BB811AA" w:rsidR="00E5692A" w:rsidRPr="0004264F" w:rsidRDefault="00E5692A" w:rsidP="00C25371">
      <w:pPr>
        <w:spacing w:before="100" w:after="100" w:line="360" w:lineRule="auto"/>
        <w:ind w:firstLine="720"/>
        <w:rPr>
          <w:rFonts w:cstheme="majorBidi"/>
          <w:szCs w:val="24"/>
        </w:rPr>
      </w:pPr>
    </w:p>
    <w:p w14:paraId="4F8A7090" w14:textId="2E1C0F93" w:rsidR="00E5692A" w:rsidRPr="0004264F" w:rsidRDefault="00E5692A" w:rsidP="00C25371">
      <w:pPr>
        <w:spacing w:before="100" w:after="100" w:line="360" w:lineRule="auto"/>
        <w:ind w:firstLine="720"/>
        <w:rPr>
          <w:rFonts w:cstheme="majorBidi"/>
          <w:szCs w:val="24"/>
        </w:rPr>
      </w:pPr>
    </w:p>
    <w:p w14:paraId="058E36F3" w14:textId="22AB1BB6" w:rsidR="00E5692A" w:rsidRPr="0004264F" w:rsidRDefault="00E5692A" w:rsidP="00C25371">
      <w:pPr>
        <w:spacing w:before="100" w:after="100" w:line="360" w:lineRule="auto"/>
        <w:ind w:firstLine="720"/>
        <w:rPr>
          <w:rFonts w:cstheme="majorBidi"/>
          <w:szCs w:val="24"/>
        </w:rPr>
      </w:pPr>
    </w:p>
    <w:p w14:paraId="1952D436" w14:textId="6CAC10BC" w:rsidR="00E5692A" w:rsidRPr="0004264F" w:rsidRDefault="00E5692A" w:rsidP="00C25371">
      <w:pPr>
        <w:spacing w:before="100" w:after="100" w:line="360" w:lineRule="auto"/>
        <w:ind w:firstLine="720"/>
        <w:rPr>
          <w:rFonts w:cstheme="majorBidi"/>
          <w:szCs w:val="24"/>
        </w:rPr>
      </w:pPr>
    </w:p>
    <w:p w14:paraId="200AEF17" w14:textId="22CC7AAC" w:rsidR="00E5692A" w:rsidRPr="0004264F" w:rsidRDefault="00E5692A" w:rsidP="00F32C69">
      <w:pPr>
        <w:rPr>
          <w:rFonts w:cstheme="majorBidi"/>
          <w:szCs w:val="24"/>
        </w:rPr>
      </w:pPr>
    </w:p>
    <w:p w14:paraId="198AE31E" w14:textId="3EB80309" w:rsidR="00E5692A" w:rsidRPr="0004264F" w:rsidRDefault="00E5692A" w:rsidP="00F32C69">
      <w:pPr>
        <w:rPr>
          <w:rFonts w:cstheme="majorBidi"/>
          <w:szCs w:val="24"/>
        </w:rPr>
      </w:pPr>
    </w:p>
    <w:p w14:paraId="345937C1" w14:textId="6721678A" w:rsidR="00E5692A" w:rsidRPr="0004264F" w:rsidRDefault="00E5692A" w:rsidP="00F32C69">
      <w:pPr>
        <w:rPr>
          <w:rFonts w:cstheme="majorBidi"/>
          <w:szCs w:val="24"/>
        </w:rPr>
      </w:pPr>
    </w:p>
    <w:p w14:paraId="078E1392" w14:textId="0C3F9C51" w:rsidR="00E5692A" w:rsidRPr="0004264F" w:rsidRDefault="00E5692A" w:rsidP="00F32C69">
      <w:pPr>
        <w:rPr>
          <w:rFonts w:cstheme="majorBidi"/>
          <w:szCs w:val="24"/>
        </w:rPr>
      </w:pPr>
    </w:p>
    <w:p w14:paraId="7F5C8539" w14:textId="2AB866E1" w:rsidR="00E5692A" w:rsidRPr="0004264F" w:rsidRDefault="00E5692A" w:rsidP="00F32C69">
      <w:pPr>
        <w:rPr>
          <w:rFonts w:cstheme="majorBidi"/>
          <w:szCs w:val="24"/>
        </w:rPr>
      </w:pPr>
    </w:p>
    <w:p w14:paraId="7F4F9396" w14:textId="7100AC6C" w:rsidR="00E5692A" w:rsidRPr="0004264F" w:rsidRDefault="00E5692A" w:rsidP="00F32C69">
      <w:pPr>
        <w:rPr>
          <w:rFonts w:cstheme="majorBidi"/>
          <w:szCs w:val="24"/>
        </w:rPr>
      </w:pPr>
    </w:p>
    <w:p w14:paraId="41E39B41" w14:textId="515FA682" w:rsidR="00E5692A" w:rsidRPr="0004264F" w:rsidRDefault="00E5692A" w:rsidP="00F32C69">
      <w:pPr>
        <w:rPr>
          <w:rFonts w:cstheme="majorBidi"/>
          <w:szCs w:val="24"/>
        </w:rPr>
      </w:pPr>
    </w:p>
    <w:p w14:paraId="5D839E32" w14:textId="5AE03500" w:rsidR="00E5692A" w:rsidRPr="0004264F" w:rsidRDefault="00E5692A" w:rsidP="00F32C69">
      <w:pPr>
        <w:rPr>
          <w:rFonts w:cstheme="majorBidi"/>
          <w:szCs w:val="24"/>
        </w:rPr>
      </w:pPr>
    </w:p>
    <w:p w14:paraId="665E28A0" w14:textId="05FB6DCA" w:rsidR="00E5692A" w:rsidRPr="0004264F" w:rsidRDefault="00E5692A" w:rsidP="00F32C69">
      <w:pPr>
        <w:rPr>
          <w:rFonts w:cstheme="majorBidi"/>
          <w:szCs w:val="24"/>
        </w:rPr>
      </w:pPr>
    </w:p>
    <w:p w14:paraId="19AF88A5" w14:textId="26A0756F" w:rsidR="00E5692A" w:rsidRPr="0004264F" w:rsidRDefault="00E5692A" w:rsidP="00F32C69">
      <w:pPr>
        <w:rPr>
          <w:rFonts w:cstheme="majorBidi"/>
          <w:szCs w:val="24"/>
        </w:rPr>
      </w:pPr>
    </w:p>
    <w:p w14:paraId="74C5DCDE" w14:textId="3F5008E7" w:rsidR="00E5692A" w:rsidRPr="0004264F" w:rsidRDefault="00E5692A" w:rsidP="00F32C69">
      <w:pPr>
        <w:rPr>
          <w:rFonts w:cstheme="majorBidi"/>
          <w:szCs w:val="24"/>
        </w:rPr>
      </w:pPr>
    </w:p>
    <w:p w14:paraId="7C724920" w14:textId="4160E78B" w:rsidR="00E5692A" w:rsidRPr="0004264F" w:rsidRDefault="00E5692A" w:rsidP="00F32C69">
      <w:pPr>
        <w:rPr>
          <w:rFonts w:cstheme="majorBidi"/>
          <w:szCs w:val="24"/>
        </w:rPr>
      </w:pPr>
    </w:p>
    <w:p w14:paraId="3D9FA1F4" w14:textId="5163F99E" w:rsidR="00E5692A" w:rsidRPr="0004264F" w:rsidRDefault="00E5692A" w:rsidP="00F32C69">
      <w:pPr>
        <w:rPr>
          <w:rFonts w:cstheme="majorBidi"/>
          <w:szCs w:val="24"/>
        </w:rPr>
      </w:pPr>
    </w:p>
    <w:p w14:paraId="036BFE44" w14:textId="42CCCE34" w:rsidR="00E5692A" w:rsidRPr="0004264F" w:rsidRDefault="00E5692A" w:rsidP="00F32C69">
      <w:pPr>
        <w:rPr>
          <w:rFonts w:cstheme="majorBidi"/>
          <w:szCs w:val="24"/>
        </w:rPr>
      </w:pPr>
    </w:p>
    <w:p w14:paraId="314A4017" w14:textId="77777777" w:rsidR="00C114EB" w:rsidRPr="0004264F" w:rsidRDefault="00C114EB" w:rsidP="00F32C69">
      <w:pPr>
        <w:rPr>
          <w:rFonts w:cstheme="majorBidi"/>
          <w:szCs w:val="24"/>
        </w:rPr>
        <w:sectPr w:rsidR="00C114EB" w:rsidRPr="0004264F" w:rsidSect="00C114EB">
          <w:pgSz w:w="12240" w:h="15840" w:code="1"/>
          <w:pgMar w:top="1440" w:right="1440" w:bottom="1440" w:left="1440" w:header="720" w:footer="720" w:gutter="0"/>
          <w:cols w:space="720"/>
          <w:docGrid w:linePitch="360"/>
        </w:sectPr>
      </w:pPr>
    </w:p>
    <w:p w14:paraId="460F8538" w14:textId="47BCCE7C" w:rsidR="00E5692A" w:rsidRPr="0004264F" w:rsidRDefault="00E5692A" w:rsidP="00F32C69">
      <w:pPr>
        <w:rPr>
          <w:rFonts w:cstheme="majorBidi"/>
          <w:szCs w:val="24"/>
        </w:rPr>
      </w:pPr>
    </w:p>
    <w:p w14:paraId="302567BA" w14:textId="599D802C" w:rsidR="00E5692A" w:rsidRPr="0004264F" w:rsidRDefault="00E5692A" w:rsidP="00F32C69">
      <w:pPr>
        <w:rPr>
          <w:rFonts w:cstheme="majorBidi"/>
          <w:szCs w:val="24"/>
        </w:rPr>
      </w:pPr>
    </w:p>
    <w:p w14:paraId="0A4AF44D" w14:textId="4A45FA0C" w:rsidR="00E5692A" w:rsidRPr="0004264F" w:rsidRDefault="00E5692A" w:rsidP="00F32C69">
      <w:pPr>
        <w:rPr>
          <w:rFonts w:cstheme="majorBidi"/>
          <w:szCs w:val="24"/>
        </w:rPr>
      </w:pPr>
    </w:p>
    <w:p w14:paraId="5D6663F0" w14:textId="21DD4647" w:rsidR="00E5692A" w:rsidRPr="0004264F" w:rsidRDefault="00E5692A" w:rsidP="00F32C69">
      <w:pPr>
        <w:rPr>
          <w:rFonts w:cstheme="majorBidi"/>
          <w:b/>
          <w:bCs/>
          <w:sz w:val="20"/>
          <w:szCs w:val="20"/>
        </w:rPr>
      </w:pPr>
    </w:p>
    <w:p w14:paraId="047C47E0" w14:textId="339F65E6" w:rsidR="00CE451D" w:rsidRPr="0004264F" w:rsidRDefault="00CE451D" w:rsidP="00CE451D">
      <w:pPr>
        <w:pStyle w:val="Caption"/>
        <w:keepNext/>
        <w:bidi w:val="0"/>
        <w:rPr>
          <w:rFonts w:cstheme="majorBidi"/>
        </w:rPr>
      </w:pPr>
      <w:bookmarkStart w:id="27" w:name="_Ref105368270"/>
      <w:r w:rsidRPr="0004264F">
        <w:rPr>
          <w:rFonts w:cstheme="majorBidi"/>
        </w:rPr>
        <w:t xml:space="preserve">Appendix Table </w:t>
      </w:r>
      <w:r w:rsidR="00B751B8" w:rsidRPr="0004264F">
        <w:rPr>
          <w:rFonts w:cstheme="majorBidi"/>
        </w:rPr>
        <w:fldChar w:fldCharType="begin"/>
      </w:r>
      <w:r w:rsidR="00B751B8" w:rsidRPr="0004264F">
        <w:rPr>
          <w:rFonts w:cstheme="majorBidi"/>
        </w:rPr>
        <w:instrText xml:space="preserve"> STYLEREF 3 \s </w:instrText>
      </w:r>
      <w:r w:rsidR="00B751B8" w:rsidRPr="0004264F">
        <w:rPr>
          <w:rFonts w:cstheme="majorBidi"/>
        </w:rPr>
        <w:fldChar w:fldCharType="separate"/>
      </w:r>
      <w:r w:rsidR="00CA5B9D" w:rsidRPr="0004264F">
        <w:rPr>
          <w:rFonts w:cstheme="majorBidi"/>
          <w:noProof/>
        </w:rPr>
        <w:t>B</w:t>
      </w:r>
      <w:r w:rsidR="00B751B8" w:rsidRPr="0004264F">
        <w:rPr>
          <w:rFonts w:cstheme="majorBidi"/>
        </w:rPr>
        <w:fldChar w:fldCharType="end"/>
      </w:r>
      <w:r w:rsidR="00B751B8" w:rsidRPr="0004264F">
        <w:rPr>
          <w:rFonts w:cstheme="majorBidi"/>
        </w:rPr>
        <w:noBreakHyphen/>
      </w:r>
      <w:r w:rsidR="00B751B8" w:rsidRPr="0004264F">
        <w:rPr>
          <w:rFonts w:cstheme="majorBidi"/>
        </w:rPr>
        <w:fldChar w:fldCharType="begin"/>
      </w:r>
      <w:r w:rsidR="00B751B8" w:rsidRPr="0004264F">
        <w:rPr>
          <w:rFonts w:cstheme="majorBidi"/>
        </w:rPr>
        <w:instrText xml:space="preserve"> SEQ Appendix_Table \* ARABIC \s 3 </w:instrText>
      </w:r>
      <w:r w:rsidR="00B751B8" w:rsidRPr="0004264F">
        <w:rPr>
          <w:rFonts w:cstheme="majorBidi"/>
        </w:rPr>
        <w:fldChar w:fldCharType="separate"/>
      </w:r>
      <w:r w:rsidR="00CA5B9D" w:rsidRPr="0004264F">
        <w:rPr>
          <w:rFonts w:cstheme="majorBidi"/>
          <w:noProof/>
        </w:rPr>
        <w:t>1</w:t>
      </w:r>
      <w:r w:rsidR="00B751B8" w:rsidRPr="0004264F">
        <w:rPr>
          <w:rFonts w:cstheme="majorBidi"/>
        </w:rPr>
        <w:fldChar w:fldCharType="end"/>
      </w:r>
      <w:bookmarkEnd w:id="27"/>
      <w:r w:rsidRPr="0004264F">
        <w:rPr>
          <w:rFonts w:cstheme="majorBidi"/>
        </w:rPr>
        <w:t xml:space="preserve"> - Sensitivity of Results to Death Window Coverage</w:t>
      </w:r>
    </w:p>
    <w:tbl>
      <w:tblPr>
        <w:tblW w:w="0" w:type="auto"/>
        <w:tblLayout w:type="fixed"/>
        <w:tblLook w:val="0000" w:firstRow="0" w:lastRow="0" w:firstColumn="0" w:lastColumn="0" w:noHBand="0" w:noVBand="0"/>
      </w:tblPr>
      <w:tblGrid>
        <w:gridCol w:w="2883"/>
        <w:gridCol w:w="1709"/>
        <w:gridCol w:w="1778"/>
        <w:gridCol w:w="1778"/>
        <w:gridCol w:w="1778"/>
        <w:gridCol w:w="1780"/>
      </w:tblGrid>
      <w:tr w:rsidR="00EE02EE" w:rsidRPr="0004264F" w14:paraId="6838200B" w14:textId="77777777" w:rsidTr="00AF797F">
        <w:trPr>
          <w:trHeight w:val="216"/>
        </w:trPr>
        <w:tc>
          <w:tcPr>
            <w:tcW w:w="2883" w:type="dxa"/>
            <w:tcBorders>
              <w:top w:val="single" w:sz="4" w:space="0" w:color="auto"/>
              <w:left w:val="nil"/>
              <w:bottom w:val="nil"/>
              <w:right w:val="nil"/>
            </w:tcBorders>
          </w:tcPr>
          <w:p w14:paraId="3B022F59" w14:textId="77777777" w:rsidR="00EE02EE" w:rsidRPr="0004264F" w:rsidRDefault="00EE02EE" w:rsidP="00E5692A">
            <w:pPr>
              <w:widowControl w:val="0"/>
              <w:autoSpaceDE w:val="0"/>
              <w:autoSpaceDN w:val="0"/>
              <w:adjustRightInd w:val="0"/>
              <w:spacing w:after="0"/>
              <w:jc w:val="center"/>
              <w:rPr>
                <w:rFonts w:cstheme="majorBidi"/>
                <w:sz w:val="18"/>
                <w:szCs w:val="18"/>
              </w:rPr>
            </w:pPr>
          </w:p>
        </w:tc>
        <w:tc>
          <w:tcPr>
            <w:tcW w:w="8823" w:type="dxa"/>
            <w:gridSpan w:val="5"/>
            <w:tcBorders>
              <w:top w:val="single" w:sz="4" w:space="0" w:color="auto"/>
              <w:left w:val="nil"/>
              <w:bottom w:val="nil"/>
              <w:right w:val="nil"/>
            </w:tcBorders>
          </w:tcPr>
          <w:p w14:paraId="6FAA02BE" w14:textId="0B9D8DA7" w:rsidR="00EE02EE" w:rsidRPr="0004264F" w:rsidRDefault="00EE02EE" w:rsidP="00E5692A">
            <w:pPr>
              <w:widowControl w:val="0"/>
              <w:autoSpaceDE w:val="0"/>
              <w:autoSpaceDN w:val="0"/>
              <w:adjustRightInd w:val="0"/>
              <w:spacing w:after="0"/>
              <w:jc w:val="center"/>
              <w:rPr>
                <w:rFonts w:cstheme="majorBidi"/>
                <w:b/>
                <w:bCs/>
                <w:i/>
                <w:iCs/>
                <w:sz w:val="18"/>
                <w:szCs w:val="18"/>
              </w:rPr>
            </w:pPr>
            <w:r w:rsidRPr="0004264F">
              <w:rPr>
                <w:rFonts w:cstheme="majorBidi"/>
                <w:b/>
                <w:bCs/>
                <w:i/>
                <w:iCs/>
                <w:sz w:val="18"/>
                <w:szCs w:val="18"/>
              </w:rPr>
              <w:t>Outcome: Age at Death (Months)</w:t>
            </w:r>
          </w:p>
        </w:tc>
      </w:tr>
      <w:tr w:rsidR="00E5692A" w:rsidRPr="0004264F" w14:paraId="13CC713C" w14:textId="77777777" w:rsidTr="00CE451D">
        <w:trPr>
          <w:trHeight w:val="216"/>
        </w:trPr>
        <w:tc>
          <w:tcPr>
            <w:tcW w:w="2883" w:type="dxa"/>
            <w:tcBorders>
              <w:top w:val="single" w:sz="4" w:space="0" w:color="auto"/>
              <w:left w:val="nil"/>
              <w:bottom w:val="nil"/>
              <w:right w:val="nil"/>
            </w:tcBorders>
          </w:tcPr>
          <w:p w14:paraId="029D9A2A" w14:textId="77777777"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w:t>
            </w:r>
          </w:p>
        </w:tc>
        <w:tc>
          <w:tcPr>
            <w:tcW w:w="1709" w:type="dxa"/>
            <w:tcBorders>
              <w:top w:val="single" w:sz="4" w:space="0" w:color="auto"/>
              <w:left w:val="nil"/>
              <w:bottom w:val="single" w:sz="4" w:space="0" w:color="auto"/>
              <w:right w:val="nil"/>
            </w:tcBorders>
            <w:vAlign w:val="center"/>
          </w:tcPr>
          <w:p w14:paraId="732FF4DA" w14:textId="63F7485A" w:rsidR="00E5692A" w:rsidRPr="0004264F" w:rsidRDefault="00E5692A"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DMF, Males, Death Years 1975-2005</w:t>
            </w:r>
          </w:p>
        </w:tc>
        <w:tc>
          <w:tcPr>
            <w:tcW w:w="1778" w:type="dxa"/>
            <w:tcBorders>
              <w:top w:val="single" w:sz="4" w:space="0" w:color="auto"/>
              <w:left w:val="nil"/>
              <w:bottom w:val="single" w:sz="4" w:space="0" w:color="auto"/>
              <w:right w:val="nil"/>
            </w:tcBorders>
            <w:vAlign w:val="center"/>
          </w:tcPr>
          <w:p w14:paraId="11D146DC" w14:textId="4C7772D7" w:rsidR="00E5692A" w:rsidRPr="0004264F" w:rsidRDefault="00E5692A"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DMF, Males, Death Years 1988-2005</w:t>
            </w:r>
          </w:p>
        </w:tc>
        <w:tc>
          <w:tcPr>
            <w:tcW w:w="1778" w:type="dxa"/>
            <w:tcBorders>
              <w:top w:val="single" w:sz="4" w:space="0" w:color="auto"/>
              <w:left w:val="nil"/>
              <w:bottom w:val="single" w:sz="4" w:space="0" w:color="auto"/>
              <w:right w:val="nil"/>
            </w:tcBorders>
            <w:vAlign w:val="center"/>
          </w:tcPr>
          <w:p w14:paraId="2498337A" w14:textId="373EAC01" w:rsidR="00E5692A" w:rsidRPr="0004264F" w:rsidRDefault="00E5692A"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Numident</w:t>
            </w:r>
            <w:r w:rsidR="007F29E9" w:rsidRPr="0004264F">
              <w:rPr>
                <w:rFonts w:cstheme="majorBidi"/>
                <w:sz w:val="18"/>
                <w:szCs w:val="18"/>
              </w:rPr>
              <w:t>, Males, Death Years 1988-2005</w:t>
            </w:r>
          </w:p>
        </w:tc>
        <w:tc>
          <w:tcPr>
            <w:tcW w:w="1778" w:type="dxa"/>
            <w:tcBorders>
              <w:top w:val="single" w:sz="4" w:space="0" w:color="auto"/>
              <w:left w:val="nil"/>
              <w:bottom w:val="single" w:sz="4" w:space="0" w:color="auto"/>
              <w:right w:val="nil"/>
            </w:tcBorders>
            <w:vAlign w:val="center"/>
          </w:tcPr>
          <w:p w14:paraId="7DFB82B8" w14:textId="2FCB1097" w:rsidR="00E5692A" w:rsidRPr="0004264F" w:rsidRDefault="007F29E9"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Numident, Females, Death Years 1988-2005</w:t>
            </w:r>
          </w:p>
        </w:tc>
        <w:tc>
          <w:tcPr>
            <w:tcW w:w="1780" w:type="dxa"/>
            <w:tcBorders>
              <w:top w:val="single" w:sz="4" w:space="0" w:color="auto"/>
              <w:left w:val="nil"/>
              <w:bottom w:val="single" w:sz="4" w:space="0" w:color="auto"/>
              <w:right w:val="nil"/>
            </w:tcBorders>
            <w:vAlign w:val="center"/>
          </w:tcPr>
          <w:p w14:paraId="34D2BDE9" w14:textId="7D31ADC8" w:rsidR="00E5692A" w:rsidRPr="0004264F" w:rsidRDefault="007F29E9"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Numident, All, Death Years 1988-2005</w:t>
            </w:r>
          </w:p>
        </w:tc>
      </w:tr>
      <w:tr w:rsidR="00E5692A" w:rsidRPr="0004264F" w14:paraId="5926D323" w14:textId="77777777" w:rsidTr="00CE451D">
        <w:trPr>
          <w:trHeight w:val="20"/>
        </w:trPr>
        <w:tc>
          <w:tcPr>
            <w:tcW w:w="2883" w:type="dxa"/>
            <w:tcBorders>
              <w:top w:val="nil"/>
              <w:left w:val="nil"/>
              <w:bottom w:val="single" w:sz="4" w:space="0" w:color="auto"/>
              <w:right w:val="nil"/>
            </w:tcBorders>
          </w:tcPr>
          <w:p w14:paraId="2520B941" w14:textId="77777777"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w:t>
            </w:r>
          </w:p>
        </w:tc>
        <w:tc>
          <w:tcPr>
            <w:tcW w:w="1709" w:type="dxa"/>
            <w:tcBorders>
              <w:top w:val="single" w:sz="4" w:space="0" w:color="auto"/>
              <w:left w:val="nil"/>
              <w:bottom w:val="single" w:sz="4" w:space="0" w:color="auto"/>
              <w:right w:val="nil"/>
            </w:tcBorders>
          </w:tcPr>
          <w:p w14:paraId="736FBDC3" w14:textId="7F85F898"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(1)</w:t>
            </w:r>
          </w:p>
        </w:tc>
        <w:tc>
          <w:tcPr>
            <w:tcW w:w="1778" w:type="dxa"/>
            <w:tcBorders>
              <w:top w:val="single" w:sz="4" w:space="0" w:color="auto"/>
              <w:left w:val="nil"/>
              <w:bottom w:val="single" w:sz="4" w:space="0" w:color="auto"/>
              <w:right w:val="nil"/>
            </w:tcBorders>
          </w:tcPr>
          <w:p w14:paraId="20CFE92A" w14:textId="55671592"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(2)</w:t>
            </w:r>
          </w:p>
        </w:tc>
        <w:tc>
          <w:tcPr>
            <w:tcW w:w="1778" w:type="dxa"/>
            <w:tcBorders>
              <w:top w:val="single" w:sz="4" w:space="0" w:color="auto"/>
              <w:left w:val="nil"/>
              <w:bottom w:val="single" w:sz="4" w:space="0" w:color="auto"/>
              <w:right w:val="nil"/>
            </w:tcBorders>
          </w:tcPr>
          <w:p w14:paraId="6330A588" w14:textId="7093C705"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(3)</w:t>
            </w:r>
          </w:p>
        </w:tc>
        <w:tc>
          <w:tcPr>
            <w:tcW w:w="1778" w:type="dxa"/>
            <w:tcBorders>
              <w:top w:val="single" w:sz="4" w:space="0" w:color="auto"/>
              <w:left w:val="nil"/>
              <w:bottom w:val="single" w:sz="4" w:space="0" w:color="auto"/>
              <w:right w:val="nil"/>
            </w:tcBorders>
          </w:tcPr>
          <w:p w14:paraId="5C4B31DD" w14:textId="713C4806"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(4)</w:t>
            </w:r>
          </w:p>
        </w:tc>
        <w:tc>
          <w:tcPr>
            <w:tcW w:w="1780" w:type="dxa"/>
            <w:tcBorders>
              <w:top w:val="single" w:sz="4" w:space="0" w:color="auto"/>
              <w:left w:val="nil"/>
              <w:bottom w:val="single" w:sz="4" w:space="0" w:color="auto"/>
              <w:right w:val="nil"/>
            </w:tcBorders>
          </w:tcPr>
          <w:p w14:paraId="4BC4D4DC" w14:textId="214151EB" w:rsidR="00E5692A" w:rsidRPr="0004264F" w:rsidRDefault="00E5692A" w:rsidP="00E5692A">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(5)</w:t>
            </w:r>
          </w:p>
        </w:tc>
      </w:tr>
      <w:tr w:rsidR="00EA4541" w:rsidRPr="0004264F" w14:paraId="7F725618" w14:textId="77777777" w:rsidTr="00EE02EE">
        <w:trPr>
          <w:trHeight w:val="216"/>
        </w:trPr>
        <w:tc>
          <w:tcPr>
            <w:tcW w:w="2883" w:type="dxa"/>
            <w:vMerge w:val="restart"/>
            <w:tcBorders>
              <w:top w:val="single" w:sz="4" w:space="0" w:color="auto"/>
              <w:left w:val="nil"/>
              <w:right w:val="nil"/>
            </w:tcBorders>
            <w:vAlign w:val="center"/>
          </w:tcPr>
          <w:p w14:paraId="417ED00A" w14:textId="286571EA" w:rsidR="00EA4541" w:rsidRPr="0004264F" w:rsidRDefault="00EA4541" w:rsidP="00EA4541">
            <w:pPr>
              <w:widowControl w:val="0"/>
              <w:autoSpaceDE w:val="0"/>
              <w:autoSpaceDN w:val="0"/>
              <w:adjustRightInd w:val="0"/>
              <w:spacing w:after="0"/>
              <w:rPr>
                <w:rFonts w:cstheme="majorBidi"/>
                <w:sz w:val="18"/>
                <w:szCs w:val="18"/>
              </w:rPr>
            </w:pPr>
            <w:r w:rsidRPr="0004264F">
              <w:rPr>
                <w:rFonts w:cstheme="majorBidi"/>
                <w:sz w:val="18"/>
                <w:szCs w:val="18"/>
              </w:rPr>
              <w:t>Deposits per Capita (STD)</w:t>
            </w:r>
          </w:p>
        </w:tc>
        <w:tc>
          <w:tcPr>
            <w:tcW w:w="1709" w:type="dxa"/>
            <w:tcBorders>
              <w:top w:val="single" w:sz="4" w:space="0" w:color="auto"/>
              <w:left w:val="nil"/>
              <w:bottom w:val="nil"/>
              <w:right w:val="nil"/>
            </w:tcBorders>
          </w:tcPr>
          <w:p w14:paraId="38FFDFCF" w14:textId="5EDADB93"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1.72552**</w:t>
            </w:r>
          </w:p>
        </w:tc>
        <w:tc>
          <w:tcPr>
            <w:tcW w:w="1778" w:type="dxa"/>
            <w:tcBorders>
              <w:top w:val="single" w:sz="4" w:space="0" w:color="auto"/>
              <w:left w:val="nil"/>
              <w:bottom w:val="nil"/>
              <w:right w:val="nil"/>
            </w:tcBorders>
          </w:tcPr>
          <w:p w14:paraId="4B39C950" w14:textId="0D267D5B"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.64944***</w:t>
            </w:r>
          </w:p>
        </w:tc>
        <w:tc>
          <w:tcPr>
            <w:tcW w:w="1778" w:type="dxa"/>
            <w:tcBorders>
              <w:top w:val="single" w:sz="4" w:space="0" w:color="auto"/>
              <w:left w:val="nil"/>
              <w:bottom w:val="nil"/>
              <w:right w:val="nil"/>
            </w:tcBorders>
          </w:tcPr>
          <w:p w14:paraId="02ECD5FC" w14:textId="18A3D591"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.79878***</w:t>
            </w:r>
          </w:p>
        </w:tc>
        <w:tc>
          <w:tcPr>
            <w:tcW w:w="1778" w:type="dxa"/>
            <w:tcBorders>
              <w:top w:val="single" w:sz="4" w:space="0" w:color="auto"/>
              <w:left w:val="nil"/>
              <w:bottom w:val="nil"/>
              <w:right w:val="nil"/>
            </w:tcBorders>
          </w:tcPr>
          <w:p w14:paraId="52D9E8CE" w14:textId="6044D66B"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.27035</w:t>
            </w:r>
          </w:p>
        </w:tc>
        <w:tc>
          <w:tcPr>
            <w:tcW w:w="1780" w:type="dxa"/>
            <w:tcBorders>
              <w:top w:val="single" w:sz="4" w:space="0" w:color="auto"/>
              <w:left w:val="nil"/>
              <w:bottom w:val="nil"/>
              <w:right w:val="nil"/>
            </w:tcBorders>
          </w:tcPr>
          <w:p w14:paraId="0CC512E3" w14:textId="4BE2B04B"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.54779***</w:t>
            </w:r>
          </w:p>
        </w:tc>
      </w:tr>
      <w:tr w:rsidR="00EA4541" w:rsidRPr="0004264F" w14:paraId="4A07EC65" w14:textId="77777777" w:rsidTr="00AF797F">
        <w:trPr>
          <w:trHeight w:val="204"/>
        </w:trPr>
        <w:tc>
          <w:tcPr>
            <w:tcW w:w="2883" w:type="dxa"/>
            <w:vMerge/>
            <w:tcBorders>
              <w:left w:val="nil"/>
              <w:bottom w:val="nil"/>
              <w:right w:val="nil"/>
            </w:tcBorders>
            <w:vAlign w:val="center"/>
          </w:tcPr>
          <w:p w14:paraId="605DC96F" w14:textId="31FA027A" w:rsidR="00EA4541" w:rsidRPr="0004264F" w:rsidRDefault="00EA4541" w:rsidP="00EA4541">
            <w:pPr>
              <w:widowControl w:val="0"/>
              <w:autoSpaceDE w:val="0"/>
              <w:autoSpaceDN w:val="0"/>
              <w:adjustRightInd w:val="0"/>
              <w:spacing w:after="0"/>
              <w:rPr>
                <w:rFonts w:cstheme="majorBidi"/>
                <w:sz w:val="18"/>
                <w:szCs w:val="18"/>
              </w:rPr>
            </w:pPr>
          </w:p>
        </w:tc>
        <w:tc>
          <w:tcPr>
            <w:tcW w:w="1709" w:type="dxa"/>
            <w:tcBorders>
              <w:top w:val="nil"/>
              <w:left w:val="nil"/>
              <w:bottom w:val="nil"/>
              <w:right w:val="nil"/>
            </w:tcBorders>
          </w:tcPr>
          <w:p w14:paraId="090584C3" w14:textId="52921CE3"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(.72026)</w:t>
            </w:r>
          </w:p>
        </w:tc>
        <w:tc>
          <w:tcPr>
            <w:tcW w:w="1778" w:type="dxa"/>
            <w:tcBorders>
              <w:top w:val="nil"/>
              <w:left w:val="nil"/>
              <w:bottom w:val="nil"/>
              <w:right w:val="nil"/>
            </w:tcBorders>
          </w:tcPr>
          <w:p w14:paraId="33C2F3B9" w14:textId="4A6B2308"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(.24692)</w:t>
            </w:r>
          </w:p>
        </w:tc>
        <w:tc>
          <w:tcPr>
            <w:tcW w:w="1778" w:type="dxa"/>
            <w:tcBorders>
              <w:top w:val="nil"/>
              <w:left w:val="nil"/>
              <w:bottom w:val="nil"/>
              <w:right w:val="nil"/>
            </w:tcBorders>
          </w:tcPr>
          <w:p w14:paraId="590CD39A" w14:textId="0B2BB955"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(.18345)</w:t>
            </w:r>
          </w:p>
        </w:tc>
        <w:tc>
          <w:tcPr>
            <w:tcW w:w="1778" w:type="dxa"/>
            <w:tcBorders>
              <w:top w:val="nil"/>
              <w:left w:val="nil"/>
              <w:bottom w:val="nil"/>
              <w:right w:val="nil"/>
            </w:tcBorders>
          </w:tcPr>
          <w:p w14:paraId="5C1E9B27" w14:textId="2771BA09"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(.31548)</w:t>
            </w:r>
          </w:p>
        </w:tc>
        <w:tc>
          <w:tcPr>
            <w:tcW w:w="1780" w:type="dxa"/>
            <w:tcBorders>
              <w:top w:val="nil"/>
              <w:left w:val="nil"/>
              <w:bottom w:val="nil"/>
              <w:right w:val="nil"/>
            </w:tcBorders>
          </w:tcPr>
          <w:p w14:paraId="1D3309B3" w14:textId="50FAC209"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(.16828)</w:t>
            </w:r>
          </w:p>
        </w:tc>
      </w:tr>
      <w:tr w:rsidR="00EA4541" w:rsidRPr="0004264F" w14:paraId="75C2373A" w14:textId="77777777" w:rsidTr="001A5F30">
        <w:trPr>
          <w:trHeight w:val="216"/>
        </w:trPr>
        <w:tc>
          <w:tcPr>
            <w:tcW w:w="2883" w:type="dxa"/>
            <w:tcBorders>
              <w:top w:val="nil"/>
              <w:left w:val="nil"/>
              <w:bottom w:val="nil"/>
              <w:right w:val="nil"/>
            </w:tcBorders>
            <w:vAlign w:val="center"/>
          </w:tcPr>
          <w:p w14:paraId="2D04CCC3" w14:textId="5236A81F" w:rsidR="00EA4541" w:rsidRPr="0004264F" w:rsidRDefault="00EA4541" w:rsidP="00EA4541">
            <w:pPr>
              <w:widowControl w:val="0"/>
              <w:autoSpaceDE w:val="0"/>
              <w:autoSpaceDN w:val="0"/>
              <w:adjustRightInd w:val="0"/>
              <w:spacing w:after="0"/>
              <w:rPr>
                <w:rFonts w:cstheme="majorBidi"/>
                <w:sz w:val="18"/>
                <w:szCs w:val="18"/>
              </w:rPr>
            </w:pPr>
            <w:r w:rsidRPr="0004264F">
              <w:rPr>
                <w:rFonts w:cstheme="majorBidi"/>
                <w:sz w:val="18"/>
                <w:szCs w:val="18"/>
              </w:rPr>
              <w:t>Observations</w:t>
            </w:r>
          </w:p>
        </w:tc>
        <w:tc>
          <w:tcPr>
            <w:tcW w:w="1709" w:type="dxa"/>
            <w:tcBorders>
              <w:top w:val="nil"/>
              <w:left w:val="nil"/>
              <w:bottom w:val="nil"/>
              <w:right w:val="nil"/>
            </w:tcBorders>
          </w:tcPr>
          <w:p w14:paraId="2C302829" w14:textId="3EF2BA25"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1221113</w:t>
            </w:r>
          </w:p>
        </w:tc>
        <w:tc>
          <w:tcPr>
            <w:tcW w:w="1778" w:type="dxa"/>
            <w:tcBorders>
              <w:top w:val="nil"/>
              <w:left w:val="nil"/>
              <w:bottom w:val="nil"/>
              <w:right w:val="nil"/>
            </w:tcBorders>
          </w:tcPr>
          <w:p w14:paraId="4E818622" w14:textId="00DC0658"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938470</w:t>
            </w:r>
          </w:p>
        </w:tc>
        <w:tc>
          <w:tcPr>
            <w:tcW w:w="1778" w:type="dxa"/>
            <w:tcBorders>
              <w:top w:val="nil"/>
              <w:left w:val="nil"/>
              <w:bottom w:val="nil"/>
              <w:right w:val="nil"/>
            </w:tcBorders>
          </w:tcPr>
          <w:p w14:paraId="5A03AD01" w14:textId="13EC1CD6"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1336616</w:t>
            </w:r>
          </w:p>
        </w:tc>
        <w:tc>
          <w:tcPr>
            <w:tcW w:w="1778" w:type="dxa"/>
            <w:tcBorders>
              <w:top w:val="nil"/>
              <w:left w:val="nil"/>
              <w:bottom w:val="nil"/>
              <w:right w:val="nil"/>
            </w:tcBorders>
          </w:tcPr>
          <w:p w14:paraId="5A10D35B" w14:textId="641B006D"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976853</w:t>
            </w:r>
          </w:p>
        </w:tc>
        <w:tc>
          <w:tcPr>
            <w:tcW w:w="1780" w:type="dxa"/>
            <w:tcBorders>
              <w:top w:val="nil"/>
              <w:left w:val="nil"/>
              <w:bottom w:val="nil"/>
              <w:right w:val="nil"/>
            </w:tcBorders>
          </w:tcPr>
          <w:p w14:paraId="52893BA6" w14:textId="7AEC5443"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2327996</w:t>
            </w:r>
          </w:p>
        </w:tc>
      </w:tr>
      <w:tr w:rsidR="00EA4541" w:rsidRPr="0004264F" w14:paraId="1D5F7BCD" w14:textId="77777777" w:rsidTr="001A5F30">
        <w:trPr>
          <w:trHeight w:val="216"/>
        </w:trPr>
        <w:tc>
          <w:tcPr>
            <w:tcW w:w="2883" w:type="dxa"/>
            <w:tcBorders>
              <w:top w:val="nil"/>
              <w:left w:val="nil"/>
              <w:bottom w:val="nil"/>
              <w:right w:val="nil"/>
            </w:tcBorders>
            <w:vAlign w:val="center"/>
          </w:tcPr>
          <w:p w14:paraId="36CDA9CD" w14:textId="47DBC641" w:rsidR="00EA4541" w:rsidRPr="0004264F" w:rsidRDefault="00EA4541" w:rsidP="00EA4541">
            <w:pPr>
              <w:widowControl w:val="0"/>
              <w:autoSpaceDE w:val="0"/>
              <w:autoSpaceDN w:val="0"/>
              <w:adjustRightInd w:val="0"/>
              <w:spacing w:after="0"/>
              <w:rPr>
                <w:rFonts w:cstheme="majorBidi"/>
                <w:sz w:val="18"/>
                <w:szCs w:val="18"/>
              </w:rPr>
            </w:pPr>
            <w:r w:rsidRPr="0004264F">
              <w:rPr>
                <w:rFonts w:cstheme="majorBidi"/>
                <w:sz w:val="18"/>
                <w:szCs w:val="18"/>
              </w:rPr>
              <w:t>R-squared</w:t>
            </w:r>
          </w:p>
        </w:tc>
        <w:tc>
          <w:tcPr>
            <w:tcW w:w="1709" w:type="dxa"/>
            <w:tcBorders>
              <w:top w:val="nil"/>
              <w:left w:val="nil"/>
              <w:bottom w:val="nil"/>
              <w:right w:val="nil"/>
            </w:tcBorders>
          </w:tcPr>
          <w:p w14:paraId="0AF7EF86" w14:textId="57697DD5"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.1036</w:t>
            </w:r>
          </w:p>
        </w:tc>
        <w:tc>
          <w:tcPr>
            <w:tcW w:w="1778" w:type="dxa"/>
            <w:tcBorders>
              <w:top w:val="nil"/>
              <w:left w:val="nil"/>
              <w:bottom w:val="nil"/>
              <w:right w:val="nil"/>
            </w:tcBorders>
          </w:tcPr>
          <w:p w14:paraId="64AC972F" w14:textId="050D3903"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.2605</w:t>
            </w:r>
          </w:p>
        </w:tc>
        <w:tc>
          <w:tcPr>
            <w:tcW w:w="1778" w:type="dxa"/>
            <w:tcBorders>
              <w:top w:val="nil"/>
              <w:left w:val="nil"/>
              <w:bottom w:val="nil"/>
              <w:right w:val="nil"/>
            </w:tcBorders>
          </w:tcPr>
          <w:p w14:paraId="4C30C60F" w14:textId="6750D964"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.26177</w:t>
            </w:r>
          </w:p>
        </w:tc>
        <w:tc>
          <w:tcPr>
            <w:tcW w:w="1778" w:type="dxa"/>
            <w:tcBorders>
              <w:top w:val="nil"/>
              <w:left w:val="nil"/>
              <w:bottom w:val="nil"/>
              <w:right w:val="nil"/>
            </w:tcBorders>
          </w:tcPr>
          <w:p w14:paraId="062AFB14" w14:textId="23B0BF1A"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.27642</w:t>
            </w:r>
          </w:p>
        </w:tc>
        <w:tc>
          <w:tcPr>
            <w:tcW w:w="1780" w:type="dxa"/>
            <w:tcBorders>
              <w:top w:val="nil"/>
              <w:left w:val="nil"/>
              <w:bottom w:val="nil"/>
              <w:right w:val="nil"/>
            </w:tcBorders>
          </w:tcPr>
          <w:p w14:paraId="39EEE8A3" w14:textId="4E9FFFE4"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.26492</w:t>
            </w:r>
          </w:p>
        </w:tc>
      </w:tr>
      <w:tr w:rsidR="00EA4541" w:rsidRPr="0004264F" w14:paraId="2A2FA252" w14:textId="77777777" w:rsidTr="001A5F30">
        <w:trPr>
          <w:trHeight w:val="216"/>
        </w:trPr>
        <w:tc>
          <w:tcPr>
            <w:tcW w:w="2883" w:type="dxa"/>
            <w:tcBorders>
              <w:top w:val="nil"/>
              <w:left w:val="nil"/>
              <w:bottom w:val="nil"/>
              <w:right w:val="nil"/>
            </w:tcBorders>
            <w:vAlign w:val="center"/>
          </w:tcPr>
          <w:p w14:paraId="731D1EFE" w14:textId="35EC289F" w:rsidR="00EA4541" w:rsidRPr="0004264F" w:rsidRDefault="00EA4541" w:rsidP="00EA4541">
            <w:pPr>
              <w:widowControl w:val="0"/>
              <w:autoSpaceDE w:val="0"/>
              <w:autoSpaceDN w:val="0"/>
              <w:adjustRightInd w:val="0"/>
              <w:spacing w:after="0"/>
              <w:rPr>
                <w:rFonts w:cstheme="majorBidi"/>
                <w:sz w:val="18"/>
                <w:szCs w:val="18"/>
              </w:rPr>
            </w:pPr>
            <w:r w:rsidRPr="0004264F">
              <w:rPr>
                <w:rFonts w:cstheme="majorBidi"/>
                <w:sz w:val="18"/>
                <w:szCs w:val="18"/>
              </w:rPr>
              <w:t>Mean DV</w:t>
            </w:r>
          </w:p>
        </w:tc>
        <w:tc>
          <w:tcPr>
            <w:tcW w:w="1709" w:type="dxa"/>
            <w:tcBorders>
              <w:top w:val="nil"/>
              <w:left w:val="nil"/>
              <w:bottom w:val="nil"/>
              <w:right w:val="nil"/>
            </w:tcBorders>
          </w:tcPr>
          <w:p w14:paraId="3F3AE6F7" w14:textId="6B28B78D"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772.939</w:t>
            </w:r>
          </w:p>
        </w:tc>
        <w:tc>
          <w:tcPr>
            <w:tcW w:w="1778" w:type="dxa"/>
            <w:tcBorders>
              <w:top w:val="nil"/>
              <w:left w:val="nil"/>
              <w:bottom w:val="nil"/>
              <w:right w:val="nil"/>
            </w:tcBorders>
          </w:tcPr>
          <w:p w14:paraId="51BB72C3" w14:textId="14168161"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819.901</w:t>
            </w:r>
          </w:p>
        </w:tc>
        <w:tc>
          <w:tcPr>
            <w:tcW w:w="1778" w:type="dxa"/>
            <w:tcBorders>
              <w:top w:val="nil"/>
              <w:left w:val="nil"/>
              <w:bottom w:val="nil"/>
              <w:right w:val="nil"/>
            </w:tcBorders>
          </w:tcPr>
          <w:p w14:paraId="1F2E854C" w14:textId="3E6E221B"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820.745</w:t>
            </w:r>
          </w:p>
        </w:tc>
        <w:tc>
          <w:tcPr>
            <w:tcW w:w="1778" w:type="dxa"/>
            <w:tcBorders>
              <w:top w:val="nil"/>
              <w:left w:val="nil"/>
              <w:bottom w:val="nil"/>
              <w:right w:val="nil"/>
            </w:tcBorders>
          </w:tcPr>
          <w:p w14:paraId="56BC8202" w14:textId="221F44AC"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827.705</w:t>
            </w:r>
          </w:p>
        </w:tc>
        <w:tc>
          <w:tcPr>
            <w:tcW w:w="1780" w:type="dxa"/>
            <w:tcBorders>
              <w:top w:val="nil"/>
              <w:left w:val="nil"/>
              <w:bottom w:val="nil"/>
              <w:right w:val="nil"/>
            </w:tcBorders>
          </w:tcPr>
          <w:p w14:paraId="18D478EC" w14:textId="249A2C50"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823.705</w:t>
            </w:r>
          </w:p>
        </w:tc>
      </w:tr>
      <w:tr w:rsidR="00EA4541" w:rsidRPr="0004264F" w14:paraId="450A82EF" w14:textId="77777777" w:rsidTr="001A5F30">
        <w:trPr>
          <w:trHeight w:val="204"/>
        </w:trPr>
        <w:tc>
          <w:tcPr>
            <w:tcW w:w="2883" w:type="dxa"/>
            <w:tcBorders>
              <w:top w:val="nil"/>
              <w:left w:val="nil"/>
              <w:bottom w:val="single" w:sz="4" w:space="0" w:color="auto"/>
              <w:right w:val="nil"/>
            </w:tcBorders>
            <w:vAlign w:val="center"/>
          </w:tcPr>
          <w:p w14:paraId="0072DA31" w14:textId="6E9FC311" w:rsidR="00EA4541" w:rsidRPr="0004264F" w:rsidRDefault="00EA4541" w:rsidP="00EA4541">
            <w:pPr>
              <w:widowControl w:val="0"/>
              <w:autoSpaceDE w:val="0"/>
              <w:autoSpaceDN w:val="0"/>
              <w:adjustRightInd w:val="0"/>
              <w:spacing w:after="0"/>
              <w:rPr>
                <w:rFonts w:cstheme="majorBidi"/>
                <w:sz w:val="18"/>
                <w:szCs w:val="18"/>
              </w:rPr>
            </w:pPr>
            <w:r w:rsidRPr="0004264F">
              <w:rPr>
                <w:rFonts w:cstheme="majorBidi"/>
                <w:sz w:val="18"/>
                <w:szCs w:val="18"/>
              </w:rPr>
              <w:t>%Change</w:t>
            </w:r>
          </w:p>
        </w:tc>
        <w:tc>
          <w:tcPr>
            <w:tcW w:w="1709" w:type="dxa"/>
            <w:tcBorders>
              <w:top w:val="nil"/>
              <w:left w:val="nil"/>
              <w:bottom w:val="single" w:sz="4" w:space="0" w:color="auto"/>
              <w:right w:val="nil"/>
            </w:tcBorders>
          </w:tcPr>
          <w:p w14:paraId="51293855" w14:textId="49A2CAE2"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0.223</w:t>
            </w:r>
          </w:p>
        </w:tc>
        <w:tc>
          <w:tcPr>
            <w:tcW w:w="1778" w:type="dxa"/>
            <w:tcBorders>
              <w:top w:val="nil"/>
              <w:left w:val="nil"/>
              <w:bottom w:val="single" w:sz="4" w:space="0" w:color="auto"/>
              <w:right w:val="nil"/>
            </w:tcBorders>
          </w:tcPr>
          <w:p w14:paraId="3562E701" w14:textId="054E276E"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0.079</w:t>
            </w:r>
          </w:p>
        </w:tc>
        <w:tc>
          <w:tcPr>
            <w:tcW w:w="1778" w:type="dxa"/>
            <w:tcBorders>
              <w:top w:val="nil"/>
              <w:left w:val="nil"/>
              <w:bottom w:val="single" w:sz="4" w:space="0" w:color="auto"/>
              <w:right w:val="nil"/>
            </w:tcBorders>
          </w:tcPr>
          <w:p w14:paraId="2E44D34D" w14:textId="224B6CF2"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0.097</w:t>
            </w:r>
          </w:p>
        </w:tc>
        <w:tc>
          <w:tcPr>
            <w:tcW w:w="1778" w:type="dxa"/>
            <w:tcBorders>
              <w:top w:val="nil"/>
              <w:left w:val="nil"/>
              <w:bottom w:val="single" w:sz="4" w:space="0" w:color="auto"/>
              <w:right w:val="nil"/>
            </w:tcBorders>
          </w:tcPr>
          <w:p w14:paraId="216B04D2" w14:textId="429F4C6B"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0.033</w:t>
            </w:r>
          </w:p>
        </w:tc>
        <w:tc>
          <w:tcPr>
            <w:tcW w:w="1780" w:type="dxa"/>
            <w:tcBorders>
              <w:top w:val="nil"/>
              <w:left w:val="nil"/>
              <w:bottom w:val="single" w:sz="4" w:space="0" w:color="auto"/>
              <w:right w:val="nil"/>
            </w:tcBorders>
          </w:tcPr>
          <w:p w14:paraId="21A4A995" w14:textId="744369CD" w:rsidR="00EA4541" w:rsidRPr="0004264F" w:rsidRDefault="00EA4541" w:rsidP="00EA4541">
            <w:pPr>
              <w:widowControl w:val="0"/>
              <w:autoSpaceDE w:val="0"/>
              <w:autoSpaceDN w:val="0"/>
              <w:adjustRightInd w:val="0"/>
              <w:spacing w:after="0"/>
              <w:jc w:val="center"/>
              <w:rPr>
                <w:rFonts w:cstheme="majorBidi"/>
                <w:sz w:val="18"/>
                <w:szCs w:val="18"/>
              </w:rPr>
            </w:pPr>
            <w:r w:rsidRPr="0004264F">
              <w:rPr>
                <w:rFonts w:cstheme="majorBidi"/>
                <w:sz w:val="20"/>
                <w:szCs w:val="20"/>
              </w:rPr>
              <w:t>0.067</w:t>
            </w:r>
          </w:p>
        </w:tc>
      </w:tr>
      <w:tr w:rsidR="00B82501" w:rsidRPr="0004264F" w14:paraId="3E3B90E7" w14:textId="77777777" w:rsidTr="00EE02EE">
        <w:trPr>
          <w:trHeight w:val="204"/>
        </w:trPr>
        <w:tc>
          <w:tcPr>
            <w:tcW w:w="2883" w:type="dxa"/>
            <w:tcBorders>
              <w:top w:val="single" w:sz="4" w:space="0" w:color="auto"/>
              <w:left w:val="nil"/>
              <w:bottom w:val="nil"/>
              <w:right w:val="nil"/>
            </w:tcBorders>
          </w:tcPr>
          <w:p w14:paraId="72B64276" w14:textId="020B54D9" w:rsidR="00B82501" w:rsidRPr="0004264F" w:rsidRDefault="00B82501" w:rsidP="00B82501">
            <w:pPr>
              <w:widowControl w:val="0"/>
              <w:autoSpaceDE w:val="0"/>
              <w:autoSpaceDN w:val="0"/>
              <w:adjustRightInd w:val="0"/>
              <w:spacing w:after="0"/>
              <w:rPr>
                <w:rFonts w:cstheme="majorBidi"/>
                <w:sz w:val="18"/>
                <w:szCs w:val="18"/>
              </w:rPr>
            </w:pPr>
            <w:r w:rsidRPr="0004264F">
              <w:rPr>
                <w:rFonts w:cstheme="majorBidi"/>
                <w:sz w:val="18"/>
                <w:szCs w:val="18"/>
              </w:rPr>
              <w:t>County FE</w:t>
            </w:r>
          </w:p>
        </w:tc>
        <w:tc>
          <w:tcPr>
            <w:tcW w:w="1709" w:type="dxa"/>
            <w:tcBorders>
              <w:top w:val="single" w:sz="4" w:space="0" w:color="auto"/>
              <w:left w:val="nil"/>
              <w:bottom w:val="nil"/>
              <w:right w:val="nil"/>
            </w:tcBorders>
          </w:tcPr>
          <w:p w14:paraId="55208B8C" w14:textId="593EE1DF"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single" w:sz="4" w:space="0" w:color="auto"/>
              <w:left w:val="nil"/>
              <w:bottom w:val="nil"/>
              <w:right w:val="nil"/>
            </w:tcBorders>
          </w:tcPr>
          <w:p w14:paraId="5C965C3D" w14:textId="5C6C005A"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single" w:sz="4" w:space="0" w:color="auto"/>
              <w:left w:val="nil"/>
              <w:bottom w:val="nil"/>
              <w:right w:val="nil"/>
            </w:tcBorders>
          </w:tcPr>
          <w:p w14:paraId="0F5D7CF6" w14:textId="36565C74"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single" w:sz="4" w:space="0" w:color="auto"/>
              <w:left w:val="nil"/>
              <w:bottom w:val="nil"/>
              <w:right w:val="nil"/>
            </w:tcBorders>
          </w:tcPr>
          <w:p w14:paraId="108F92F5" w14:textId="2A25AD3A"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80" w:type="dxa"/>
            <w:tcBorders>
              <w:top w:val="single" w:sz="4" w:space="0" w:color="auto"/>
              <w:left w:val="nil"/>
              <w:bottom w:val="nil"/>
              <w:right w:val="nil"/>
            </w:tcBorders>
          </w:tcPr>
          <w:p w14:paraId="6F056D36" w14:textId="027350CF"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B82501" w:rsidRPr="0004264F" w14:paraId="7E657B8B" w14:textId="77777777" w:rsidTr="00E5692A">
        <w:trPr>
          <w:trHeight w:val="204"/>
        </w:trPr>
        <w:tc>
          <w:tcPr>
            <w:tcW w:w="2883" w:type="dxa"/>
            <w:tcBorders>
              <w:top w:val="nil"/>
              <w:left w:val="nil"/>
              <w:bottom w:val="nil"/>
              <w:right w:val="nil"/>
            </w:tcBorders>
          </w:tcPr>
          <w:p w14:paraId="0E32B122" w14:textId="1CEFB44C" w:rsidR="00B82501" w:rsidRPr="0004264F" w:rsidRDefault="00B82501" w:rsidP="00B82501">
            <w:pPr>
              <w:widowControl w:val="0"/>
              <w:autoSpaceDE w:val="0"/>
              <w:autoSpaceDN w:val="0"/>
              <w:adjustRightInd w:val="0"/>
              <w:spacing w:after="0"/>
              <w:rPr>
                <w:rFonts w:cstheme="majorBidi"/>
                <w:sz w:val="18"/>
                <w:szCs w:val="18"/>
              </w:rPr>
            </w:pPr>
            <w:r w:rsidRPr="0004264F">
              <w:rPr>
                <w:rFonts w:cstheme="majorBidi"/>
                <w:sz w:val="18"/>
                <w:szCs w:val="18"/>
              </w:rPr>
              <w:t>SEA-by-Birth-Year FE</w:t>
            </w:r>
          </w:p>
        </w:tc>
        <w:tc>
          <w:tcPr>
            <w:tcW w:w="1709" w:type="dxa"/>
            <w:tcBorders>
              <w:top w:val="nil"/>
              <w:left w:val="nil"/>
              <w:bottom w:val="nil"/>
              <w:right w:val="nil"/>
            </w:tcBorders>
          </w:tcPr>
          <w:p w14:paraId="49C21634" w14:textId="32E489B3"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35DAB337" w14:textId="04836A74"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221A1528" w14:textId="40979020"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5DAA60A4" w14:textId="1180E702"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80" w:type="dxa"/>
            <w:tcBorders>
              <w:top w:val="nil"/>
              <w:left w:val="nil"/>
              <w:bottom w:val="nil"/>
              <w:right w:val="nil"/>
            </w:tcBorders>
          </w:tcPr>
          <w:p w14:paraId="6C4A6DDC" w14:textId="192AE0DD"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B82501" w:rsidRPr="0004264F" w14:paraId="002CD822" w14:textId="77777777" w:rsidTr="001A5F30">
        <w:trPr>
          <w:trHeight w:val="204"/>
        </w:trPr>
        <w:tc>
          <w:tcPr>
            <w:tcW w:w="2883" w:type="dxa"/>
            <w:tcBorders>
              <w:top w:val="nil"/>
              <w:left w:val="nil"/>
              <w:bottom w:val="nil"/>
              <w:right w:val="nil"/>
            </w:tcBorders>
            <w:vAlign w:val="center"/>
          </w:tcPr>
          <w:p w14:paraId="16416F9F" w14:textId="5229D21E" w:rsidR="00B82501" w:rsidRPr="0004264F" w:rsidRDefault="00B82501" w:rsidP="00B82501">
            <w:pPr>
              <w:widowControl w:val="0"/>
              <w:autoSpaceDE w:val="0"/>
              <w:autoSpaceDN w:val="0"/>
              <w:adjustRightInd w:val="0"/>
              <w:spacing w:after="0"/>
              <w:rPr>
                <w:rFonts w:cstheme="majorBidi"/>
                <w:sz w:val="18"/>
                <w:szCs w:val="18"/>
              </w:rPr>
            </w:pPr>
            <w:r w:rsidRPr="0004264F">
              <w:rPr>
                <w:rFonts w:cstheme="majorBidi"/>
                <w:sz w:val="18"/>
                <w:szCs w:val="18"/>
              </w:rPr>
              <w:t>Individual Controls</w:t>
            </w:r>
          </w:p>
        </w:tc>
        <w:tc>
          <w:tcPr>
            <w:tcW w:w="1709" w:type="dxa"/>
            <w:tcBorders>
              <w:top w:val="nil"/>
              <w:left w:val="nil"/>
              <w:bottom w:val="nil"/>
              <w:right w:val="nil"/>
            </w:tcBorders>
          </w:tcPr>
          <w:p w14:paraId="6763DE6E" w14:textId="1D014D69"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7D592096" w14:textId="560387CA"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5F4419A5" w14:textId="607D37A2"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5298B238" w14:textId="3ECC273B"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80" w:type="dxa"/>
            <w:tcBorders>
              <w:top w:val="nil"/>
              <w:left w:val="nil"/>
              <w:bottom w:val="nil"/>
              <w:right w:val="nil"/>
            </w:tcBorders>
          </w:tcPr>
          <w:p w14:paraId="46FA0208" w14:textId="3909D30F"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B82501" w:rsidRPr="0004264F" w14:paraId="244D68D3" w14:textId="77777777" w:rsidTr="001A5F30">
        <w:trPr>
          <w:trHeight w:val="204"/>
        </w:trPr>
        <w:tc>
          <w:tcPr>
            <w:tcW w:w="2883" w:type="dxa"/>
            <w:tcBorders>
              <w:top w:val="nil"/>
              <w:left w:val="nil"/>
              <w:bottom w:val="nil"/>
              <w:right w:val="nil"/>
            </w:tcBorders>
            <w:vAlign w:val="center"/>
          </w:tcPr>
          <w:p w14:paraId="536C410E" w14:textId="296EAE0B" w:rsidR="00B82501" w:rsidRPr="0004264F" w:rsidRDefault="00B82501" w:rsidP="00B82501">
            <w:pPr>
              <w:widowControl w:val="0"/>
              <w:autoSpaceDE w:val="0"/>
              <w:autoSpaceDN w:val="0"/>
              <w:adjustRightInd w:val="0"/>
              <w:spacing w:after="0"/>
              <w:rPr>
                <w:rFonts w:cstheme="majorBidi"/>
                <w:sz w:val="18"/>
                <w:szCs w:val="18"/>
              </w:rPr>
            </w:pPr>
            <w:r w:rsidRPr="0004264F">
              <w:rPr>
                <w:rFonts w:cstheme="majorBidi"/>
                <w:sz w:val="18"/>
                <w:szCs w:val="18"/>
              </w:rPr>
              <w:t>Family Controls</w:t>
            </w:r>
          </w:p>
        </w:tc>
        <w:tc>
          <w:tcPr>
            <w:tcW w:w="1709" w:type="dxa"/>
            <w:tcBorders>
              <w:top w:val="nil"/>
              <w:left w:val="nil"/>
              <w:bottom w:val="nil"/>
              <w:right w:val="nil"/>
            </w:tcBorders>
          </w:tcPr>
          <w:p w14:paraId="7B089279" w14:textId="48F2AB02"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12E812C3" w14:textId="20974D49"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6C247E68" w14:textId="677CB006"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4F124521" w14:textId="3579D376"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80" w:type="dxa"/>
            <w:tcBorders>
              <w:top w:val="nil"/>
              <w:left w:val="nil"/>
              <w:bottom w:val="nil"/>
              <w:right w:val="nil"/>
            </w:tcBorders>
          </w:tcPr>
          <w:p w14:paraId="0AF2EBD1" w14:textId="1DB22452"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B82501" w:rsidRPr="0004264F" w14:paraId="35620D52" w14:textId="77777777" w:rsidTr="001A5F30">
        <w:trPr>
          <w:trHeight w:val="204"/>
        </w:trPr>
        <w:tc>
          <w:tcPr>
            <w:tcW w:w="2883" w:type="dxa"/>
            <w:tcBorders>
              <w:top w:val="nil"/>
              <w:left w:val="nil"/>
              <w:bottom w:val="nil"/>
              <w:right w:val="nil"/>
            </w:tcBorders>
            <w:vAlign w:val="center"/>
          </w:tcPr>
          <w:p w14:paraId="48BB2D76" w14:textId="1617AECB" w:rsidR="00B82501" w:rsidRPr="0004264F" w:rsidRDefault="00B82501" w:rsidP="00B82501">
            <w:pPr>
              <w:widowControl w:val="0"/>
              <w:autoSpaceDE w:val="0"/>
              <w:autoSpaceDN w:val="0"/>
              <w:adjustRightInd w:val="0"/>
              <w:spacing w:after="0"/>
              <w:rPr>
                <w:rFonts w:cstheme="majorBidi"/>
                <w:sz w:val="18"/>
                <w:szCs w:val="18"/>
              </w:rPr>
            </w:pPr>
            <w:r w:rsidRPr="0004264F">
              <w:rPr>
                <w:rFonts w:cstheme="majorBidi"/>
                <w:sz w:val="18"/>
                <w:szCs w:val="18"/>
              </w:rPr>
              <w:t>County Controls</w:t>
            </w:r>
          </w:p>
        </w:tc>
        <w:tc>
          <w:tcPr>
            <w:tcW w:w="1709" w:type="dxa"/>
            <w:tcBorders>
              <w:top w:val="nil"/>
              <w:left w:val="nil"/>
              <w:bottom w:val="nil"/>
              <w:right w:val="nil"/>
            </w:tcBorders>
          </w:tcPr>
          <w:p w14:paraId="4FCBD44B" w14:textId="56281815"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599C2593" w14:textId="5B30C39B"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565A5A8F" w14:textId="78CCF350"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78" w:type="dxa"/>
            <w:tcBorders>
              <w:top w:val="nil"/>
              <w:left w:val="nil"/>
              <w:bottom w:val="nil"/>
              <w:right w:val="nil"/>
            </w:tcBorders>
          </w:tcPr>
          <w:p w14:paraId="6350F7D7" w14:textId="699F3461"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1780" w:type="dxa"/>
            <w:tcBorders>
              <w:top w:val="nil"/>
              <w:left w:val="nil"/>
              <w:bottom w:val="nil"/>
              <w:right w:val="nil"/>
            </w:tcBorders>
          </w:tcPr>
          <w:p w14:paraId="3440CF6B" w14:textId="1BA951DF" w:rsidR="00B82501" w:rsidRPr="0004264F" w:rsidRDefault="00B82501" w:rsidP="00B82501">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EA4541" w:rsidRPr="0004264F" w14:paraId="29CE84FE" w14:textId="77777777" w:rsidTr="00E5692A">
        <w:trPr>
          <w:trHeight w:val="440"/>
        </w:trPr>
        <w:tc>
          <w:tcPr>
            <w:tcW w:w="11706" w:type="dxa"/>
            <w:gridSpan w:val="6"/>
            <w:tcBorders>
              <w:top w:val="single" w:sz="6" w:space="0" w:color="auto"/>
              <w:left w:val="nil"/>
              <w:right w:val="nil"/>
            </w:tcBorders>
          </w:tcPr>
          <w:p w14:paraId="78605928" w14:textId="22216C8F" w:rsidR="00EA4541" w:rsidRPr="0004264F" w:rsidRDefault="00EA4541" w:rsidP="00EA4541">
            <w:pPr>
              <w:widowControl w:val="0"/>
              <w:autoSpaceDE w:val="0"/>
              <w:autoSpaceDN w:val="0"/>
              <w:adjustRightInd w:val="0"/>
              <w:spacing w:after="0"/>
              <w:jc w:val="both"/>
              <w:rPr>
                <w:rFonts w:cstheme="majorBidi"/>
                <w:sz w:val="18"/>
                <w:szCs w:val="18"/>
              </w:rPr>
            </w:pPr>
            <w:r w:rsidRPr="0004264F">
              <w:rPr>
                <w:rFonts w:cstheme="majorBidi"/>
                <w:sz w:val="18"/>
                <w:szCs w:val="18"/>
              </w:rPr>
              <w:t>Notes. Standard errors, clustered at the county-level, are in parentheses.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w:t>
            </w:r>
          </w:p>
          <w:p w14:paraId="234950BD" w14:textId="77777777" w:rsidR="00EA4541" w:rsidRPr="0004264F" w:rsidRDefault="00EA4541" w:rsidP="00EA4541">
            <w:pPr>
              <w:widowControl w:val="0"/>
              <w:autoSpaceDE w:val="0"/>
              <w:autoSpaceDN w:val="0"/>
              <w:adjustRightInd w:val="0"/>
              <w:spacing w:after="0"/>
              <w:jc w:val="both"/>
              <w:rPr>
                <w:rFonts w:cstheme="majorBidi"/>
                <w:sz w:val="18"/>
                <w:szCs w:val="18"/>
              </w:rPr>
            </w:pPr>
            <w:r w:rsidRPr="0004264F">
              <w:rPr>
                <w:rFonts w:cstheme="majorBidi"/>
                <w:sz w:val="18"/>
                <w:szCs w:val="18"/>
              </w:rPr>
              <w:t>*** p&lt;0.01, ** p&lt;0.05, * p&lt;0.1</w:t>
            </w:r>
          </w:p>
          <w:p w14:paraId="3F4DE171" w14:textId="5D3293E3" w:rsidR="00EA4541" w:rsidRPr="0004264F" w:rsidRDefault="00EA4541" w:rsidP="00EA4541">
            <w:pPr>
              <w:widowControl w:val="0"/>
              <w:autoSpaceDE w:val="0"/>
              <w:autoSpaceDN w:val="0"/>
              <w:adjustRightInd w:val="0"/>
              <w:spacing w:after="0"/>
              <w:rPr>
                <w:rFonts w:cstheme="majorBidi"/>
                <w:i/>
                <w:iCs/>
                <w:sz w:val="18"/>
                <w:szCs w:val="18"/>
              </w:rPr>
            </w:pPr>
          </w:p>
        </w:tc>
      </w:tr>
      <w:tr w:rsidR="00EA4541" w:rsidRPr="0004264F" w14:paraId="18C72149" w14:textId="77777777" w:rsidTr="00E5692A">
        <w:trPr>
          <w:trHeight w:val="216"/>
        </w:trPr>
        <w:tc>
          <w:tcPr>
            <w:tcW w:w="11706" w:type="dxa"/>
            <w:gridSpan w:val="6"/>
            <w:tcBorders>
              <w:top w:val="nil"/>
              <w:left w:val="nil"/>
              <w:bottom w:val="nil"/>
              <w:right w:val="nil"/>
            </w:tcBorders>
          </w:tcPr>
          <w:p w14:paraId="632836B1" w14:textId="77777777" w:rsidR="00EA4541" w:rsidRPr="0004264F" w:rsidRDefault="00EA4541" w:rsidP="00EA4541">
            <w:pPr>
              <w:widowControl w:val="0"/>
              <w:autoSpaceDE w:val="0"/>
              <w:autoSpaceDN w:val="0"/>
              <w:adjustRightInd w:val="0"/>
              <w:spacing w:after="0"/>
              <w:rPr>
                <w:rFonts w:cstheme="majorBidi"/>
                <w:sz w:val="18"/>
                <w:szCs w:val="18"/>
              </w:rPr>
            </w:pPr>
          </w:p>
        </w:tc>
      </w:tr>
    </w:tbl>
    <w:p w14:paraId="2D84E5B4" w14:textId="6E492CD5" w:rsidR="00E5692A" w:rsidRPr="0004264F" w:rsidRDefault="00E5692A" w:rsidP="00F32C69">
      <w:pPr>
        <w:rPr>
          <w:rFonts w:cstheme="majorBidi"/>
          <w:b/>
          <w:bCs/>
          <w:sz w:val="20"/>
          <w:szCs w:val="20"/>
        </w:rPr>
      </w:pPr>
    </w:p>
    <w:p w14:paraId="0849D12E" w14:textId="66B0E210" w:rsidR="00E5692A" w:rsidRPr="0004264F" w:rsidRDefault="00E5692A" w:rsidP="00F32C69">
      <w:pPr>
        <w:rPr>
          <w:rFonts w:cstheme="majorBidi"/>
          <w:b/>
          <w:bCs/>
          <w:sz w:val="20"/>
          <w:szCs w:val="20"/>
        </w:rPr>
      </w:pPr>
    </w:p>
    <w:p w14:paraId="38ADB4D6" w14:textId="2AE2BD54" w:rsidR="00E5692A" w:rsidRPr="0004264F" w:rsidRDefault="00E5692A" w:rsidP="00F32C69">
      <w:pPr>
        <w:rPr>
          <w:rFonts w:cstheme="majorBidi"/>
          <w:b/>
          <w:bCs/>
          <w:sz w:val="20"/>
          <w:szCs w:val="20"/>
        </w:rPr>
        <w:sectPr w:rsidR="00E5692A" w:rsidRPr="0004264F" w:rsidSect="00C114EB">
          <w:pgSz w:w="15840" w:h="12240" w:orient="landscape" w:code="1"/>
          <w:pgMar w:top="1440" w:right="1440" w:bottom="1440" w:left="1440" w:header="720" w:footer="720" w:gutter="0"/>
          <w:cols w:space="720"/>
          <w:docGrid w:linePitch="360"/>
        </w:sectPr>
      </w:pPr>
    </w:p>
    <w:p w14:paraId="0230DA46" w14:textId="64B7B02D" w:rsidR="00E5692A" w:rsidRPr="0004264F" w:rsidRDefault="00E5692A" w:rsidP="00F32C69">
      <w:pPr>
        <w:rPr>
          <w:rFonts w:cstheme="majorBidi"/>
          <w:szCs w:val="24"/>
        </w:rPr>
      </w:pPr>
    </w:p>
    <w:p w14:paraId="75EEA435" w14:textId="75A00DEA" w:rsidR="00CE451D" w:rsidRPr="0004264F" w:rsidRDefault="00CE451D" w:rsidP="00CE451D">
      <w:pPr>
        <w:pStyle w:val="Heading3"/>
        <w:bidi w:val="0"/>
      </w:pPr>
      <w:bookmarkStart w:id="28" w:name="_Ref105367045"/>
    </w:p>
    <w:bookmarkEnd w:id="28"/>
    <w:p w14:paraId="1842BED3" w14:textId="161C1C8E" w:rsidR="00CE451D" w:rsidRPr="0004264F" w:rsidRDefault="003D6494" w:rsidP="00E87B4E">
      <w:pPr>
        <w:spacing w:before="100" w:after="100" w:line="360" w:lineRule="auto"/>
        <w:ind w:firstLine="720"/>
        <w:jc w:val="both"/>
        <w:rPr>
          <w:rFonts w:cstheme="majorBidi"/>
          <w:szCs w:val="24"/>
        </w:rPr>
      </w:pPr>
      <w:r w:rsidRPr="0004264F">
        <w:rPr>
          <w:rFonts w:cstheme="majorBidi"/>
          <w:szCs w:val="24"/>
        </w:rPr>
        <w:t xml:space="preserve">One potential heterogeneity is across counties with differential exposure to the Dust Bowl and the resulting soil erosions. Although Dust Bowl started mainly after 1935, </w:t>
      </w:r>
      <w:r w:rsidR="00E87B4E" w:rsidRPr="0004264F">
        <w:rPr>
          <w:rFonts w:cstheme="majorBidi"/>
          <w:szCs w:val="24"/>
        </w:rPr>
        <w:t xml:space="preserve">they could impose selection bias to our results if economic conditions have differential impact on health of newborns in exposed and unexposed counties. We use data from </w:t>
      </w:r>
      <w:r w:rsidR="00E87B4E" w:rsidRPr="0004264F">
        <w:rPr>
          <w:rFonts w:cstheme="majorBidi"/>
          <w:szCs w:val="24"/>
        </w:rPr>
        <w:fldChar w:fldCharType="begin" w:fldLock="1"/>
      </w:r>
      <w:r w:rsidR="0095065C" w:rsidRPr="0004264F">
        <w:rPr>
          <w:rFonts w:cstheme="majorBidi"/>
          <w:szCs w:val="24"/>
        </w:rPr>
        <w:instrText>ADDIN CSL_CITATION {"citationItems":[{"id":"ITEM-1","itemData":{"DOI":"10.7910/DVN/CLRPAV","author":[{"dropping-particle":"","family":"Hornbeck","given":"Richard","non-dropping-particle":"","parse-names":false,"suffix":""}],"id":"ITEM-1","issued":{"date-parts":[["2011"]]},"publisher":"Harvard Dataverse","title":"Replication data for: The Enduring Impact of the American Dust Bowl: Short and Long-run Adjustments to Environmental Catastrophe","type":"article"},"uris":["http://www.mendeley.com/documents/?uuid=0a410724-77b0-449a-a61e-f979a7459ace"]}],"mendeley":{"formattedCitation":"(Hornbeck, 2011)","manualFormatting":"Hornbeck (2011)","plainTextFormattedCitation":"(Hornbeck, 2011)","previouslyFormattedCitation":"(Hornbeck, 2011)"},"properties":{"noteIndex":0},"schema":"https://github.com/citation-style-language/schema/raw/master/csl-citation.json"}</w:instrText>
      </w:r>
      <w:r w:rsidR="00E87B4E" w:rsidRPr="0004264F">
        <w:rPr>
          <w:rFonts w:cstheme="majorBidi"/>
          <w:szCs w:val="24"/>
        </w:rPr>
        <w:fldChar w:fldCharType="separate"/>
      </w:r>
      <w:r w:rsidR="00E87B4E" w:rsidRPr="0004264F">
        <w:rPr>
          <w:rFonts w:cstheme="majorBidi"/>
          <w:noProof/>
          <w:szCs w:val="24"/>
        </w:rPr>
        <w:t>Hornbeck (2011)</w:t>
      </w:r>
      <w:r w:rsidR="00E87B4E" w:rsidRPr="0004264F">
        <w:rPr>
          <w:rFonts w:cstheme="majorBidi"/>
          <w:szCs w:val="24"/>
        </w:rPr>
        <w:fldChar w:fldCharType="end"/>
      </w:r>
      <w:r w:rsidR="00E87B4E" w:rsidRPr="0004264F">
        <w:rPr>
          <w:rFonts w:cstheme="majorBidi"/>
          <w:szCs w:val="24"/>
        </w:rPr>
        <w:t xml:space="preserve"> to distinguish counties with high and medium soil erosion due to the Dust Bowl from all other counties. We then replicate the main results across exposed and unexposed counties. The results are reported in </w:t>
      </w:r>
      <w:r w:rsidR="00E87B4E" w:rsidRPr="0004264F">
        <w:rPr>
          <w:rFonts w:cstheme="majorBidi"/>
          <w:szCs w:val="24"/>
        </w:rPr>
        <w:fldChar w:fldCharType="begin"/>
      </w:r>
      <w:r w:rsidR="00E87B4E" w:rsidRPr="0004264F">
        <w:rPr>
          <w:rFonts w:cstheme="majorBidi"/>
          <w:szCs w:val="24"/>
        </w:rPr>
        <w:instrText xml:space="preserve"> REF _Ref105374409 \h </w:instrText>
      </w:r>
      <w:r w:rsidR="00033EB9" w:rsidRPr="0004264F">
        <w:rPr>
          <w:rFonts w:cstheme="majorBidi"/>
          <w:szCs w:val="24"/>
        </w:rPr>
        <w:instrText xml:space="preserve"> \* MERGEFORMAT </w:instrText>
      </w:r>
      <w:r w:rsidR="00E87B4E" w:rsidRPr="0004264F">
        <w:rPr>
          <w:rFonts w:cstheme="majorBidi"/>
          <w:szCs w:val="24"/>
        </w:rPr>
      </w:r>
      <w:r w:rsidR="00E87B4E" w:rsidRPr="0004264F">
        <w:rPr>
          <w:rFonts w:cstheme="majorBidi"/>
          <w:szCs w:val="24"/>
        </w:rPr>
        <w:fldChar w:fldCharType="separate"/>
      </w:r>
      <w:r w:rsidR="00CA5B9D" w:rsidRPr="0004264F">
        <w:rPr>
          <w:rFonts w:cstheme="majorBidi"/>
        </w:rPr>
        <w:t xml:space="preserve">Appendix Table </w:t>
      </w:r>
      <w:r w:rsidR="00CA5B9D" w:rsidRPr="0004264F">
        <w:rPr>
          <w:rFonts w:cstheme="majorBidi"/>
          <w:noProof/>
        </w:rPr>
        <w:t>C</w:t>
      </w:r>
      <w:r w:rsidR="00CA5B9D" w:rsidRPr="0004264F">
        <w:rPr>
          <w:rFonts w:cstheme="majorBidi"/>
          <w:noProof/>
        </w:rPr>
        <w:noBreakHyphen/>
        <w:t>1</w:t>
      </w:r>
      <w:r w:rsidR="00E87B4E" w:rsidRPr="0004264F">
        <w:rPr>
          <w:rFonts w:cstheme="majorBidi"/>
          <w:szCs w:val="24"/>
        </w:rPr>
        <w:fldChar w:fldCharType="end"/>
      </w:r>
      <w:r w:rsidR="00E87B4E" w:rsidRPr="0004264F">
        <w:rPr>
          <w:rFonts w:cstheme="majorBidi"/>
          <w:szCs w:val="24"/>
        </w:rPr>
        <w:t xml:space="preserve">. </w:t>
      </w:r>
      <w:r w:rsidR="00E22DAD" w:rsidRPr="0004264F">
        <w:rPr>
          <w:rFonts w:cstheme="majorBidi"/>
          <w:szCs w:val="24"/>
        </w:rPr>
        <w:t xml:space="preserve">A one-standard-deviation increase in bank deposits per capita during the prenatal development is associated with </w:t>
      </w:r>
      <w:proofErr w:type="gramStart"/>
      <w:r w:rsidR="00A6668D" w:rsidRPr="0004264F">
        <w:rPr>
          <w:rFonts w:cstheme="majorBidi"/>
          <w:szCs w:val="24"/>
        </w:rPr>
        <w:t>9.1</w:t>
      </w:r>
      <w:r w:rsidR="00E22DAD" w:rsidRPr="0004264F">
        <w:rPr>
          <w:rFonts w:cstheme="majorBidi"/>
          <w:szCs w:val="24"/>
        </w:rPr>
        <w:t xml:space="preserve"> and </w:t>
      </w:r>
      <w:r w:rsidR="00A6668D" w:rsidRPr="0004264F">
        <w:rPr>
          <w:rFonts w:cstheme="majorBidi"/>
          <w:szCs w:val="24"/>
        </w:rPr>
        <w:t>1.7</w:t>
      </w:r>
      <w:r w:rsidR="00E22DAD" w:rsidRPr="0004264F">
        <w:rPr>
          <w:rFonts w:cstheme="majorBidi"/>
          <w:szCs w:val="24"/>
        </w:rPr>
        <w:t xml:space="preserve"> months</w:t>
      </w:r>
      <w:proofErr w:type="gramEnd"/>
      <w:r w:rsidR="00E22DAD" w:rsidRPr="0004264F">
        <w:rPr>
          <w:rFonts w:cstheme="majorBidi"/>
          <w:szCs w:val="24"/>
        </w:rPr>
        <w:t xml:space="preserve"> higher longevity in exposed and unexposed counties, respectively. However, the effect of exposed counties is insignificant. </w:t>
      </w:r>
      <w:r w:rsidR="00BE01FF" w:rsidRPr="0004264F">
        <w:rPr>
          <w:rFonts w:cstheme="majorBidi"/>
          <w:szCs w:val="24"/>
        </w:rPr>
        <w:t>Therefore, we rule out the concern that behavior of Dust Bowl exposed counties drive the main results.</w:t>
      </w:r>
    </w:p>
    <w:p w14:paraId="3556BC0A" w14:textId="497572DA" w:rsidR="00CE451D" w:rsidRPr="0004264F" w:rsidRDefault="00CE451D" w:rsidP="00DE7A45">
      <w:pPr>
        <w:spacing w:before="100" w:after="100" w:line="360" w:lineRule="auto"/>
        <w:ind w:firstLine="720"/>
        <w:rPr>
          <w:rFonts w:cstheme="majorBidi"/>
          <w:szCs w:val="24"/>
        </w:rPr>
      </w:pPr>
    </w:p>
    <w:p w14:paraId="39C3F268" w14:textId="3507F5AF" w:rsidR="00CE451D" w:rsidRPr="0004264F" w:rsidRDefault="00CE451D" w:rsidP="00DE7A45">
      <w:pPr>
        <w:spacing w:before="100" w:after="100" w:line="360" w:lineRule="auto"/>
        <w:ind w:firstLine="720"/>
        <w:rPr>
          <w:rFonts w:cstheme="majorBidi"/>
          <w:szCs w:val="24"/>
        </w:rPr>
      </w:pPr>
    </w:p>
    <w:p w14:paraId="0D6915FE" w14:textId="46BC1F4C" w:rsidR="00CE451D" w:rsidRPr="0004264F" w:rsidRDefault="00CE451D" w:rsidP="00DE7A45">
      <w:pPr>
        <w:spacing w:before="100" w:after="100" w:line="360" w:lineRule="auto"/>
        <w:ind w:firstLine="720"/>
        <w:rPr>
          <w:rFonts w:cstheme="majorBidi"/>
          <w:szCs w:val="24"/>
        </w:rPr>
      </w:pPr>
    </w:p>
    <w:p w14:paraId="3A098039" w14:textId="4EAC2D12" w:rsidR="00CE451D" w:rsidRPr="0004264F" w:rsidRDefault="00CE451D" w:rsidP="00DE7A45">
      <w:pPr>
        <w:spacing w:before="100" w:after="100" w:line="360" w:lineRule="auto"/>
        <w:ind w:firstLine="720"/>
        <w:rPr>
          <w:rFonts w:cstheme="majorBidi"/>
          <w:szCs w:val="24"/>
        </w:rPr>
      </w:pPr>
    </w:p>
    <w:p w14:paraId="3E49E36E" w14:textId="5DB15D70" w:rsidR="00CE451D" w:rsidRPr="0004264F" w:rsidRDefault="00CE451D" w:rsidP="00DE7A45">
      <w:pPr>
        <w:spacing w:before="100" w:after="100" w:line="360" w:lineRule="auto"/>
        <w:ind w:firstLine="720"/>
        <w:rPr>
          <w:rFonts w:cstheme="majorBidi"/>
          <w:szCs w:val="24"/>
        </w:rPr>
      </w:pPr>
    </w:p>
    <w:p w14:paraId="785A678D" w14:textId="41311E76" w:rsidR="00CE451D" w:rsidRPr="0004264F" w:rsidRDefault="00CE451D" w:rsidP="00DE7A45">
      <w:pPr>
        <w:spacing w:before="100" w:after="100" w:line="360" w:lineRule="auto"/>
        <w:ind w:firstLine="720"/>
        <w:rPr>
          <w:rFonts w:cstheme="majorBidi"/>
          <w:szCs w:val="24"/>
        </w:rPr>
      </w:pPr>
    </w:p>
    <w:p w14:paraId="146A7933" w14:textId="312E1861" w:rsidR="00CE451D" w:rsidRPr="0004264F" w:rsidRDefault="00CE451D" w:rsidP="00DE7A45">
      <w:pPr>
        <w:spacing w:before="100" w:after="100" w:line="360" w:lineRule="auto"/>
        <w:ind w:firstLine="720"/>
        <w:rPr>
          <w:rFonts w:cstheme="majorBidi"/>
          <w:szCs w:val="24"/>
        </w:rPr>
      </w:pPr>
    </w:p>
    <w:p w14:paraId="506A1828" w14:textId="74DB8FF5" w:rsidR="00CE451D" w:rsidRPr="0004264F" w:rsidRDefault="00CE451D" w:rsidP="00DE7A45">
      <w:pPr>
        <w:spacing w:before="100" w:after="100" w:line="360" w:lineRule="auto"/>
        <w:ind w:firstLine="720"/>
        <w:rPr>
          <w:rFonts w:cstheme="majorBidi"/>
          <w:szCs w:val="24"/>
        </w:rPr>
      </w:pPr>
    </w:p>
    <w:p w14:paraId="262EAD6E" w14:textId="0B960AC2" w:rsidR="00CE451D" w:rsidRPr="0004264F" w:rsidRDefault="00CE451D" w:rsidP="00F32C69">
      <w:pPr>
        <w:rPr>
          <w:rFonts w:cstheme="majorBidi"/>
          <w:szCs w:val="24"/>
        </w:rPr>
      </w:pPr>
    </w:p>
    <w:p w14:paraId="16277AE9" w14:textId="4258BD5D" w:rsidR="00CE451D" w:rsidRPr="0004264F" w:rsidRDefault="00CE451D" w:rsidP="00F32C69">
      <w:pPr>
        <w:rPr>
          <w:rFonts w:cstheme="majorBidi"/>
          <w:szCs w:val="24"/>
        </w:rPr>
      </w:pPr>
    </w:p>
    <w:p w14:paraId="616573D2" w14:textId="469CDA4E" w:rsidR="00CE451D" w:rsidRPr="0004264F" w:rsidRDefault="00CE451D" w:rsidP="00F32C69">
      <w:pPr>
        <w:rPr>
          <w:rFonts w:cstheme="majorBidi"/>
          <w:szCs w:val="24"/>
        </w:rPr>
      </w:pPr>
    </w:p>
    <w:p w14:paraId="0A6FB01D" w14:textId="74EB95D9" w:rsidR="00CE451D" w:rsidRPr="0004264F" w:rsidRDefault="00CE451D" w:rsidP="00F32C69">
      <w:pPr>
        <w:rPr>
          <w:rFonts w:cstheme="majorBidi"/>
          <w:szCs w:val="24"/>
        </w:rPr>
      </w:pPr>
    </w:p>
    <w:p w14:paraId="0CE0A9B6" w14:textId="00AD6679" w:rsidR="00CE451D" w:rsidRPr="0004264F" w:rsidRDefault="00CE451D" w:rsidP="00F32C69">
      <w:pPr>
        <w:rPr>
          <w:rFonts w:cstheme="majorBidi"/>
          <w:szCs w:val="24"/>
        </w:rPr>
      </w:pPr>
    </w:p>
    <w:p w14:paraId="1740EBC1" w14:textId="3185ECC7" w:rsidR="00CE451D" w:rsidRPr="0004264F" w:rsidRDefault="00CE451D" w:rsidP="00F32C69">
      <w:pPr>
        <w:rPr>
          <w:rFonts w:cstheme="majorBidi"/>
          <w:szCs w:val="24"/>
        </w:rPr>
      </w:pPr>
    </w:p>
    <w:p w14:paraId="79D96641" w14:textId="66C69606" w:rsidR="00CE451D" w:rsidRPr="0004264F" w:rsidRDefault="00CE451D" w:rsidP="00F32C69">
      <w:pPr>
        <w:rPr>
          <w:rFonts w:cstheme="majorBidi"/>
          <w:szCs w:val="24"/>
        </w:rPr>
      </w:pPr>
    </w:p>
    <w:p w14:paraId="6B764103" w14:textId="58BCFE15" w:rsidR="00CE451D" w:rsidRPr="0004264F" w:rsidRDefault="00CE451D" w:rsidP="00F32C69">
      <w:pPr>
        <w:rPr>
          <w:rFonts w:cstheme="majorBidi"/>
          <w:szCs w:val="24"/>
        </w:rPr>
      </w:pPr>
    </w:p>
    <w:p w14:paraId="656C57AC" w14:textId="25B2C038" w:rsidR="00CE451D" w:rsidRPr="0004264F" w:rsidRDefault="00CE451D" w:rsidP="00F32C69">
      <w:pPr>
        <w:rPr>
          <w:rFonts w:cstheme="majorBidi"/>
          <w:szCs w:val="24"/>
        </w:rPr>
      </w:pPr>
    </w:p>
    <w:p w14:paraId="5584E010" w14:textId="77777777" w:rsidR="00CE451D" w:rsidRPr="0004264F" w:rsidRDefault="00CE451D" w:rsidP="00F32C69">
      <w:pPr>
        <w:rPr>
          <w:rFonts w:cstheme="majorBidi"/>
          <w:b/>
          <w:bCs/>
          <w:sz w:val="20"/>
          <w:szCs w:val="20"/>
        </w:rPr>
      </w:pPr>
    </w:p>
    <w:p w14:paraId="647B2BE7" w14:textId="24BCD9D8" w:rsidR="00E5692A" w:rsidRPr="0004264F" w:rsidRDefault="00E5692A" w:rsidP="00F32C69">
      <w:pPr>
        <w:rPr>
          <w:rFonts w:cstheme="majorBidi"/>
          <w:b/>
          <w:bCs/>
          <w:sz w:val="20"/>
          <w:szCs w:val="20"/>
        </w:rPr>
      </w:pPr>
    </w:p>
    <w:p w14:paraId="7BFDF148" w14:textId="529A0272" w:rsidR="00E5692A" w:rsidRPr="0004264F" w:rsidRDefault="00E5692A" w:rsidP="00F32C69">
      <w:pPr>
        <w:rPr>
          <w:rFonts w:cstheme="majorBidi"/>
          <w:b/>
          <w:bCs/>
          <w:sz w:val="20"/>
          <w:szCs w:val="20"/>
        </w:rPr>
      </w:pPr>
    </w:p>
    <w:p w14:paraId="795CB4F0" w14:textId="4FA417C0" w:rsidR="00E5692A" w:rsidRPr="0004264F" w:rsidRDefault="00E5692A" w:rsidP="00F32C69">
      <w:pPr>
        <w:rPr>
          <w:rFonts w:cstheme="majorBidi"/>
          <w:b/>
          <w:bCs/>
          <w:sz w:val="20"/>
          <w:szCs w:val="20"/>
        </w:rPr>
      </w:pPr>
    </w:p>
    <w:p w14:paraId="3C705E80" w14:textId="6E1A0079" w:rsidR="00BE01FF" w:rsidRPr="0004264F" w:rsidRDefault="00BE01FF" w:rsidP="00F32C69">
      <w:pPr>
        <w:rPr>
          <w:rFonts w:cstheme="majorBidi"/>
          <w:b/>
          <w:bCs/>
          <w:sz w:val="20"/>
          <w:szCs w:val="20"/>
        </w:rPr>
      </w:pPr>
    </w:p>
    <w:p w14:paraId="76910D7A" w14:textId="48A8D762" w:rsidR="00BE01FF" w:rsidRPr="0004264F" w:rsidRDefault="00BE01FF" w:rsidP="00F32C69">
      <w:pPr>
        <w:rPr>
          <w:rFonts w:cstheme="majorBidi"/>
          <w:b/>
          <w:bCs/>
          <w:sz w:val="20"/>
          <w:szCs w:val="20"/>
        </w:rPr>
      </w:pPr>
    </w:p>
    <w:p w14:paraId="105BB873" w14:textId="77777777" w:rsidR="00BE01FF" w:rsidRPr="0004264F" w:rsidRDefault="00BE01FF" w:rsidP="00F32C69">
      <w:pPr>
        <w:rPr>
          <w:rFonts w:cstheme="majorBidi"/>
          <w:b/>
          <w:bCs/>
          <w:sz w:val="20"/>
          <w:szCs w:val="20"/>
        </w:rPr>
      </w:pPr>
    </w:p>
    <w:p w14:paraId="0DCA4898" w14:textId="7330E569" w:rsidR="00CE451D" w:rsidRPr="0004264F" w:rsidRDefault="00CE451D" w:rsidP="00CE451D">
      <w:pPr>
        <w:pStyle w:val="Caption"/>
        <w:keepNext/>
        <w:bidi w:val="0"/>
        <w:rPr>
          <w:rFonts w:cstheme="majorBidi"/>
        </w:rPr>
      </w:pPr>
      <w:bookmarkStart w:id="29" w:name="_Ref105374409"/>
      <w:r w:rsidRPr="0004264F">
        <w:rPr>
          <w:rFonts w:cstheme="majorBidi"/>
        </w:rPr>
        <w:t xml:space="preserve">Appendix Table </w:t>
      </w:r>
      <w:r w:rsidR="00B751B8" w:rsidRPr="0004264F">
        <w:rPr>
          <w:rFonts w:cstheme="majorBidi"/>
        </w:rPr>
        <w:fldChar w:fldCharType="begin"/>
      </w:r>
      <w:r w:rsidR="00B751B8" w:rsidRPr="0004264F">
        <w:rPr>
          <w:rFonts w:cstheme="majorBidi"/>
        </w:rPr>
        <w:instrText xml:space="preserve"> STYLEREF 3 \s </w:instrText>
      </w:r>
      <w:r w:rsidR="00B751B8" w:rsidRPr="0004264F">
        <w:rPr>
          <w:rFonts w:cstheme="majorBidi"/>
        </w:rPr>
        <w:fldChar w:fldCharType="separate"/>
      </w:r>
      <w:r w:rsidR="00CA5B9D" w:rsidRPr="0004264F">
        <w:rPr>
          <w:rFonts w:cstheme="majorBidi"/>
          <w:noProof/>
        </w:rPr>
        <w:t>C</w:t>
      </w:r>
      <w:r w:rsidR="00B751B8" w:rsidRPr="0004264F">
        <w:rPr>
          <w:rFonts w:cstheme="majorBidi"/>
        </w:rPr>
        <w:fldChar w:fldCharType="end"/>
      </w:r>
      <w:r w:rsidR="00B751B8" w:rsidRPr="0004264F">
        <w:rPr>
          <w:rFonts w:cstheme="majorBidi"/>
        </w:rPr>
        <w:noBreakHyphen/>
      </w:r>
      <w:r w:rsidR="00B751B8" w:rsidRPr="0004264F">
        <w:rPr>
          <w:rFonts w:cstheme="majorBidi"/>
        </w:rPr>
        <w:fldChar w:fldCharType="begin"/>
      </w:r>
      <w:r w:rsidR="00B751B8" w:rsidRPr="0004264F">
        <w:rPr>
          <w:rFonts w:cstheme="majorBidi"/>
        </w:rPr>
        <w:instrText xml:space="preserve"> SEQ Appendix_Table \* ARABIC \s 3 </w:instrText>
      </w:r>
      <w:r w:rsidR="00B751B8" w:rsidRPr="0004264F">
        <w:rPr>
          <w:rFonts w:cstheme="majorBidi"/>
        </w:rPr>
        <w:fldChar w:fldCharType="separate"/>
      </w:r>
      <w:r w:rsidR="00CA5B9D" w:rsidRPr="0004264F">
        <w:rPr>
          <w:rFonts w:cstheme="majorBidi"/>
          <w:noProof/>
        </w:rPr>
        <w:t>1</w:t>
      </w:r>
      <w:r w:rsidR="00B751B8" w:rsidRPr="0004264F">
        <w:rPr>
          <w:rFonts w:cstheme="majorBidi"/>
        </w:rPr>
        <w:fldChar w:fldCharType="end"/>
      </w:r>
      <w:bookmarkEnd w:id="29"/>
      <w:r w:rsidRPr="0004264F">
        <w:rPr>
          <w:rFonts w:cstheme="majorBidi"/>
        </w:rPr>
        <w:t xml:space="preserve"> - Heterogeneity of the Results across Counties by their Exposure to Dust Bowl</w:t>
      </w:r>
    </w:p>
    <w:tbl>
      <w:tblPr>
        <w:tblW w:w="0" w:type="auto"/>
        <w:jc w:val="center"/>
        <w:tblLayout w:type="fixed"/>
        <w:tblLook w:val="0000" w:firstRow="0" w:lastRow="0" w:firstColumn="0" w:lastColumn="0" w:noHBand="0" w:noVBand="0"/>
      </w:tblPr>
      <w:tblGrid>
        <w:gridCol w:w="4067"/>
        <w:gridCol w:w="2411"/>
        <w:gridCol w:w="2508"/>
      </w:tblGrid>
      <w:tr w:rsidR="00CE451D" w:rsidRPr="0004264F" w14:paraId="274C86D9" w14:textId="77777777" w:rsidTr="00CE451D">
        <w:trPr>
          <w:trHeight w:val="223"/>
          <w:jc w:val="center"/>
        </w:trPr>
        <w:tc>
          <w:tcPr>
            <w:tcW w:w="4067" w:type="dxa"/>
            <w:tcBorders>
              <w:top w:val="single" w:sz="4" w:space="0" w:color="auto"/>
              <w:left w:val="nil"/>
              <w:right w:val="nil"/>
            </w:tcBorders>
          </w:tcPr>
          <w:p w14:paraId="226300FD" w14:textId="77777777" w:rsidR="00CE451D" w:rsidRPr="0004264F" w:rsidRDefault="00CE451D" w:rsidP="00CE451D">
            <w:pPr>
              <w:widowControl w:val="0"/>
              <w:autoSpaceDE w:val="0"/>
              <w:autoSpaceDN w:val="0"/>
              <w:adjustRightInd w:val="0"/>
              <w:spacing w:after="0"/>
              <w:jc w:val="center"/>
              <w:rPr>
                <w:rFonts w:cstheme="majorBidi"/>
                <w:sz w:val="18"/>
                <w:szCs w:val="18"/>
              </w:rPr>
            </w:pPr>
          </w:p>
        </w:tc>
        <w:tc>
          <w:tcPr>
            <w:tcW w:w="4919" w:type="dxa"/>
            <w:gridSpan w:val="2"/>
            <w:tcBorders>
              <w:top w:val="single" w:sz="4" w:space="0" w:color="auto"/>
              <w:left w:val="nil"/>
              <w:bottom w:val="nil"/>
              <w:right w:val="nil"/>
            </w:tcBorders>
          </w:tcPr>
          <w:p w14:paraId="18C3B6E7" w14:textId="0C7F3BA5"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Outcome: Age at Death (Months)</w:t>
            </w:r>
          </w:p>
        </w:tc>
      </w:tr>
      <w:tr w:rsidR="00CE451D" w:rsidRPr="0004264F" w14:paraId="5ABB8B9C" w14:textId="77777777" w:rsidTr="00BF3125">
        <w:trPr>
          <w:trHeight w:val="223"/>
          <w:jc w:val="center"/>
        </w:trPr>
        <w:tc>
          <w:tcPr>
            <w:tcW w:w="4067" w:type="dxa"/>
            <w:tcBorders>
              <w:left w:val="nil"/>
              <w:bottom w:val="nil"/>
              <w:right w:val="nil"/>
            </w:tcBorders>
          </w:tcPr>
          <w:p w14:paraId="187DCAA0" w14:textId="77777777"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w:t>
            </w:r>
          </w:p>
        </w:tc>
        <w:tc>
          <w:tcPr>
            <w:tcW w:w="2411" w:type="dxa"/>
            <w:tcBorders>
              <w:top w:val="single" w:sz="4" w:space="0" w:color="auto"/>
              <w:left w:val="nil"/>
              <w:bottom w:val="single" w:sz="4" w:space="0" w:color="auto"/>
              <w:right w:val="nil"/>
            </w:tcBorders>
          </w:tcPr>
          <w:p w14:paraId="2CD3082F" w14:textId="4FC1C95B"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Dust Bowl Counties</w:t>
            </w:r>
          </w:p>
        </w:tc>
        <w:tc>
          <w:tcPr>
            <w:tcW w:w="2508" w:type="dxa"/>
            <w:tcBorders>
              <w:top w:val="single" w:sz="4" w:space="0" w:color="auto"/>
              <w:left w:val="nil"/>
              <w:bottom w:val="single" w:sz="4" w:space="0" w:color="auto"/>
              <w:right w:val="nil"/>
            </w:tcBorders>
          </w:tcPr>
          <w:p w14:paraId="36EDC56C" w14:textId="36A691A9"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All Other Counties</w:t>
            </w:r>
          </w:p>
        </w:tc>
      </w:tr>
      <w:tr w:rsidR="00CE451D" w:rsidRPr="0004264F" w14:paraId="43185EFE" w14:textId="77777777" w:rsidTr="00BF3125">
        <w:trPr>
          <w:trHeight w:val="19"/>
          <w:jc w:val="center"/>
        </w:trPr>
        <w:tc>
          <w:tcPr>
            <w:tcW w:w="4067" w:type="dxa"/>
            <w:tcBorders>
              <w:top w:val="nil"/>
              <w:left w:val="nil"/>
              <w:bottom w:val="single" w:sz="4" w:space="0" w:color="auto"/>
              <w:right w:val="nil"/>
            </w:tcBorders>
          </w:tcPr>
          <w:p w14:paraId="67E7D588" w14:textId="77777777"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w:t>
            </w:r>
          </w:p>
        </w:tc>
        <w:tc>
          <w:tcPr>
            <w:tcW w:w="2411" w:type="dxa"/>
            <w:tcBorders>
              <w:top w:val="single" w:sz="4" w:space="0" w:color="auto"/>
              <w:left w:val="nil"/>
              <w:bottom w:val="single" w:sz="4" w:space="0" w:color="auto"/>
              <w:right w:val="nil"/>
            </w:tcBorders>
          </w:tcPr>
          <w:p w14:paraId="43F7B7E5" w14:textId="0B0834AA"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(1)</w:t>
            </w:r>
          </w:p>
        </w:tc>
        <w:tc>
          <w:tcPr>
            <w:tcW w:w="2508" w:type="dxa"/>
            <w:tcBorders>
              <w:top w:val="single" w:sz="4" w:space="0" w:color="auto"/>
              <w:left w:val="nil"/>
              <w:bottom w:val="single" w:sz="4" w:space="0" w:color="auto"/>
              <w:right w:val="nil"/>
            </w:tcBorders>
          </w:tcPr>
          <w:p w14:paraId="11569ED7" w14:textId="27C18D99" w:rsidR="00CE451D" w:rsidRPr="0004264F" w:rsidRDefault="00CE451D" w:rsidP="00CE451D">
            <w:pPr>
              <w:widowControl w:val="0"/>
              <w:autoSpaceDE w:val="0"/>
              <w:autoSpaceDN w:val="0"/>
              <w:adjustRightInd w:val="0"/>
              <w:spacing w:after="0"/>
              <w:jc w:val="center"/>
              <w:rPr>
                <w:rFonts w:cstheme="majorBidi"/>
                <w:sz w:val="18"/>
                <w:szCs w:val="18"/>
              </w:rPr>
            </w:pPr>
            <w:r w:rsidRPr="0004264F">
              <w:rPr>
                <w:rFonts w:cstheme="majorBidi"/>
                <w:sz w:val="18"/>
                <w:szCs w:val="18"/>
              </w:rPr>
              <w:t xml:space="preserve">  (2)</w:t>
            </w:r>
          </w:p>
        </w:tc>
      </w:tr>
      <w:tr w:rsidR="00BF3125" w:rsidRPr="0004264F" w14:paraId="47987364" w14:textId="77777777" w:rsidTr="00BF3125">
        <w:trPr>
          <w:trHeight w:val="223"/>
          <w:jc w:val="center"/>
        </w:trPr>
        <w:tc>
          <w:tcPr>
            <w:tcW w:w="4067" w:type="dxa"/>
            <w:vMerge w:val="restart"/>
            <w:tcBorders>
              <w:top w:val="single" w:sz="4" w:space="0" w:color="auto"/>
              <w:left w:val="nil"/>
              <w:right w:val="nil"/>
            </w:tcBorders>
            <w:vAlign w:val="center"/>
          </w:tcPr>
          <w:p w14:paraId="19011BA7" w14:textId="34574EE6" w:rsidR="00BF3125" w:rsidRPr="0004264F" w:rsidRDefault="00BF3125" w:rsidP="00BF3125">
            <w:pPr>
              <w:widowControl w:val="0"/>
              <w:autoSpaceDE w:val="0"/>
              <w:autoSpaceDN w:val="0"/>
              <w:adjustRightInd w:val="0"/>
              <w:spacing w:after="0"/>
              <w:rPr>
                <w:rFonts w:cstheme="majorBidi"/>
                <w:sz w:val="18"/>
                <w:szCs w:val="18"/>
              </w:rPr>
            </w:pPr>
            <w:r w:rsidRPr="0004264F">
              <w:rPr>
                <w:rFonts w:cstheme="majorBidi"/>
                <w:sz w:val="18"/>
                <w:szCs w:val="18"/>
              </w:rPr>
              <w:t>Deposits per Capita (STD)</w:t>
            </w:r>
          </w:p>
        </w:tc>
        <w:tc>
          <w:tcPr>
            <w:tcW w:w="2411" w:type="dxa"/>
            <w:tcBorders>
              <w:top w:val="single" w:sz="4" w:space="0" w:color="auto"/>
              <w:left w:val="nil"/>
              <w:bottom w:val="nil"/>
              <w:right w:val="nil"/>
            </w:tcBorders>
          </w:tcPr>
          <w:p w14:paraId="5A8EA64A" w14:textId="31D4B3F4"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9.05849</w:t>
            </w:r>
          </w:p>
        </w:tc>
        <w:tc>
          <w:tcPr>
            <w:tcW w:w="2508" w:type="dxa"/>
            <w:tcBorders>
              <w:top w:val="single" w:sz="4" w:space="0" w:color="auto"/>
              <w:left w:val="nil"/>
              <w:bottom w:val="nil"/>
              <w:right w:val="nil"/>
            </w:tcBorders>
          </w:tcPr>
          <w:p w14:paraId="2D8E4FCF" w14:textId="48085575"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1.73333**</w:t>
            </w:r>
          </w:p>
        </w:tc>
      </w:tr>
      <w:tr w:rsidR="00BF3125" w:rsidRPr="0004264F" w14:paraId="15ED78F2" w14:textId="77777777" w:rsidTr="00BF3125">
        <w:trPr>
          <w:trHeight w:val="211"/>
          <w:jc w:val="center"/>
        </w:trPr>
        <w:tc>
          <w:tcPr>
            <w:tcW w:w="4067" w:type="dxa"/>
            <w:vMerge/>
            <w:tcBorders>
              <w:left w:val="nil"/>
              <w:bottom w:val="nil"/>
              <w:right w:val="nil"/>
            </w:tcBorders>
            <w:vAlign w:val="center"/>
          </w:tcPr>
          <w:p w14:paraId="3E8FB033" w14:textId="618F0D78" w:rsidR="00BF3125" w:rsidRPr="0004264F" w:rsidRDefault="00BF3125" w:rsidP="00BF3125">
            <w:pPr>
              <w:widowControl w:val="0"/>
              <w:autoSpaceDE w:val="0"/>
              <w:autoSpaceDN w:val="0"/>
              <w:adjustRightInd w:val="0"/>
              <w:spacing w:after="0"/>
              <w:rPr>
                <w:rFonts w:cstheme="majorBidi"/>
                <w:sz w:val="18"/>
                <w:szCs w:val="18"/>
              </w:rPr>
            </w:pPr>
          </w:p>
        </w:tc>
        <w:tc>
          <w:tcPr>
            <w:tcW w:w="2411" w:type="dxa"/>
            <w:tcBorders>
              <w:top w:val="nil"/>
              <w:left w:val="nil"/>
              <w:bottom w:val="nil"/>
              <w:right w:val="nil"/>
            </w:tcBorders>
          </w:tcPr>
          <w:p w14:paraId="29676B72" w14:textId="02C33DBA"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(10.3922)</w:t>
            </w:r>
          </w:p>
        </w:tc>
        <w:tc>
          <w:tcPr>
            <w:tcW w:w="2508" w:type="dxa"/>
            <w:tcBorders>
              <w:top w:val="nil"/>
              <w:left w:val="nil"/>
              <w:bottom w:val="nil"/>
              <w:right w:val="nil"/>
            </w:tcBorders>
          </w:tcPr>
          <w:p w14:paraId="7F91C2DC" w14:textId="1723C258"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(.72988)</w:t>
            </w:r>
          </w:p>
        </w:tc>
      </w:tr>
      <w:tr w:rsidR="00BF3125" w:rsidRPr="0004264F" w14:paraId="45DE89CF" w14:textId="77777777" w:rsidTr="00BF3125">
        <w:trPr>
          <w:trHeight w:val="223"/>
          <w:jc w:val="center"/>
        </w:trPr>
        <w:tc>
          <w:tcPr>
            <w:tcW w:w="4067" w:type="dxa"/>
            <w:tcBorders>
              <w:top w:val="nil"/>
              <w:left w:val="nil"/>
              <w:bottom w:val="nil"/>
              <w:right w:val="nil"/>
            </w:tcBorders>
            <w:vAlign w:val="center"/>
          </w:tcPr>
          <w:p w14:paraId="52459BAD" w14:textId="4AFE1B32" w:rsidR="00BF3125" w:rsidRPr="0004264F" w:rsidRDefault="00BF3125" w:rsidP="00BF3125">
            <w:pPr>
              <w:widowControl w:val="0"/>
              <w:autoSpaceDE w:val="0"/>
              <w:autoSpaceDN w:val="0"/>
              <w:adjustRightInd w:val="0"/>
              <w:spacing w:after="0"/>
              <w:rPr>
                <w:rFonts w:cstheme="majorBidi"/>
                <w:sz w:val="18"/>
                <w:szCs w:val="18"/>
              </w:rPr>
            </w:pPr>
            <w:r w:rsidRPr="0004264F">
              <w:rPr>
                <w:rFonts w:cstheme="majorBidi"/>
                <w:sz w:val="18"/>
                <w:szCs w:val="18"/>
              </w:rPr>
              <w:t>Observations</w:t>
            </w:r>
          </w:p>
        </w:tc>
        <w:tc>
          <w:tcPr>
            <w:tcW w:w="2411" w:type="dxa"/>
            <w:tcBorders>
              <w:top w:val="nil"/>
              <w:left w:val="nil"/>
              <w:bottom w:val="nil"/>
              <w:right w:val="nil"/>
            </w:tcBorders>
          </w:tcPr>
          <w:p w14:paraId="53722BCA" w14:textId="51E35F2B"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174684</w:t>
            </w:r>
          </w:p>
        </w:tc>
        <w:tc>
          <w:tcPr>
            <w:tcW w:w="2508" w:type="dxa"/>
            <w:tcBorders>
              <w:top w:val="nil"/>
              <w:left w:val="nil"/>
              <w:bottom w:val="nil"/>
              <w:right w:val="nil"/>
            </w:tcBorders>
          </w:tcPr>
          <w:p w14:paraId="5E06CC75" w14:textId="1AC6E41E"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1043160</w:t>
            </w:r>
          </w:p>
        </w:tc>
      </w:tr>
      <w:tr w:rsidR="00BF3125" w:rsidRPr="0004264F" w14:paraId="5CEF93FF" w14:textId="77777777" w:rsidTr="00BF3125">
        <w:trPr>
          <w:trHeight w:val="223"/>
          <w:jc w:val="center"/>
        </w:trPr>
        <w:tc>
          <w:tcPr>
            <w:tcW w:w="4067" w:type="dxa"/>
            <w:tcBorders>
              <w:top w:val="nil"/>
              <w:left w:val="nil"/>
              <w:bottom w:val="nil"/>
              <w:right w:val="nil"/>
            </w:tcBorders>
            <w:vAlign w:val="center"/>
          </w:tcPr>
          <w:p w14:paraId="055993DC" w14:textId="166089A2" w:rsidR="00BF3125" w:rsidRPr="0004264F" w:rsidRDefault="00BF3125" w:rsidP="00BF3125">
            <w:pPr>
              <w:widowControl w:val="0"/>
              <w:autoSpaceDE w:val="0"/>
              <w:autoSpaceDN w:val="0"/>
              <w:adjustRightInd w:val="0"/>
              <w:spacing w:after="0"/>
              <w:rPr>
                <w:rFonts w:cstheme="majorBidi"/>
                <w:sz w:val="18"/>
                <w:szCs w:val="18"/>
              </w:rPr>
            </w:pPr>
            <w:r w:rsidRPr="0004264F">
              <w:rPr>
                <w:rFonts w:cstheme="majorBidi"/>
                <w:sz w:val="18"/>
                <w:szCs w:val="18"/>
              </w:rPr>
              <w:t>R-squared</w:t>
            </w:r>
          </w:p>
        </w:tc>
        <w:tc>
          <w:tcPr>
            <w:tcW w:w="2411" w:type="dxa"/>
            <w:tcBorders>
              <w:top w:val="nil"/>
              <w:left w:val="nil"/>
              <w:bottom w:val="nil"/>
              <w:right w:val="nil"/>
            </w:tcBorders>
          </w:tcPr>
          <w:p w14:paraId="588A013D" w14:textId="5B2A112A"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.12838</w:t>
            </w:r>
          </w:p>
        </w:tc>
        <w:tc>
          <w:tcPr>
            <w:tcW w:w="2508" w:type="dxa"/>
            <w:tcBorders>
              <w:top w:val="nil"/>
              <w:left w:val="nil"/>
              <w:bottom w:val="nil"/>
              <w:right w:val="nil"/>
            </w:tcBorders>
          </w:tcPr>
          <w:p w14:paraId="415E6258" w14:textId="77E14FEC"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.103</w:t>
            </w:r>
          </w:p>
        </w:tc>
      </w:tr>
      <w:tr w:rsidR="00BF3125" w:rsidRPr="0004264F" w14:paraId="3DB59094" w14:textId="77777777" w:rsidTr="00BF3125">
        <w:trPr>
          <w:trHeight w:val="223"/>
          <w:jc w:val="center"/>
        </w:trPr>
        <w:tc>
          <w:tcPr>
            <w:tcW w:w="4067" w:type="dxa"/>
            <w:tcBorders>
              <w:top w:val="nil"/>
              <w:left w:val="nil"/>
              <w:bottom w:val="nil"/>
              <w:right w:val="nil"/>
            </w:tcBorders>
            <w:vAlign w:val="center"/>
          </w:tcPr>
          <w:p w14:paraId="6E0D8928" w14:textId="0543CC48" w:rsidR="00BF3125" w:rsidRPr="0004264F" w:rsidRDefault="00BF3125" w:rsidP="00BF3125">
            <w:pPr>
              <w:widowControl w:val="0"/>
              <w:autoSpaceDE w:val="0"/>
              <w:autoSpaceDN w:val="0"/>
              <w:adjustRightInd w:val="0"/>
              <w:spacing w:after="0"/>
              <w:rPr>
                <w:rFonts w:cstheme="majorBidi"/>
                <w:sz w:val="18"/>
                <w:szCs w:val="18"/>
              </w:rPr>
            </w:pPr>
            <w:r w:rsidRPr="0004264F">
              <w:rPr>
                <w:rFonts w:cstheme="majorBidi"/>
                <w:sz w:val="18"/>
                <w:szCs w:val="18"/>
              </w:rPr>
              <w:t>Mean DV</w:t>
            </w:r>
          </w:p>
        </w:tc>
        <w:tc>
          <w:tcPr>
            <w:tcW w:w="2411" w:type="dxa"/>
            <w:tcBorders>
              <w:top w:val="nil"/>
              <w:left w:val="nil"/>
              <w:bottom w:val="nil"/>
              <w:right w:val="nil"/>
            </w:tcBorders>
          </w:tcPr>
          <w:p w14:paraId="1853B679" w14:textId="19C3FE82"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771.158</w:t>
            </w:r>
          </w:p>
        </w:tc>
        <w:tc>
          <w:tcPr>
            <w:tcW w:w="2508" w:type="dxa"/>
            <w:tcBorders>
              <w:top w:val="nil"/>
              <w:left w:val="nil"/>
              <w:bottom w:val="nil"/>
              <w:right w:val="nil"/>
            </w:tcBorders>
          </w:tcPr>
          <w:p w14:paraId="5E8C0C02" w14:textId="0F0778C0"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772.973</w:t>
            </w:r>
          </w:p>
        </w:tc>
      </w:tr>
      <w:tr w:rsidR="00BF3125" w:rsidRPr="0004264F" w14:paraId="13299015" w14:textId="77777777" w:rsidTr="00BF3125">
        <w:trPr>
          <w:trHeight w:val="211"/>
          <w:jc w:val="center"/>
        </w:trPr>
        <w:tc>
          <w:tcPr>
            <w:tcW w:w="4067" w:type="dxa"/>
            <w:tcBorders>
              <w:top w:val="nil"/>
              <w:left w:val="nil"/>
              <w:right w:val="nil"/>
            </w:tcBorders>
            <w:vAlign w:val="center"/>
          </w:tcPr>
          <w:p w14:paraId="79784E29" w14:textId="54E178B3" w:rsidR="00BF3125" w:rsidRPr="0004264F" w:rsidRDefault="00BF3125" w:rsidP="00BF3125">
            <w:pPr>
              <w:widowControl w:val="0"/>
              <w:autoSpaceDE w:val="0"/>
              <w:autoSpaceDN w:val="0"/>
              <w:adjustRightInd w:val="0"/>
              <w:spacing w:after="0"/>
              <w:rPr>
                <w:rFonts w:cstheme="majorBidi"/>
                <w:sz w:val="18"/>
                <w:szCs w:val="18"/>
              </w:rPr>
            </w:pPr>
            <w:r w:rsidRPr="0004264F">
              <w:rPr>
                <w:rFonts w:cstheme="majorBidi"/>
                <w:sz w:val="18"/>
                <w:szCs w:val="18"/>
              </w:rPr>
              <w:t>%Change</w:t>
            </w:r>
          </w:p>
        </w:tc>
        <w:tc>
          <w:tcPr>
            <w:tcW w:w="2411" w:type="dxa"/>
            <w:tcBorders>
              <w:top w:val="nil"/>
              <w:left w:val="nil"/>
              <w:right w:val="nil"/>
            </w:tcBorders>
          </w:tcPr>
          <w:p w14:paraId="175B7747" w14:textId="2CB02815"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1.175</w:t>
            </w:r>
          </w:p>
        </w:tc>
        <w:tc>
          <w:tcPr>
            <w:tcW w:w="2508" w:type="dxa"/>
            <w:tcBorders>
              <w:top w:val="nil"/>
              <w:left w:val="nil"/>
              <w:right w:val="nil"/>
            </w:tcBorders>
          </w:tcPr>
          <w:p w14:paraId="2AFBA65A" w14:textId="7CFE684B"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20"/>
                <w:szCs w:val="20"/>
              </w:rPr>
              <w:t xml:space="preserve"> 0.224</w:t>
            </w:r>
          </w:p>
        </w:tc>
      </w:tr>
      <w:tr w:rsidR="00BF3125" w:rsidRPr="0004264F" w14:paraId="0FBF3A41" w14:textId="77777777" w:rsidTr="00BF3125">
        <w:trPr>
          <w:trHeight w:val="211"/>
          <w:jc w:val="center"/>
        </w:trPr>
        <w:tc>
          <w:tcPr>
            <w:tcW w:w="4067" w:type="dxa"/>
            <w:tcBorders>
              <w:top w:val="nil"/>
              <w:left w:val="nil"/>
              <w:bottom w:val="single" w:sz="4" w:space="0" w:color="auto"/>
              <w:right w:val="nil"/>
            </w:tcBorders>
            <w:vAlign w:val="center"/>
          </w:tcPr>
          <w:p w14:paraId="25275844" w14:textId="153895DA" w:rsidR="00BF3125" w:rsidRPr="0004264F" w:rsidRDefault="00BF3125" w:rsidP="00BF3125">
            <w:pPr>
              <w:widowControl w:val="0"/>
              <w:autoSpaceDE w:val="0"/>
              <w:autoSpaceDN w:val="0"/>
              <w:adjustRightInd w:val="0"/>
              <w:spacing w:after="0"/>
              <w:rPr>
                <w:rFonts w:cstheme="majorBidi"/>
                <w:sz w:val="18"/>
                <w:szCs w:val="18"/>
              </w:rPr>
            </w:pPr>
            <w:r w:rsidRPr="0004264F">
              <w:rPr>
                <w:rFonts w:cstheme="majorBidi"/>
                <w:sz w:val="18"/>
                <w:szCs w:val="18"/>
              </w:rPr>
              <w:t>No of Counties</w:t>
            </w:r>
          </w:p>
        </w:tc>
        <w:tc>
          <w:tcPr>
            <w:tcW w:w="2411" w:type="dxa"/>
            <w:tcBorders>
              <w:top w:val="nil"/>
              <w:left w:val="nil"/>
              <w:bottom w:val="single" w:sz="4" w:space="0" w:color="auto"/>
              <w:right w:val="nil"/>
            </w:tcBorders>
          </w:tcPr>
          <w:p w14:paraId="7171F6C7" w14:textId="7CE20E81"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18"/>
                <w:szCs w:val="18"/>
              </w:rPr>
              <w:t>776</w:t>
            </w:r>
          </w:p>
        </w:tc>
        <w:tc>
          <w:tcPr>
            <w:tcW w:w="2508" w:type="dxa"/>
            <w:tcBorders>
              <w:top w:val="nil"/>
              <w:left w:val="nil"/>
              <w:bottom w:val="single" w:sz="4" w:space="0" w:color="auto"/>
              <w:right w:val="nil"/>
            </w:tcBorders>
          </w:tcPr>
          <w:p w14:paraId="3C151479" w14:textId="27B9EA94" w:rsidR="00BF3125" w:rsidRPr="0004264F" w:rsidRDefault="00BF3125" w:rsidP="00BF3125">
            <w:pPr>
              <w:widowControl w:val="0"/>
              <w:autoSpaceDE w:val="0"/>
              <w:autoSpaceDN w:val="0"/>
              <w:adjustRightInd w:val="0"/>
              <w:spacing w:after="0"/>
              <w:jc w:val="center"/>
              <w:rPr>
                <w:rFonts w:cstheme="majorBidi"/>
                <w:sz w:val="18"/>
                <w:szCs w:val="18"/>
              </w:rPr>
            </w:pPr>
            <w:r w:rsidRPr="0004264F">
              <w:rPr>
                <w:rFonts w:cstheme="majorBidi"/>
                <w:sz w:val="18"/>
                <w:szCs w:val="18"/>
              </w:rPr>
              <w:t>2278</w:t>
            </w:r>
          </w:p>
        </w:tc>
      </w:tr>
      <w:tr w:rsidR="00A57EB6" w:rsidRPr="0004264F" w14:paraId="44088B13" w14:textId="77777777" w:rsidTr="00BF3125">
        <w:trPr>
          <w:trHeight w:val="223"/>
          <w:jc w:val="center"/>
        </w:trPr>
        <w:tc>
          <w:tcPr>
            <w:tcW w:w="4067" w:type="dxa"/>
            <w:tcBorders>
              <w:top w:val="single" w:sz="4" w:space="0" w:color="auto"/>
              <w:left w:val="nil"/>
              <w:bottom w:val="nil"/>
              <w:right w:val="nil"/>
            </w:tcBorders>
          </w:tcPr>
          <w:p w14:paraId="503FC526" w14:textId="68E05F77"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County FE</w:t>
            </w:r>
          </w:p>
        </w:tc>
        <w:tc>
          <w:tcPr>
            <w:tcW w:w="2411" w:type="dxa"/>
            <w:tcBorders>
              <w:top w:val="single" w:sz="4" w:space="0" w:color="auto"/>
              <w:left w:val="nil"/>
              <w:bottom w:val="nil"/>
              <w:right w:val="nil"/>
            </w:tcBorders>
          </w:tcPr>
          <w:p w14:paraId="397B2EB4" w14:textId="46F40E11"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2508" w:type="dxa"/>
            <w:tcBorders>
              <w:top w:val="single" w:sz="4" w:space="0" w:color="auto"/>
              <w:left w:val="nil"/>
              <w:bottom w:val="nil"/>
              <w:right w:val="nil"/>
            </w:tcBorders>
          </w:tcPr>
          <w:p w14:paraId="45BB7872" w14:textId="1BCC6FBB"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A57EB6" w:rsidRPr="0004264F" w14:paraId="0C60C996" w14:textId="77777777" w:rsidTr="00BF3125">
        <w:trPr>
          <w:trHeight w:val="141"/>
          <w:jc w:val="center"/>
        </w:trPr>
        <w:tc>
          <w:tcPr>
            <w:tcW w:w="4067" w:type="dxa"/>
            <w:tcBorders>
              <w:top w:val="nil"/>
              <w:left w:val="nil"/>
              <w:bottom w:val="nil"/>
              <w:right w:val="nil"/>
            </w:tcBorders>
          </w:tcPr>
          <w:p w14:paraId="16CC33B1" w14:textId="0CE70C56"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SEA-by-Birth-Year FE</w:t>
            </w:r>
          </w:p>
        </w:tc>
        <w:tc>
          <w:tcPr>
            <w:tcW w:w="2411" w:type="dxa"/>
            <w:tcBorders>
              <w:top w:val="nil"/>
              <w:left w:val="nil"/>
              <w:bottom w:val="nil"/>
              <w:right w:val="nil"/>
            </w:tcBorders>
          </w:tcPr>
          <w:p w14:paraId="32E7D455" w14:textId="16D109F3"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2508" w:type="dxa"/>
            <w:tcBorders>
              <w:top w:val="nil"/>
              <w:left w:val="nil"/>
              <w:bottom w:val="nil"/>
              <w:right w:val="nil"/>
            </w:tcBorders>
          </w:tcPr>
          <w:p w14:paraId="02C9A237" w14:textId="6C77666C"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A57EB6" w:rsidRPr="0004264F" w14:paraId="594B6F1C" w14:textId="77777777" w:rsidTr="00BF3125">
        <w:trPr>
          <w:trHeight w:val="211"/>
          <w:jc w:val="center"/>
        </w:trPr>
        <w:tc>
          <w:tcPr>
            <w:tcW w:w="4067" w:type="dxa"/>
            <w:tcBorders>
              <w:top w:val="nil"/>
              <w:left w:val="nil"/>
              <w:bottom w:val="nil"/>
              <w:right w:val="nil"/>
            </w:tcBorders>
            <w:vAlign w:val="center"/>
          </w:tcPr>
          <w:p w14:paraId="78223C68" w14:textId="64095C5D"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Individual Controls</w:t>
            </w:r>
          </w:p>
        </w:tc>
        <w:tc>
          <w:tcPr>
            <w:tcW w:w="2411" w:type="dxa"/>
            <w:tcBorders>
              <w:top w:val="nil"/>
              <w:left w:val="nil"/>
              <w:bottom w:val="nil"/>
              <w:right w:val="nil"/>
            </w:tcBorders>
          </w:tcPr>
          <w:p w14:paraId="54746C77" w14:textId="3BA13173"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2508" w:type="dxa"/>
            <w:tcBorders>
              <w:top w:val="nil"/>
              <w:left w:val="nil"/>
              <w:bottom w:val="nil"/>
              <w:right w:val="nil"/>
            </w:tcBorders>
          </w:tcPr>
          <w:p w14:paraId="1171E42E" w14:textId="31F2D821"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A57EB6" w:rsidRPr="0004264F" w14:paraId="7FEFC146" w14:textId="77777777" w:rsidTr="00BF3125">
        <w:trPr>
          <w:trHeight w:val="223"/>
          <w:jc w:val="center"/>
        </w:trPr>
        <w:tc>
          <w:tcPr>
            <w:tcW w:w="4067" w:type="dxa"/>
            <w:tcBorders>
              <w:top w:val="nil"/>
              <w:left w:val="nil"/>
              <w:bottom w:val="nil"/>
              <w:right w:val="nil"/>
            </w:tcBorders>
            <w:vAlign w:val="center"/>
          </w:tcPr>
          <w:p w14:paraId="3DF25A11" w14:textId="56293BEB"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Family Controls</w:t>
            </w:r>
          </w:p>
        </w:tc>
        <w:tc>
          <w:tcPr>
            <w:tcW w:w="2411" w:type="dxa"/>
            <w:tcBorders>
              <w:top w:val="nil"/>
              <w:left w:val="nil"/>
              <w:bottom w:val="nil"/>
              <w:right w:val="nil"/>
            </w:tcBorders>
          </w:tcPr>
          <w:p w14:paraId="1576104D" w14:textId="4C5A2B2D"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2508" w:type="dxa"/>
            <w:tcBorders>
              <w:top w:val="nil"/>
              <w:left w:val="nil"/>
              <w:bottom w:val="nil"/>
              <w:right w:val="nil"/>
            </w:tcBorders>
          </w:tcPr>
          <w:p w14:paraId="6D5C1071" w14:textId="3A37383D"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A57EB6" w:rsidRPr="0004264F" w14:paraId="51785B06" w14:textId="77777777" w:rsidTr="00BF3125">
        <w:trPr>
          <w:trHeight w:val="223"/>
          <w:jc w:val="center"/>
        </w:trPr>
        <w:tc>
          <w:tcPr>
            <w:tcW w:w="4067" w:type="dxa"/>
            <w:tcBorders>
              <w:top w:val="nil"/>
              <w:left w:val="nil"/>
              <w:bottom w:val="nil"/>
              <w:right w:val="nil"/>
            </w:tcBorders>
            <w:vAlign w:val="center"/>
          </w:tcPr>
          <w:p w14:paraId="2BD68EF2" w14:textId="06EC98F1"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County Controls</w:t>
            </w:r>
          </w:p>
        </w:tc>
        <w:tc>
          <w:tcPr>
            <w:tcW w:w="2411" w:type="dxa"/>
            <w:tcBorders>
              <w:top w:val="nil"/>
              <w:left w:val="nil"/>
              <w:bottom w:val="nil"/>
              <w:right w:val="nil"/>
            </w:tcBorders>
          </w:tcPr>
          <w:p w14:paraId="61369EC5" w14:textId="73753C4C"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c>
          <w:tcPr>
            <w:tcW w:w="2508" w:type="dxa"/>
            <w:tcBorders>
              <w:top w:val="nil"/>
              <w:left w:val="nil"/>
              <w:bottom w:val="nil"/>
              <w:right w:val="nil"/>
            </w:tcBorders>
          </w:tcPr>
          <w:p w14:paraId="0775E900" w14:textId="73971C07" w:rsidR="00A57EB6" w:rsidRPr="0004264F" w:rsidRDefault="00A57EB6" w:rsidP="00A57EB6">
            <w:pPr>
              <w:widowControl w:val="0"/>
              <w:autoSpaceDE w:val="0"/>
              <w:autoSpaceDN w:val="0"/>
              <w:adjustRightInd w:val="0"/>
              <w:spacing w:after="0"/>
              <w:jc w:val="center"/>
              <w:rPr>
                <w:rFonts w:cstheme="majorBidi"/>
                <w:sz w:val="18"/>
                <w:szCs w:val="18"/>
              </w:rPr>
            </w:pPr>
            <w:r w:rsidRPr="0004264F">
              <w:rPr>
                <w:rFonts w:cstheme="majorBidi"/>
                <w:sz w:val="18"/>
                <w:szCs w:val="18"/>
              </w:rPr>
              <w:sym w:font="Wingdings" w:char="F0FC"/>
            </w:r>
          </w:p>
        </w:tc>
      </w:tr>
      <w:tr w:rsidR="00BF3125" w:rsidRPr="0004264F" w14:paraId="761FF549" w14:textId="77777777" w:rsidTr="00CE451D">
        <w:trPr>
          <w:trHeight w:val="459"/>
          <w:jc w:val="center"/>
        </w:trPr>
        <w:tc>
          <w:tcPr>
            <w:tcW w:w="8986" w:type="dxa"/>
            <w:gridSpan w:val="3"/>
            <w:tcBorders>
              <w:top w:val="single" w:sz="6" w:space="0" w:color="auto"/>
              <w:left w:val="nil"/>
              <w:right w:val="nil"/>
            </w:tcBorders>
          </w:tcPr>
          <w:p w14:paraId="44AF9784" w14:textId="6648AB15" w:rsidR="00BF3125" w:rsidRPr="0004264F" w:rsidRDefault="00BF3125" w:rsidP="00BF3125">
            <w:pPr>
              <w:widowControl w:val="0"/>
              <w:autoSpaceDE w:val="0"/>
              <w:autoSpaceDN w:val="0"/>
              <w:adjustRightInd w:val="0"/>
              <w:spacing w:after="0"/>
              <w:jc w:val="both"/>
              <w:rPr>
                <w:rFonts w:cstheme="majorBidi"/>
                <w:sz w:val="18"/>
                <w:szCs w:val="18"/>
              </w:rPr>
            </w:pPr>
            <w:r w:rsidRPr="0004264F">
              <w:rPr>
                <w:rFonts w:cstheme="majorBidi"/>
                <w:sz w:val="18"/>
                <w:szCs w:val="18"/>
              </w:rPr>
              <w:t>Notes. Standard errors, clustered at the county-level, are in parentheses. Individual controls include race and gender dummies. Parental controls include father’s socioeconomic status dummies and mother’s education dummies. County-by-birth-year covariates include share of white-collar workers, share of blue-collar workers, share of farmers, and share of literate people. The regressions are weighted using county-level mean of population over the sample period.</w:t>
            </w:r>
          </w:p>
          <w:p w14:paraId="1F546CC3" w14:textId="77777777" w:rsidR="00BF3125" w:rsidRPr="0004264F" w:rsidRDefault="00BF3125" w:rsidP="00BF3125">
            <w:pPr>
              <w:widowControl w:val="0"/>
              <w:autoSpaceDE w:val="0"/>
              <w:autoSpaceDN w:val="0"/>
              <w:adjustRightInd w:val="0"/>
              <w:spacing w:after="0"/>
              <w:jc w:val="both"/>
              <w:rPr>
                <w:rFonts w:cstheme="majorBidi"/>
                <w:sz w:val="18"/>
                <w:szCs w:val="18"/>
              </w:rPr>
            </w:pPr>
            <w:r w:rsidRPr="0004264F">
              <w:rPr>
                <w:rFonts w:cstheme="majorBidi"/>
                <w:sz w:val="18"/>
                <w:szCs w:val="18"/>
              </w:rPr>
              <w:t>*** p&lt;0.01, ** p&lt;0.05, * p&lt;0.1</w:t>
            </w:r>
          </w:p>
          <w:p w14:paraId="3C8930BF" w14:textId="36570D8C" w:rsidR="00BF3125" w:rsidRPr="0004264F" w:rsidRDefault="00BF3125" w:rsidP="00BF3125">
            <w:pPr>
              <w:widowControl w:val="0"/>
              <w:autoSpaceDE w:val="0"/>
              <w:autoSpaceDN w:val="0"/>
              <w:adjustRightInd w:val="0"/>
              <w:spacing w:after="0"/>
              <w:rPr>
                <w:rFonts w:cstheme="majorBidi"/>
                <w:i/>
                <w:iCs/>
                <w:sz w:val="18"/>
                <w:szCs w:val="18"/>
              </w:rPr>
            </w:pPr>
          </w:p>
        </w:tc>
      </w:tr>
      <w:tr w:rsidR="00BF3125" w:rsidRPr="0004264F" w14:paraId="34E5E959" w14:textId="77777777" w:rsidTr="00CE451D">
        <w:trPr>
          <w:trHeight w:val="223"/>
          <w:jc w:val="center"/>
        </w:trPr>
        <w:tc>
          <w:tcPr>
            <w:tcW w:w="8986" w:type="dxa"/>
            <w:gridSpan w:val="3"/>
            <w:tcBorders>
              <w:top w:val="nil"/>
              <w:left w:val="nil"/>
              <w:bottom w:val="nil"/>
              <w:right w:val="nil"/>
            </w:tcBorders>
          </w:tcPr>
          <w:p w14:paraId="18D16A40" w14:textId="77777777" w:rsidR="00BF3125" w:rsidRPr="0004264F" w:rsidRDefault="00BF3125" w:rsidP="00BF3125">
            <w:pPr>
              <w:widowControl w:val="0"/>
              <w:autoSpaceDE w:val="0"/>
              <w:autoSpaceDN w:val="0"/>
              <w:adjustRightInd w:val="0"/>
              <w:spacing w:after="0"/>
              <w:rPr>
                <w:rFonts w:cstheme="majorBidi"/>
                <w:sz w:val="18"/>
                <w:szCs w:val="18"/>
              </w:rPr>
            </w:pPr>
          </w:p>
        </w:tc>
      </w:tr>
    </w:tbl>
    <w:p w14:paraId="25A61ED1" w14:textId="737132AB" w:rsidR="00E5692A" w:rsidRPr="0004264F" w:rsidRDefault="00E5692A" w:rsidP="00F32C69">
      <w:pPr>
        <w:rPr>
          <w:rFonts w:cstheme="majorBidi"/>
          <w:b/>
          <w:bCs/>
          <w:sz w:val="20"/>
          <w:szCs w:val="20"/>
        </w:rPr>
      </w:pPr>
    </w:p>
    <w:p w14:paraId="58B1ACA7" w14:textId="16C3CBA7" w:rsidR="00E5692A" w:rsidRPr="0004264F" w:rsidRDefault="00E5692A" w:rsidP="00F32C69">
      <w:pPr>
        <w:rPr>
          <w:rFonts w:cstheme="majorBidi"/>
          <w:b/>
          <w:bCs/>
          <w:sz w:val="20"/>
          <w:szCs w:val="20"/>
        </w:rPr>
      </w:pPr>
    </w:p>
    <w:p w14:paraId="7068897A" w14:textId="6AA75389" w:rsidR="00E5692A" w:rsidRPr="0004264F" w:rsidRDefault="00E5692A" w:rsidP="00F32C69">
      <w:pPr>
        <w:rPr>
          <w:rFonts w:cstheme="majorBidi"/>
          <w:b/>
          <w:bCs/>
          <w:sz w:val="20"/>
          <w:szCs w:val="20"/>
        </w:rPr>
      </w:pPr>
    </w:p>
    <w:p w14:paraId="303C9247" w14:textId="7853DEDA" w:rsidR="00E5692A" w:rsidRPr="0004264F" w:rsidRDefault="00E5692A" w:rsidP="00F32C69">
      <w:pPr>
        <w:rPr>
          <w:rFonts w:cstheme="majorBidi"/>
          <w:b/>
          <w:bCs/>
          <w:sz w:val="20"/>
          <w:szCs w:val="20"/>
        </w:rPr>
      </w:pPr>
    </w:p>
    <w:p w14:paraId="44994CD4" w14:textId="670FA0EC" w:rsidR="00E5692A" w:rsidRPr="0004264F" w:rsidRDefault="00E5692A" w:rsidP="00F32C69">
      <w:pPr>
        <w:rPr>
          <w:rFonts w:cstheme="majorBidi"/>
          <w:b/>
          <w:bCs/>
          <w:sz w:val="20"/>
          <w:szCs w:val="20"/>
        </w:rPr>
      </w:pPr>
    </w:p>
    <w:p w14:paraId="5D9D5D7E" w14:textId="463B4F91" w:rsidR="00E5692A" w:rsidRPr="0004264F" w:rsidRDefault="00E5692A" w:rsidP="00F32C69">
      <w:pPr>
        <w:rPr>
          <w:rFonts w:cstheme="majorBidi"/>
          <w:b/>
          <w:bCs/>
          <w:sz w:val="20"/>
          <w:szCs w:val="20"/>
        </w:rPr>
      </w:pPr>
    </w:p>
    <w:p w14:paraId="6C685167" w14:textId="1E152E23" w:rsidR="00E5692A" w:rsidRPr="0004264F" w:rsidRDefault="00E5692A" w:rsidP="00F32C69">
      <w:pPr>
        <w:rPr>
          <w:rFonts w:cstheme="majorBidi"/>
          <w:b/>
          <w:bCs/>
          <w:sz w:val="20"/>
          <w:szCs w:val="20"/>
        </w:rPr>
      </w:pPr>
    </w:p>
    <w:p w14:paraId="2D97C8DC" w14:textId="735341E1" w:rsidR="00E5692A" w:rsidRPr="0004264F" w:rsidRDefault="00E5692A" w:rsidP="00F32C69">
      <w:pPr>
        <w:rPr>
          <w:rFonts w:cstheme="majorBidi"/>
          <w:b/>
          <w:bCs/>
          <w:sz w:val="20"/>
          <w:szCs w:val="20"/>
        </w:rPr>
      </w:pPr>
    </w:p>
    <w:p w14:paraId="5C1349DA" w14:textId="1385DA52" w:rsidR="00E5692A" w:rsidRPr="0004264F" w:rsidRDefault="00E5692A" w:rsidP="00F32C69">
      <w:pPr>
        <w:rPr>
          <w:rFonts w:cstheme="majorBidi"/>
          <w:b/>
          <w:bCs/>
          <w:sz w:val="20"/>
          <w:szCs w:val="20"/>
        </w:rPr>
      </w:pPr>
    </w:p>
    <w:p w14:paraId="11154A8B" w14:textId="10CA2B65" w:rsidR="00E5692A" w:rsidRPr="0004264F" w:rsidRDefault="00E5692A" w:rsidP="00F32C69">
      <w:pPr>
        <w:rPr>
          <w:rFonts w:cstheme="majorBidi"/>
          <w:b/>
          <w:bCs/>
          <w:sz w:val="20"/>
          <w:szCs w:val="20"/>
        </w:rPr>
      </w:pPr>
    </w:p>
    <w:p w14:paraId="36EF82E1" w14:textId="3DFE7FA5" w:rsidR="00E5692A" w:rsidRPr="0004264F" w:rsidRDefault="00E5692A" w:rsidP="00F32C69">
      <w:pPr>
        <w:rPr>
          <w:rFonts w:cstheme="majorBidi"/>
          <w:b/>
          <w:bCs/>
          <w:sz w:val="20"/>
          <w:szCs w:val="20"/>
        </w:rPr>
      </w:pPr>
    </w:p>
    <w:p w14:paraId="4F9F6FA6" w14:textId="77777777" w:rsidR="00E5692A" w:rsidRPr="0004264F" w:rsidRDefault="00E5692A" w:rsidP="00F32C69">
      <w:pPr>
        <w:rPr>
          <w:rFonts w:cstheme="majorBidi"/>
          <w:b/>
          <w:bCs/>
          <w:sz w:val="20"/>
          <w:szCs w:val="20"/>
        </w:rPr>
        <w:sectPr w:rsidR="00E5692A" w:rsidRPr="0004264F" w:rsidSect="00847BB4">
          <w:pgSz w:w="12240" w:h="15840" w:code="1"/>
          <w:pgMar w:top="1440" w:right="1440" w:bottom="1440" w:left="1440" w:header="720" w:footer="720" w:gutter="0"/>
          <w:cols w:space="720"/>
          <w:docGrid w:linePitch="360"/>
        </w:sectPr>
      </w:pPr>
    </w:p>
    <w:p w14:paraId="1B7B8998" w14:textId="4DBEFD42" w:rsidR="006B79A4" w:rsidRPr="0004264F" w:rsidRDefault="006B79A4" w:rsidP="006B79A4">
      <w:pPr>
        <w:pStyle w:val="Heading3"/>
        <w:bidi w:val="0"/>
      </w:pPr>
      <w:bookmarkStart w:id="30" w:name="_Ref111408841"/>
    </w:p>
    <w:bookmarkEnd w:id="30"/>
    <w:p w14:paraId="33069C40" w14:textId="51AF95B6" w:rsidR="006B79A4" w:rsidRPr="0004264F" w:rsidRDefault="00C55659" w:rsidP="0089408A">
      <w:pPr>
        <w:spacing w:before="100" w:after="100" w:line="480" w:lineRule="auto"/>
        <w:ind w:firstLine="720"/>
        <w:jc w:val="both"/>
        <w:rPr>
          <w:rFonts w:cstheme="majorBidi"/>
          <w:szCs w:val="24"/>
        </w:rPr>
      </w:pPr>
      <w:r w:rsidRPr="0004264F">
        <w:rPr>
          <w:rFonts w:cstheme="majorBidi"/>
          <w:szCs w:val="24"/>
        </w:rPr>
        <w:t xml:space="preserve">In section </w:t>
      </w:r>
      <w:r w:rsidRPr="0004264F">
        <w:rPr>
          <w:rFonts w:cstheme="majorBidi"/>
          <w:szCs w:val="24"/>
        </w:rPr>
        <w:fldChar w:fldCharType="begin"/>
      </w:r>
      <w:r w:rsidRPr="0004264F">
        <w:rPr>
          <w:rFonts w:cstheme="majorBidi"/>
          <w:szCs w:val="24"/>
        </w:rPr>
        <w:instrText xml:space="preserve"> REF _Ref98081130 \n \h </w:instrText>
      </w:r>
      <w:r w:rsidR="00510BC3" w:rsidRPr="0004264F">
        <w:rPr>
          <w:rFonts w:cstheme="majorBidi"/>
          <w:szCs w:val="24"/>
        </w:rPr>
        <w:instrText xml:space="preserve"> \* MERGEFORMAT </w:instrText>
      </w:r>
      <w:r w:rsidRPr="0004264F">
        <w:rPr>
          <w:rFonts w:cstheme="majorBidi"/>
          <w:szCs w:val="24"/>
        </w:rPr>
      </w:r>
      <w:r w:rsidRPr="0004264F">
        <w:rPr>
          <w:rFonts w:cstheme="majorBidi"/>
          <w:szCs w:val="24"/>
        </w:rPr>
        <w:fldChar w:fldCharType="separate"/>
      </w:r>
      <w:r w:rsidR="00CA5B9D" w:rsidRPr="0004264F">
        <w:rPr>
          <w:rFonts w:cstheme="majorBidi"/>
          <w:szCs w:val="24"/>
        </w:rPr>
        <w:t>6</w:t>
      </w:r>
      <w:r w:rsidRPr="0004264F">
        <w:rPr>
          <w:rFonts w:cstheme="majorBidi"/>
          <w:szCs w:val="24"/>
        </w:rPr>
        <w:fldChar w:fldCharType="end"/>
      </w:r>
      <w:r w:rsidRPr="0004264F">
        <w:rPr>
          <w:rFonts w:cstheme="majorBidi"/>
          <w:szCs w:val="24"/>
        </w:rPr>
        <w:t>, we discussed potential fertility response</w:t>
      </w:r>
      <w:r w:rsidR="00060936" w:rsidRPr="0004264F">
        <w:rPr>
          <w:rFonts w:cstheme="majorBidi"/>
          <w:szCs w:val="24"/>
        </w:rPr>
        <w:t>s</w:t>
      </w:r>
      <w:r w:rsidRPr="0004264F">
        <w:rPr>
          <w:rFonts w:cstheme="majorBidi"/>
          <w:szCs w:val="24"/>
        </w:rPr>
        <w:t xml:space="preserve"> to local economic conditions. We found evidence of procyclicality in </w:t>
      </w:r>
      <w:r w:rsidR="00060936" w:rsidRPr="0004264F">
        <w:rPr>
          <w:rFonts w:cstheme="majorBidi"/>
          <w:szCs w:val="24"/>
        </w:rPr>
        <w:t xml:space="preserve">the </w:t>
      </w:r>
      <w:r w:rsidRPr="0004264F">
        <w:rPr>
          <w:rFonts w:cstheme="majorBidi"/>
          <w:szCs w:val="24"/>
        </w:rPr>
        <w:t xml:space="preserve">fertility behavior of parents but did not find </w:t>
      </w:r>
      <w:r w:rsidR="00C0347C" w:rsidRPr="0004264F">
        <w:rPr>
          <w:rFonts w:cstheme="majorBidi"/>
          <w:szCs w:val="24"/>
        </w:rPr>
        <w:t>evidence</w:t>
      </w:r>
      <w:r w:rsidRPr="0004264F">
        <w:rPr>
          <w:rFonts w:cstheme="majorBidi"/>
          <w:szCs w:val="24"/>
        </w:rPr>
        <w:t xml:space="preserve"> for changes in the composition of births </w:t>
      </w:r>
      <w:r w:rsidR="00C0347C" w:rsidRPr="0004264F">
        <w:rPr>
          <w:rFonts w:cstheme="majorBidi"/>
          <w:szCs w:val="24"/>
        </w:rPr>
        <w:t xml:space="preserve">based on race. One source of changes in the composition of births is selection by fetal deaths. Several studies </w:t>
      </w:r>
      <w:r w:rsidR="0089408A" w:rsidRPr="0004264F">
        <w:rPr>
          <w:rFonts w:cstheme="majorBidi"/>
          <w:szCs w:val="24"/>
        </w:rPr>
        <w:t xml:space="preserve">suggest that conditions prior to and during pregnancy affect fetal death and that the incidence of fetal death is disproportionately higher among male fetuses </w:t>
      </w:r>
      <w:r w:rsidR="0089408A" w:rsidRPr="0004264F">
        <w:rPr>
          <w:rFonts w:cstheme="majorBidi"/>
          <w:szCs w:val="24"/>
        </w:rPr>
        <w:fldChar w:fldCharType="begin" w:fldLock="1"/>
      </w:r>
      <w:r w:rsidR="0089408A" w:rsidRPr="0004264F">
        <w:rPr>
          <w:rFonts w:cstheme="majorBidi"/>
          <w:szCs w:val="24"/>
        </w:rPr>
        <w:instrText>ADDIN CSL_CITATION {"citationItems":[{"id":"ITEM-1","itemData":{"DOI":"10.1016/j.jhealeco.2017.08.006","ISSN":"18791646","PMID":"28968529","abstract":"We study the effects of in utero exposure to terrorism in Spain on birth outcomes, focusing on terrorism perpetrated by ETA during the period 1980–2003. We find that in utero exposure to terrorism early in pregnancy, as measured by the number of bomb casualties in the mother's province of residence in the first trimester of pregnancy, has detrimental effects on birth outcomes: in terms of average birth weight (lower), prevalence of low birth weight (higher) and fraction of “normal” babies (lower). While our findings are robust to a host of potential threats to validity, they seem to be driven by exposure to a relatively large number of bomb casualties. Focusing on the deadliest ETA terrorist attack, the Hipercor bombing of 1987 in Barcelona, we find substantial effects on birth outcomes. We then attempt to assess the mechanisms at stake by presenting evidence suggesting that exposure to bomb casualties decreases self-reported health and increases smoking among women, but not among men. While exposure to terrorism during conception does not affect total fertility, there seems to be a compositional change: during bombing periods, those women who conceive are more likely to be married, and married women tend to have better birth outcomes, on average. In addition, we find that exposure to bomb casualties increases fetal deaths. Thus, we interpret our estimated negative effects on health at birth as providing lower bounds to the true effects of in utero exposure to terrorism.","author":[{"dropping-particle":"","family":"Quintana-Domeque","given":"Climent","non-dropping-particle":"","parse-names":false,"suffix":""},{"dropping-particle":"","family":"Ródenas-Serrano","given":"Pedro","non-dropping-particle":"","parse-names":false,"suffix":""}],"container-title":"Journal of Health Economics","id":"ITEM-1","issued":{"date-parts":[["2017","12"]]},"page":"47-60","publisher":"Elsevier B.V.","title":"The hidden costs of terrorism: The effects on health at birth","type":"article-journal","volume":"56"},"uris":["http://www.mendeley.com/documents/?uuid=512a44e2-25a1-3b50-a3ea-e93fa15a484e"]},{"id":"ITEM-2","itemData":{"DOI":"10.1016/J.JHEALECO.2014.12.005","ISSN":"0167-6296","PMID":"25655338","abstract":"Fetal health is an important consideration in policy formation. Unfortunately, a complete census of fetal deaths, an important measure of overall fetal health, is infeasible, and available data are selectively observed. We consider this issue in the context of the Clean Air Act Amendments of 1970 (CAAA), one of the largest and most influential environmental regulations in the history of the United States. We discuss a model of potential bias in measuring observed fetal deaths, and present the sex ratio of live births as an alternative fetal health endpoint, taking advantage of the finding that males are more vulnerable to side effects of maternal stress in utero. We find the CAAA caused substantial improvements in fetal health, in addition to previously identified reductions in post-natal mortality.","author":[{"dropping-particle":"","family":"Sanders","given":"Nicholas J.","non-dropping-particle":"","parse-names":false,"suffix":""},{"dropping-particle":"","family":"Stoecker","given":"Charles","non-dropping-particle":"","parse-names":false,"suffix":""}],"container-title":"Journal of Health Economics","id":"ITEM-2","issued":{"date-parts":[["2015","5","1"]]},"page":"30-45","publisher":"North-Holland","title":"Where have all the young men gone? Using sex ratios to measure fetal death rates","type":"article-journal","volume":"41"},"uris":["http://www.mendeley.com/documents/?uuid=5c3a708b-cc74-3d57-af72-131369a57235"]}],"mendeley":{"formattedCitation":"(Quintana-Domeque &amp; Ródenas-Serrano, 2017; Sanders &amp; Stoecker, 2015)","plainTextFormattedCitation":"(Quintana-Domeque &amp; Ródenas-Serrano, 2017; Sanders &amp; Stoecker, 2015)","previouslyFormattedCitation":"(Quintana-Domeque &amp; Ródenas-Serrano, 2017; Sanders &amp; Stoecker, 2015)"},"properties":{"noteIndex":0},"schema":"https://github.com/citation-style-language/schema/raw/master/csl-citation.json"}</w:instrText>
      </w:r>
      <w:r w:rsidR="0089408A" w:rsidRPr="0004264F">
        <w:rPr>
          <w:rFonts w:cstheme="majorBidi"/>
          <w:szCs w:val="24"/>
        </w:rPr>
        <w:fldChar w:fldCharType="separate"/>
      </w:r>
      <w:r w:rsidR="0089408A" w:rsidRPr="0004264F">
        <w:rPr>
          <w:rFonts w:cstheme="majorBidi"/>
          <w:noProof/>
          <w:szCs w:val="24"/>
        </w:rPr>
        <w:t>(Quintana-Domeque &amp; Ródenas-Serrano, 2017; Sanders &amp; Stoecker, 2015)</w:t>
      </w:r>
      <w:r w:rsidR="0089408A" w:rsidRPr="0004264F">
        <w:rPr>
          <w:rFonts w:cstheme="majorBidi"/>
          <w:szCs w:val="24"/>
        </w:rPr>
        <w:fldChar w:fldCharType="end"/>
      </w:r>
      <w:r w:rsidR="0089408A" w:rsidRPr="0004264F">
        <w:rPr>
          <w:rFonts w:cstheme="majorBidi"/>
          <w:szCs w:val="24"/>
        </w:rPr>
        <w:t xml:space="preserve">. Therefore, fetal death and sex ratio at birth are strongly connected </w:t>
      </w:r>
      <w:r w:rsidR="0089408A" w:rsidRPr="0004264F">
        <w:rPr>
          <w:rFonts w:cstheme="majorBidi"/>
          <w:szCs w:val="24"/>
        </w:rPr>
        <w:fldChar w:fldCharType="begin" w:fldLock="1"/>
      </w:r>
      <w:r w:rsidR="003D1FA4" w:rsidRPr="0004264F">
        <w:rPr>
          <w:rFonts w:cstheme="majorBidi"/>
          <w:szCs w:val="24"/>
        </w:rPr>
        <w:instrText>ADDIN CSL_CITATION {"citationItems":[{"id":"ITEM-1","itemData":{"DOI":"10.1080/00324728.2021.1877793","ISSN":"14774747","PMID":"33599566","abstract":"A wealth of demographic research has explored the determinants of sex ratios at birth, but few studies have considered the role of foetal loss (spontaneous abortion), in producing feminine sex rati...","author":[{"dropping-particle":"","family":"Morse","given":"Anne","non-dropping-particle":"","parse-names":false,"suffix":""},{"dropping-particle":"","family":"Luke","given":"Nancy","non-dropping-particle":"","parse-names":false,"suffix":""}],"container-title":"Population Studies","id":"ITEM-1","issue":"2","issued":{"date-parts":[["2021"]]},"page":"239-254","publisher":"Routledge","title":"Foetal loss and feminine sex ratios at birth in sub-Saharan Africa","type":"article-journal","volume":"75"},"uris":["http://www.mendeley.com/documents/?uuid=0f550d1c-14c6-3726-8dd0-a0d945385d5f"]},{"id":"ITEM-2","itemData":{"DOI":"10.1016/J.EARLHUMDEV.2017.03.002","ISSN":"0378-3782","PMID":"28347592","abstract":"The human sex ratio (proportion male) at birth (SRB) varies with many variables. Some of this variation has an established proximate cause. For instance, low SRB (more females) at birth are associated with various forms of stressful events or circumstances during or prior to pregnancy. These low SRB are almost certainly mainly caused by maternal-stress-induced male foetal loss. Other types of SRB variation are thought to be caused by hormonal variation in either or both parents around the time of conception. One or other of these two types of proximate cause seems to be responsible for most of the established variation of SRB. This will be illustrated here in respect of some selected forms of SRB variation. It seems likely that a clarification of the hormonal causes of SRB variation will also help explain the striking (apparent) inconsistencies in the results of reported tests of the influential Trivers-Willard hypothesis. It is further proposed that an appreciation of the evidence that parental hormones influence SRB may enhance understanding of several important pathologies (hepatitis B, toxoplasmosis, testicular cancer, prostate cancer and autism).","author":[{"dropping-particle":"","family":"James","given":"William H.","non-dropping-particle":"","parse-names":false,"suffix":""},{"dropping-particle":"","family":"Grech","given":"Victor","non-dropping-particle":"","parse-names":false,"suffix":""}],"container-title":"Early Human Development","id":"ITEM-2","issued":{"date-parts":[["2017","6","1"]]},"page":"50-56","publisher":"Elsevier","title":"A review of the established and suspected causes of variations in human sex ratio at birth","type":"article-journal","volume":"109"},"uris":["http://www.mendeley.com/documents/?uuid=167a2d85-4482-3d7c-ae1f-9e7d6371f40f"]},{"id":"ITEM-3","itemData":{"DOI":"10.1093/IJE/DYI081","ISSN":"0300-5771","PMID":"15833788","abstract":"Background: The ratio of male to female live births (i.e. the sex ratio) reportedly falls when populations suffer rare and extreme ambient stressors such as the collapse of national economies. This association has been attributed to the death of male fetuses and to reduced conception of males. We assess the validity of the first of these mechanisms by testing the hypothesis that the fetal death sex ratio varies positively over time with the unemployment rate. Using the unemployment rate also allows us to determine if ambient economic stressors less extreme than collapsing national economies affect the fetal death sex ratio. Methods: We test our hypotheses by applying time-series methods to monthly counts of fetal deaths and the unemployment rate from the state of California beginning January 1989 and ending December 2001. The methods control for trends, seasonal cycles, and other forms of autocorrelation that could induce spurious associations. Results: Results support the fetal death mechanism in that male fetal deaths increased above the values expected from female deaths and from history in months in which the unemployment rate also increased over its expected value. Conclusions: Our findings suggest that ambient stressors as common as increasing unemployment elevate the risk of fetal death among males. We discuss the social, economic, and health costs borne by parents and communities afflicted with these fetal deaths. © The Author 2005; all rights reserved.","author":[{"dropping-particle":"","family":"Catalano","given":"Ralph","non-dropping-particle":"","parse-names":false,"suffix":""},{"dropping-particle":"","family":"Bruckner","given":"Tim","non-dropping-particle":"","parse-names":false,"suffix":""},{"dropping-particle":"","family":"Anderson","given":"Elizabeth","non-dropping-particle":"","parse-names":false,"suffix":""},{"dropping-particle":"","family":"Gould","given":"Jeffrey B.","non-dropping-particle":"","parse-names":false,"suffix":""}],"container-title":"International Journal of Epidemiology","id":"ITEM-3","issue":"4","issued":{"date-parts":[["2005","8","1"]]},"page":"944-948","publisher":"Oxford Academic","title":"Fetal death sex ratios: a test of the economic stress hypothesis","type":"article-journal","volume":"34"},"uris":["http://www.mendeley.com/documents/?uuid=2e694445-a2f6-3ba5-a6b7-1589986a0514"]},{"id":"ITEM-4","itemData":{"author":[{"dropping-particle":"","family":"Bruckner","given":"Tim","non-dropping-particle":"","parse-names":false,"suffix":""},{"dropping-particle":"","family":"Catalano","given":"Ralph","non-dropping-particle":"","parse-names":false,"suffix":""}],"container-title":"American Journal of Human Biology: The Official Journal of the Human Biology Association","id":"ITEM-4","issue":"6","issued":{"date-parts":[["2007"]]},"page":"763-773","publisher":"Wiley Online Library","title":"The sex ratio and age-specific male mortality: evidence for culling in utero","type":"article-journal","volume":"19"},"uris":["http://www.mendeley.com/documents/?uuid=e84e1e37-b3d3-3d6c-aa38-50e5d22322b5"]}],"mendeley":{"formattedCitation":"(Bruckner &amp; Catalano, 2007; Catalano et al., 2005; James &amp; Grech, 2017; Morse &amp; Luke, 2021)","plainTextFormattedCitation":"(Bruckner &amp; Catalano, 2007; Catalano et al., 2005; James &amp; Grech, 2017; Morse &amp; Luke, 2021)","previouslyFormattedCitation":"(Bruckner &amp; Catalano, 2007; Catalano et al., 2005; James &amp; Grech, 2017; Morse &amp; Luke, 2021)"},"properties":{"noteIndex":0},"schema":"https://github.com/citation-style-language/schema/raw/master/csl-citation.json"}</w:instrText>
      </w:r>
      <w:r w:rsidR="0089408A" w:rsidRPr="0004264F">
        <w:rPr>
          <w:rFonts w:cstheme="majorBidi"/>
          <w:szCs w:val="24"/>
        </w:rPr>
        <w:fldChar w:fldCharType="separate"/>
      </w:r>
      <w:r w:rsidR="0089408A" w:rsidRPr="0004264F">
        <w:rPr>
          <w:rFonts w:cstheme="majorBidi"/>
          <w:noProof/>
          <w:szCs w:val="24"/>
        </w:rPr>
        <w:t>(Bruckner &amp; Catalano, 2007; Catalano et al., 2005; James &amp; Grech, 2017; Morse &amp; Luke, 2021)</w:t>
      </w:r>
      <w:r w:rsidR="0089408A" w:rsidRPr="0004264F">
        <w:rPr>
          <w:rFonts w:cstheme="majorBidi"/>
          <w:szCs w:val="24"/>
        </w:rPr>
        <w:fldChar w:fldCharType="end"/>
      </w:r>
      <w:r w:rsidR="0089408A" w:rsidRPr="0004264F">
        <w:rPr>
          <w:rFonts w:cstheme="majorBidi"/>
          <w:szCs w:val="24"/>
        </w:rPr>
        <w:t xml:space="preserve">. We can also assess </w:t>
      </w:r>
      <w:r w:rsidR="00060936" w:rsidRPr="0004264F">
        <w:rPr>
          <w:rFonts w:cstheme="majorBidi"/>
          <w:szCs w:val="24"/>
        </w:rPr>
        <w:t xml:space="preserve">the </w:t>
      </w:r>
      <w:r w:rsidR="0089408A" w:rsidRPr="0004264F">
        <w:rPr>
          <w:rFonts w:cstheme="majorBidi"/>
          <w:szCs w:val="24"/>
        </w:rPr>
        <w:t xml:space="preserve">selective survival of fetuses during pregnancy by evaluating </w:t>
      </w:r>
      <w:r w:rsidR="00060936" w:rsidRPr="0004264F">
        <w:rPr>
          <w:rFonts w:cstheme="majorBidi"/>
          <w:szCs w:val="24"/>
        </w:rPr>
        <w:t xml:space="preserve">the </w:t>
      </w:r>
      <w:r w:rsidR="0089408A" w:rsidRPr="0004264F">
        <w:rPr>
          <w:rFonts w:cstheme="majorBidi"/>
          <w:szCs w:val="24"/>
        </w:rPr>
        <w:t>sex ratio at birth. However, the natality data over the period of the study</w:t>
      </w:r>
      <w:r w:rsidR="00C0347C" w:rsidRPr="0004264F">
        <w:rPr>
          <w:rFonts w:cstheme="majorBidi"/>
          <w:szCs w:val="24"/>
        </w:rPr>
        <w:t xml:space="preserve"> is limited to race (white and black) disaggregation and does not provide more information on </w:t>
      </w:r>
      <w:r w:rsidR="0089408A" w:rsidRPr="0004264F">
        <w:rPr>
          <w:rFonts w:cstheme="majorBidi"/>
          <w:szCs w:val="24"/>
        </w:rPr>
        <w:t xml:space="preserve">the share of females in births at the county level. </w:t>
      </w:r>
      <w:r w:rsidR="002C5F51" w:rsidRPr="0004264F">
        <w:rPr>
          <w:rFonts w:cstheme="majorBidi"/>
          <w:szCs w:val="24"/>
        </w:rPr>
        <w:t>To overcome this limitation and assess this source of selection, we turn to the 1940 full-count Census. We limit the data to cohorts born between 192</w:t>
      </w:r>
      <w:r w:rsidR="00390457" w:rsidRPr="0004264F">
        <w:rPr>
          <w:rFonts w:cstheme="majorBidi"/>
          <w:szCs w:val="24"/>
        </w:rPr>
        <w:t>6</w:t>
      </w:r>
      <w:r w:rsidR="002C5F51" w:rsidRPr="0004264F">
        <w:rPr>
          <w:rFonts w:cstheme="majorBidi"/>
          <w:szCs w:val="24"/>
        </w:rPr>
        <w:t xml:space="preserve">-1936 to have the same cohorts as the final sample of the paper. We use the same procedure as described in section </w:t>
      </w:r>
      <w:r w:rsidR="002C5F51" w:rsidRPr="0004264F">
        <w:rPr>
          <w:rFonts w:cstheme="majorBidi"/>
          <w:szCs w:val="24"/>
        </w:rPr>
        <w:fldChar w:fldCharType="begin"/>
      </w:r>
      <w:r w:rsidR="002C5F51" w:rsidRPr="0004264F">
        <w:rPr>
          <w:rFonts w:cstheme="majorBidi"/>
          <w:szCs w:val="24"/>
        </w:rPr>
        <w:instrText xml:space="preserve"> REF _Ref97828632 \n \h </w:instrText>
      </w:r>
      <w:r w:rsidR="00510BC3" w:rsidRPr="0004264F">
        <w:rPr>
          <w:rFonts w:cstheme="majorBidi"/>
          <w:szCs w:val="24"/>
        </w:rPr>
        <w:instrText xml:space="preserve"> \* MERGEFORMAT </w:instrText>
      </w:r>
      <w:r w:rsidR="002C5F51" w:rsidRPr="0004264F">
        <w:rPr>
          <w:rFonts w:cstheme="majorBidi"/>
          <w:szCs w:val="24"/>
        </w:rPr>
      </w:r>
      <w:r w:rsidR="002C5F51" w:rsidRPr="0004264F">
        <w:rPr>
          <w:rFonts w:cstheme="majorBidi"/>
          <w:szCs w:val="24"/>
        </w:rPr>
        <w:fldChar w:fldCharType="separate"/>
      </w:r>
      <w:r w:rsidR="00CA5B9D" w:rsidRPr="0004264F">
        <w:rPr>
          <w:rFonts w:cstheme="majorBidi"/>
          <w:szCs w:val="24"/>
        </w:rPr>
        <w:t>3</w:t>
      </w:r>
      <w:r w:rsidR="002C5F51" w:rsidRPr="0004264F">
        <w:rPr>
          <w:rFonts w:cstheme="majorBidi"/>
          <w:szCs w:val="24"/>
        </w:rPr>
        <w:fldChar w:fldCharType="end"/>
      </w:r>
      <w:r w:rsidR="002C5F51" w:rsidRPr="0004264F">
        <w:rPr>
          <w:rFonts w:cstheme="majorBidi"/>
          <w:szCs w:val="24"/>
        </w:rPr>
        <w:t xml:space="preserve"> to infer the county of birth. We use </w:t>
      </w:r>
      <w:r w:rsidR="00060936" w:rsidRPr="0004264F">
        <w:rPr>
          <w:rFonts w:cstheme="majorBidi"/>
          <w:szCs w:val="24"/>
        </w:rPr>
        <w:t xml:space="preserve">the </w:t>
      </w:r>
      <w:r w:rsidR="002C5F51" w:rsidRPr="0004264F">
        <w:rPr>
          <w:rFonts w:cstheme="majorBidi"/>
          <w:szCs w:val="24"/>
        </w:rPr>
        <w:t xml:space="preserve">information on gender to define a dummy indicating female. We then collapse the data at the county-year-of-birth level. The idea is that, conditional on survival up to 1940, the observed sex ratios in </w:t>
      </w:r>
      <w:r w:rsidR="00060936" w:rsidRPr="0004264F">
        <w:rPr>
          <w:rFonts w:cstheme="majorBidi"/>
          <w:szCs w:val="24"/>
        </w:rPr>
        <w:t xml:space="preserve">the </w:t>
      </w:r>
      <w:r w:rsidR="002C5F51" w:rsidRPr="0004264F">
        <w:rPr>
          <w:rFonts w:cstheme="majorBidi"/>
          <w:szCs w:val="24"/>
        </w:rPr>
        <w:t xml:space="preserve">1940 Census could be used as a proxy for sex ratio at birth. We then </w:t>
      </w:r>
      <w:r w:rsidR="002561ED" w:rsidRPr="0004264F">
        <w:rPr>
          <w:rFonts w:cstheme="majorBidi"/>
          <w:szCs w:val="24"/>
        </w:rPr>
        <w:t xml:space="preserve">merge this data with bank deposit data at the county-year level and </w:t>
      </w:r>
      <w:r w:rsidR="002C5F51" w:rsidRPr="0004264F">
        <w:rPr>
          <w:rFonts w:cstheme="majorBidi"/>
          <w:szCs w:val="24"/>
        </w:rPr>
        <w:t xml:space="preserve">implement regressions </w:t>
      </w:r>
      <w:proofErr w:type="gramStart"/>
      <w:r w:rsidR="002C5F51" w:rsidRPr="0004264F">
        <w:rPr>
          <w:rFonts w:cstheme="majorBidi"/>
          <w:szCs w:val="24"/>
        </w:rPr>
        <w:t>similar to</w:t>
      </w:r>
      <w:proofErr w:type="gramEnd"/>
      <w:r w:rsidR="002C5F51" w:rsidRPr="0004264F">
        <w:rPr>
          <w:rFonts w:cstheme="majorBidi"/>
          <w:szCs w:val="24"/>
        </w:rPr>
        <w:t xml:space="preserve"> equation </w:t>
      </w:r>
      <w:r w:rsidR="002C5F51" w:rsidRPr="0004264F">
        <w:rPr>
          <w:rFonts w:cstheme="majorBidi"/>
          <w:szCs w:val="24"/>
        </w:rPr>
        <w:fldChar w:fldCharType="begin"/>
      </w:r>
      <w:r w:rsidR="002C5F51" w:rsidRPr="0004264F">
        <w:rPr>
          <w:rFonts w:cstheme="majorBidi"/>
          <w:szCs w:val="24"/>
        </w:rPr>
        <w:instrText xml:space="preserve"> REF eq1 \h </w:instrText>
      </w:r>
      <w:r w:rsidR="00510BC3" w:rsidRPr="0004264F">
        <w:rPr>
          <w:rFonts w:cstheme="majorBidi"/>
          <w:szCs w:val="24"/>
        </w:rPr>
        <w:instrText xml:space="preserve"> \* MERGEFORMAT </w:instrText>
      </w:r>
      <w:r w:rsidR="002C5F51" w:rsidRPr="0004264F">
        <w:rPr>
          <w:rFonts w:cstheme="majorBidi"/>
          <w:szCs w:val="24"/>
        </w:rPr>
      </w:r>
      <w:r w:rsidR="002C5F51" w:rsidRPr="0004264F">
        <w:rPr>
          <w:rFonts w:cstheme="majorBidi"/>
          <w:szCs w:val="24"/>
        </w:rPr>
        <w:fldChar w:fldCharType="separate"/>
      </w:r>
      <w:r w:rsidR="00390457" w:rsidRPr="0004264F">
        <w:rPr>
          <w:rFonts w:cstheme="majorBidi"/>
          <w:szCs w:val="24"/>
        </w:rPr>
        <w:t>1</w:t>
      </w:r>
      <w:r w:rsidR="002C5F51" w:rsidRPr="0004264F">
        <w:rPr>
          <w:rFonts w:cstheme="majorBidi"/>
          <w:szCs w:val="24"/>
        </w:rPr>
        <w:fldChar w:fldCharType="end"/>
      </w:r>
      <w:r w:rsidR="002561ED" w:rsidRPr="0004264F">
        <w:rPr>
          <w:rFonts w:cstheme="majorBidi"/>
          <w:szCs w:val="24"/>
        </w:rPr>
        <w:t xml:space="preserve">. The results are reported in </w:t>
      </w:r>
      <w:r w:rsidR="002561ED" w:rsidRPr="0004264F">
        <w:rPr>
          <w:rFonts w:cstheme="majorBidi"/>
          <w:szCs w:val="24"/>
        </w:rPr>
        <w:fldChar w:fldCharType="begin"/>
      </w:r>
      <w:r w:rsidR="002561ED" w:rsidRPr="0004264F">
        <w:rPr>
          <w:rFonts w:cstheme="majorBidi"/>
          <w:szCs w:val="24"/>
        </w:rPr>
        <w:instrText xml:space="preserve"> REF _Ref111407148 \h </w:instrText>
      </w:r>
      <w:r w:rsidR="00510BC3" w:rsidRPr="0004264F">
        <w:rPr>
          <w:rFonts w:cstheme="majorBidi"/>
          <w:szCs w:val="24"/>
        </w:rPr>
        <w:instrText xml:space="preserve"> \* MERGEFORMAT </w:instrText>
      </w:r>
      <w:r w:rsidR="002561ED" w:rsidRPr="0004264F">
        <w:rPr>
          <w:rFonts w:cstheme="majorBidi"/>
          <w:szCs w:val="24"/>
        </w:rPr>
      </w:r>
      <w:r w:rsidR="002561ED" w:rsidRPr="0004264F">
        <w:rPr>
          <w:rFonts w:cstheme="majorBidi"/>
          <w:szCs w:val="24"/>
        </w:rPr>
        <w:fldChar w:fldCharType="separate"/>
      </w:r>
      <w:r w:rsidR="00390457" w:rsidRPr="0004264F">
        <w:rPr>
          <w:rFonts w:cstheme="majorBidi"/>
        </w:rPr>
        <w:t xml:space="preserve">Appendix Table </w:t>
      </w:r>
      <w:r w:rsidR="00390457" w:rsidRPr="0004264F">
        <w:rPr>
          <w:rFonts w:cstheme="majorBidi"/>
          <w:noProof/>
        </w:rPr>
        <w:t>D</w:t>
      </w:r>
      <w:r w:rsidR="00390457" w:rsidRPr="0004264F">
        <w:rPr>
          <w:rFonts w:cstheme="majorBidi"/>
          <w:noProof/>
        </w:rPr>
        <w:noBreakHyphen/>
        <w:t>1</w:t>
      </w:r>
      <w:r w:rsidR="002561ED" w:rsidRPr="0004264F">
        <w:rPr>
          <w:rFonts w:cstheme="majorBidi"/>
          <w:szCs w:val="24"/>
        </w:rPr>
        <w:fldChar w:fldCharType="end"/>
      </w:r>
      <w:r w:rsidR="002561ED" w:rsidRPr="0004264F">
        <w:rPr>
          <w:rFonts w:cstheme="majorBidi"/>
          <w:szCs w:val="24"/>
        </w:rPr>
        <w:t xml:space="preserve"> across columns for different specifications. We observe statistically </w:t>
      </w:r>
      <w:r w:rsidR="00060936" w:rsidRPr="0004264F">
        <w:rPr>
          <w:rFonts w:cstheme="majorBidi"/>
          <w:szCs w:val="24"/>
        </w:rPr>
        <w:t xml:space="preserve">insignificant </w:t>
      </w:r>
      <w:r w:rsidR="002561ED" w:rsidRPr="0004264F">
        <w:rPr>
          <w:rFonts w:cstheme="majorBidi"/>
          <w:szCs w:val="24"/>
        </w:rPr>
        <w:t xml:space="preserve">effects that are very small in magnitude. In the fully parametrized model of column 3 that includes controls for </w:t>
      </w:r>
      <w:r w:rsidR="00060936" w:rsidRPr="0004264F">
        <w:rPr>
          <w:rFonts w:cstheme="majorBidi"/>
          <w:szCs w:val="24"/>
        </w:rPr>
        <w:t xml:space="preserve">the </w:t>
      </w:r>
      <w:r w:rsidR="002561ED" w:rsidRPr="0004264F">
        <w:rPr>
          <w:rFonts w:cstheme="majorBidi"/>
          <w:szCs w:val="24"/>
        </w:rPr>
        <w:t xml:space="preserve">county-year share of different races, county fixed effects, and </w:t>
      </w:r>
      <w:r w:rsidR="00BC307E" w:rsidRPr="0004264F">
        <w:rPr>
          <w:rFonts w:cstheme="majorBidi"/>
          <w:szCs w:val="24"/>
        </w:rPr>
        <w:t>SEA</w:t>
      </w:r>
      <w:r w:rsidR="002561ED" w:rsidRPr="0004264F">
        <w:rPr>
          <w:rFonts w:cstheme="majorBidi"/>
          <w:szCs w:val="24"/>
        </w:rPr>
        <w:t>-year fixed effects, a one-standard</w:t>
      </w:r>
      <w:r w:rsidR="00060936" w:rsidRPr="0004264F">
        <w:rPr>
          <w:rFonts w:cstheme="majorBidi"/>
          <w:szCs w:val="24"/>
        </w:rPr>
        <w:t>-</w:t>
      </w:r>
      <w:r w:rsidR="002561ED" w:rsidRPr="0004264F">
        <w:rPr>
          <w:rFonts w:cstheme="majorBidi"/>
          <w:szCs w:val="24"/>
        </w:rPr>
        <w:t xml:space="preserve">deviation rise in deposits is associated with </w:t>
      </w:r>
      <w:r w:rsidR="00060936" w:rsidRPr="0004264F">
        <w:rPr>
          <w:rFonts w:cstheme="majorBidi"/>
          <w:szCs w:val="24"/>
        </w:rPr>
        <w:t xml:space="preserve">a </w:t>
      </w:r>
      <w:r w:rsidR="002561ED" w:rsidRPr="0004264F">
        <w:rPr>
          <w:rFonts w:cstheme="majorBidi"/>
          <w:szCs w:val="24"/>
        </w:rPr>
        <w:t>0.</w:t>
      </w:r>
      <w:r w:rsidR="007F518A" w:rsidRPr="0004264F">
        <w:rPr>
          <w:rFonts w:cstheme="majorBidi"/>
          <w:szCs w:val="24"/>
        </w:rPr>
        <w:t>6</w:t>
      </w:r>
      <w:r w:rsidR="002561ED" w:rsidRPr="0004264F">
        <w:rPr>
          <w:rFonts w:cstheme="majorBidi"/>
          <w:szCs w:val="24"/>
        </w:rPr>
        <w:t xml:space="preserve"> basis-</w:t>
      </w:r>
      <w:r w:rsidR="002561ED" w:rsidRPr="0004264F">
        <w:rPr>
          <w:rFonts w:cstheme="majorBidi"/>
          <w:szCs w:val="24"/>
        </w:rPr>
        <w:lastRenderedPageBreak/>
        <w:t>points rise in sex ratio at birth (share of females to males), equivalent to 0.01</w:t>
      </w:r>
      <w:r w:rsidR="007F518A" w:rsidRPr="0004264F">
        <w:rPr>
          <w:rFonts w:cstheme="majorBidi"/>
          <w:szCs w:val="24"/>
        </w:rPr>
        <w:t>2</w:t>
      </w:r>
      <w:r w:rsidR="002561ED" w:rsidRPr="0004264F">
        <w:rPr>
          <w:rFonts w:cstheme="majorBidi"/>
          <w:szCs w:val="24"/>
        </w:rPr>
        <w:t xml:space="preserve"> percent change with respect to the mean of the outcome.</w:t>
      </w:r>
    </w:p>
    <w:p w14:paraId="4FF6DA72" w14:textId="6F2AFA64" w:rsidR="008C536F" w:rsidRPr="0004264F" w:rsidRDefault="008C536F" w:rsidP="0089408A">
      <w:pPr>
        <w:spacing w:before="100" w:after="100" w:line="480" w:lineRule="auto"/>
        <w:ind w:firstLine="720"/>
        <w:jc w:val="both"/>
        <w:rPr>
          <w:rFonts w:cstheme="majorBidi"/>
          <w:szCs w:val="24"/>
        </w:rPr>
      </w:pPr>
      <w:r w:rsidRPr="0004264F">
        <w:rPr>
          <w:rFonts w:cstheme="majorBidi"/>
          <w:szCs w:val="24"/>
        </w:rPr>
        <w:t xml:space="preserve">Another interesting fertility selection is differential births response to economic conditions by maternal education. Since the natality data used in section </w:t>
      </w:r>
      <w:r w:rsidRPr="0004264F">
        <w:rPr>
          <w:rFonts w:cstheme="majorBidi"/>
          <w:szCs w:val="24"/>
        </w:rPr>
        <w:fldChar w:fldCharType="begin"/>
      </w:r>
      <w:r w:rsidRPr="0004264F">
        <w:rPr>
          <w:rFonts w:cstheme="majorBidi"/>
          <w:szCs w:val="24"/>
        </w:rPr>
        <w:instrText xml:space="preserve"> REF _Ref98081130 \n \h </w:instrText>
      </w:r>
      <w:r w:rsidR="00510BC3" w:rsidRPr="0004264F">
        <w:rPr>
          <w:rFonts w:cstheme="majorBidi"/>
          <w:szCs w:val="24"/>
        </w:rPr>
        <w:instrText xml:space="preserve"> \* MERGEFORMAT </w:instrText>
      </w:r>
      <w:r w:rsidRPr="0004264F">
        <w:rPr>
          <w:rFonts w:cstheme="majorBidi"/>
          <w:szCs w:val="24"/>
        </w:rPr>
      </w:r>
      <w:r w:rsidRPr="0004264F">
        <w:rPr>
          <w:rFonts w:cstheme="majorBidi"/>
          <w:szCs w:val="24"/>
        </w:rPr>
        <w:fldChar w:fldCharType="separate"/>
      </w:r>
      <w:r w:rsidR="00CA5B9D" w:rsidRPr="0004264F">
        <w:rPr>
          <w:rFonts w:cstheme="majorBidi"/>
          <w:szCs w:val="24"/>
        </w:rPr>
        <w:t>6</w:t>
      </w:r>
      <w:r w:rsidRPr="0004264F">
        <w:rPr>
          <w:rFonts w:cstheme="majorBidi"/>
          <w:szCs w:val="24"/>
        </w:rPr>
        <w:fldChar w:fldCharType="end"/>
      </w:r>
      <w:r w:rsidRPr="0004264F">
        <w:rPr>
          <w:rFonts w:cstheme="majorBidi"/>
          <w:szCs w:val="24"/>
        </w:rPr>
        <w:t xml:space="preserve"> lacks information on maternal education, we use the full-count 1940 Census, focus on </w:t>
      </w:r>
      <w:r w:rsidR="00060936" w:rsidRPr="0004264F">
        <w:rPr>
          <w:rFonts w:cstheme="majorBidi"/>
          <w:szCs w:val="24"/>
        </w:rPr>
        <w:t xml:space="preserve">the </w:t>
      </w:r>
      <w:r w:rsidRPr="0004264F">
        <w:rPr>
          <w:rFonts w:cstheme="majorBidi"/>
          <w:szCs w:val="24"/>
        </w:rPr>
        <w:t>192</w:t>
      </w:r>
      <w:r w:rsidR="007F518A" w:rsidRPr="0004264F">
        <w:rPr>
          <w:rFonts w:cstheme="majorBidi"/>
          <w:szCs w:val="24"/>
        </w:rPr>
        <w:t>6</w:t>
      </w:r>
      <w:r w:rsidRPr="0004264F">
        <w:rPr>
          <w:rFonts w:cstheme="majorBidi"/>
          <w:szCs w:val="24"/>
        </w:rPr>
        <w:t xml:space="preserve">-1936 cohorts, and infer the county of birth as described in section </w:t>
      </w:r>
      <w:r w:rsidRPr="0004264F">
        <w:rPr>
          <w:rFonts w:cstheme="majorBidi"/>
          <w:szCs w:val="24"/>
        </w:rPr>
        <w:fldChar w:fldCharType="begin"/>
      </w:r>
      <w:r w:rsidRPr="0004264F">
        <w:rPr>
          <w:rFonts w:cstheme="majorBidi"/>
          <w:szCs w:val="24"/>
        </w:rPr>
        <w:instrText xml:space="preserve"> REF _Ref97828632 \n \h </w:instrText>
      </w:r>
      <w:r w:rsidR="00510BC3" w:rsidRPr="0004264F">
        <w:rPr>
          <w:rFonts w:cstheme="majorBidi"/>
          <w:szCs w:val="24"/>
        </w:rPr>
        <w:instrText xml:space="preserve"> \* MERGEFORMAT </w:instrText>
      </w:r>
      <w:r w:rsidRPr="0004264F">
        <w:rPr>
          <w:rFonts w:cstheme="majorBidi"/>
          <w:szCs w:val="24"/>
        </w:rPr>
      </w:r>
      <w:r w:rsidRPr="0004264F">
        <w:rPr>
          <w:rFonts w:cstheme="majorBidi"/>
          <w:szCs w:val="24"/>
        </w:rPr>
        <w:fldChar w:fldCharType="separate"/>
      </w:r>
      <w:r w:rsidR="00CA5B9D" w:rsidRPr="0004264F">
        <w:rPr>
          <w:rFonts w:cstheme="majorBidi"/>
          <w:szCs w:val="24"/>
        </w:rPr>
        <w:t>3</w:t>
      </w:r>
      <w:r w:rsidRPr="0004264F">
        <w:rPr>
          <w:rFonts w:cstheme="majorBidi"/>
          <w:szCs w:val="24"/>
        </w:rPr>
        <w:fldChar w:fldCharType="end"/>
      </w:r>
      <w:r w:rsidRPr="0004264F">
        <w:rPr>
          <w:rFonts w:cstheme="majorBidi"/>
          <w:szCs w:val="24"/>
        </w:rPr>
        <w:t xml:space="preserve">. We then collapse the sample at the county-year-of-birth level and merge </w:t>
      </w:r>
      <w:r w:rsidR="00060936" w:rsidRPr="0004264F">
        <w:rPr>
          <w:rFonts w:cstheme="majorBidi"/>
          <w:szCs w:val="24"/>
        </w:rPr>
        <w:t xml:space="preserve">it </w:t>
      </w:r>
      <w:r w:rsidRPr="0004264F">
        <w:rPr>
          <w:rFonts w:cstheme="majorBidi"/>
          <w:szCs w:val="24"/>
        </w:rPr>
        <w:t xml:space="preserve">with county-level deposit data. </w:t>
      </w:r>
      <w:r w:rsidR="000D5FA1" w:rsidRPr="0004264F">
        <w:rPr>
          <w:rFonts w:cstheme="majorBidi"/>
          <w:szCs w:val="24"/>
        </w:rPr>
        <w:t>We assume that, conditional on survival into 1940, the full-count Census reveals the universe of births and can be used to examine the selective fertility response to deposits by maternal education. In so doing, w</w:t>
      </w:r>
      <w:r w:rsidRPr="0004264F">
        <w:rPr>
          <w:rFonts w:cstheme="majorBidi"/>
          <w:szCs w:val="24"/>
        </w:rPr>
        <w:t xml:space="preserve">e regress measures of </w:t>
      </w:r>
      <w:r w:rsidR="000D5FA1" w:rsidRPr="0004264F">
        <w:rPr>
          <w:rFonts w:cstheme="majorBidi"/>
          <w:szCs w:val="24"/>
        </w:rPr>
        <w:t xml:space="preserve">maternal education from the collapsed Census data on per capita deposits, conditional on county and </w:t>
      </w:r>
      <w:r w:rsidR="00AE23FF" w:rsidRPr="0004264F">
        <w:rPr>
          <w:rFonts w:cstheme="majorBidi"/>
          <w:szCs w:val="24"/>
        </w:rPr>
        <w:t>SEA</w:t>
      </w:r>
      <w:r w:rsidR="000D5FA1" w:rsidRPr="0004264F">
        <w:rPr>
          <w:rFonts w:cstheme="majorBidi"/>
          <w:szCs w:val="24"/>
        </w:rPr>
        <w:t xml:space="preserve">-year fixed effects. The results are reported in </w:t>
      </w:r>
      <w:r w:rsidR="000D5FA1" w:rsidRPr="0004264F">
        <w:rPr>
          <w:rFonts w:cstheme="majorBidi"/>
          <w:szCs w:val="24"/>
        </w:rPr>
        <w:fldChar w:fldCharType="begin"/>
      </w:r>
      <w:r w:rsidR="000D5FA1" w:rsidRPr="0004264F">
        <w:rPr>
          <w:rFonts w:cstheme="majorBidi"/>
          <w:szCs w:val="24"/>
        </w:rPr>
        <w:instrText xml:space="preserve"> REF _Ref111407951 \h </w:instrText>
      </w:r>
      <w:r w:rsidR="00510BC3" w:rsidRPr="0004264F">
        <w:rPr>
          <w:rFonts w:cstheme="majorBidi"/>
          <w:szCs w:val="24"/>
        </w:rPr>
        <w:instrText xml:space="preserve"> \* MERGEFORMAT </w:instrText>
      </w:r>
      <w:r w:rsidR="000D5FA1" w:rsidRPr="0004264F">
        <w:rPr>
          <w:rFonts w:cstheme="majorBidi"/>
          <w:szCs w:val="24"/>
        </w:rPr>
      </w:r>
      <w:r w:rsidR="000D5FA1" w:rsidRPr="0004264F">
        <w:rPr>
          <w:rFonts w:cstheme="majorBidi"/>
          <w:szCs w:val="24"/>
        </w:rPr>
        <w:fldChar w:fldCharType="separate"/>
      </w:r>
      <w:r w:rsidR="00CA5B9D" w:rsidRPr="0004264F">
        <w:rPr>
          <w:rFonts w:cstheme="majorBidi"/>
        </w:rPr>
        <w:t xml:space="preserve">Appendix Table </w:t>
      </w:r>
      <w:r w:rsidR="00CA5B9D" w:rsidRPr="0004264F">
        <w:rPr>
          <w:rFonts w:cstheme="majorBidi"/>
          <w:noProof/>
        </w:rPr>
        <w:t>D</w:t>
      </w:r>
      <w:r w:rsidR="00CA5B9D" w:rsidRPr="0004264F">
        <w:rPr>
          <w:rFonts w:cstheme="majorBidi"/>
        </w:rPr>
        <w:noBreakHyphen/>
      </w:r>
      <w:r w:rsidR="00CA5B9D" w:rsidRPr="0004264F">
        <w:rPr>
          <w:rFonts w:cstheme="majorBidi"/>
          <w:noProof/>
        </w:rPr>
        <w:t>2</w:t>
      </w:r>
      <w:r w:rsidR="000D5FA1" w:rsidRPr="0004264F">
        <w:rPr>
          <w:rFonts w:cstheme="majorBidi"/>
          <w:szCs w:val="24"/>
        </w:rPr>
        <w:fldChar w:fldCharType="end"/>
      </w:r>
      <w:r w:rsidR="008E115A" w:rsidRPr="0004264F">
        <w:rPr>
          <w:rFonts w:cstheme="majorBidi"/>
          <w:szCs w:val="24"/>
        </w:rPr>
        <w:t xml:space="preserve"> for a continuous measure of </w:t>
      </w:r>
      <w:r w:rsidR="00082F74" w:rsidRPr="0004264F">
        <w:rPr>
          <w:rFonts w:cstheme="majorBidi"/>
          <w:szCs w:val="24"/>
        </w:rPr>
        <w:t xml:space="preserve">the </w:t>
      </w:r>
      <w:r w:rsidR="008E115A" w:rsidRPr="0004264F">
        <w:rPr>
          <w:rFonts w:cstheme="majorBidi"/>
          <w:szCs w:val="24"/>
        </w:rPr>
        <w:t>mother</w:t>
      </w:r>
      <w:r w:rsidR="00082F74" w:rsidRPr="0004264F">
        <w:rPr>
          <w:rFonts w:cstheme="majorBidi"/>
          <w:szCs w:val="24"/>
        </w:rPr>
        <w:t>’</w:t>
      </w:r>
      <w:r w:rsidR="008E115A" w:rsidRPr="0004264F">
        <w:rPr>
          <w:rFonts w:cstheme="majorBidi"/>
          <w:szCs w:val="24"/>
        </w:rPr>
        <w:t xml:space="preserve">s schooling (column 1) and three binary measures of </w:t>
      </w:r>
      <w:r w:rsidR="00082F74" w:rsidRPr="0004264F">
        <w:rPr>
          <w:rFonts w:cstheme="majorBidi"/>
          <w:szCs w:val="24"/>
        </w:rPr>
        <w:t xml:space="preserve">the </w:t>
      </w:r>
      <w:r w:rsidR="008E115A" w:rsidRPr="0004264F">
        <w:rPr>
          <w:rFonts w:cstheme="majorBidi"/>
          <w:szCs w:val="24"/>
        </w:rPr>
        <w:t>mother</w:t>
      </w:r>
      <w:r w:rsidR="00082F74" w:rsidRPr="0004264F">
        <w:rPr>
          <w:rFonts w:cstheme="majorBidi"/>
          <w:szCs w:val="24"/>
        </w:rPr>
        <w:t>’</w:t>
      </w:r>
      <w:r w:rsidR="008E115A" w:rsidRPr="0004264F">
        <w:rPr>
          <w:rFonts w:cstheme="majorBidi"/>
          <w:szCs w:val="24"/>
        </w:rPr>
        <w:t>s education (columns 2-4). The estimated effects are very small in magnitude. For instance, a one-standard</w:t>
      </w:r>
      <w:r w:rsidR="00060936" w:rsidRPr="0004264F">
        <w:rPr>
          <w:rFonts w:cstheme="majorBidi"/>
          <w:szCs w:val="24"/>
        </w:rPr>
        <w:t>-</w:t>
      </w:r>
      <w:r w:rsidR="008E115A" w:rsidRPr="0004264F">
        <w:rPr>
          <w:rFonts w:cstheme="majorBidi"/>
          <w:szCs w:val="24"/>
        </w:rPr>
        <w:t>deviation change in deposits is associated with roughly 0.0</w:t>
      </w:r>
      <w:r w:rsidR="009D6CEB" w:rsidRPr="0004264F">
        <w:rPr>
          <w:rFonts w:cstheme="majorBidi"/>
          <w:szCs w:val="24"/>
        </w:rPr>
        <w:t>4</w:t>
      </w:r>
      <w:r w:rsidR="008E115A" w:rsidRPr="0004264F">
        <w:rPr>
          <w:rFonts w:cstheme="majorBidi"/>
          <w:szCs w:val="24"/>
        </w:rPr>
        <w:t xml:space="preserve"> percent change in the mother’s schooling (from the mean of the outcome). </w:t>
      </w:r>
      <w:r w:rsidR="00AA7D23" w:rsidRPr="0004264F">
        <w:rPr>
          <w:rFonts w:cstheme="majorBidi"/>
          <w:szCs w:val="24"/>
        </w:rPr>
        <w:t xml:space="preserve">Except for mother education less than high school, the coefficients are statistically insignificant. </w:t>
      </w:r>
    </w:p>
    <w:p w14:paraId="0281995C" w14:textId="36022F1C" w:rsidR="006B79A4" w:rsidRPr="0004264F" w:rsidRDefault="006B79A4" w:rsidP="002D3C2A">
      <w:pPr>
        <w:spacing w:before="100" w:after="100" w:line="480" w:lineRule="auto"/>
        <w:ind w:firstLine="720"/>
        <w:rPr>
          <w:rFonts w:cstheme="majorBidi"/>
          <w:szCs w:val="24"/>
        </w:rPr>
      </w:pPr>
    </w:p>
    <w:p w14:paraId="0CD60DA2" w14:textId="2B9C82C5" w:rsidR="006B79A4" w:rsidRPr="0004264F" w:rsidRDefault="006B79A4" w:rsidP="002D3C2A">
      <w:pPr>
        <w:spacing w:before="100" w:after="100" w:line="480" w:lineRule="auto"/>
        <w:ind w:firstLine="720"/>
        <w:rPr>
          <w:rFonts w:cstheme="majorBidi"/>
          <w:szCs w:val="24"/>
        </w:rPr>
      </w:pPr>
    </w:p>
    <w:p w14:paraId="2E5197FC" w14:textId="78A8630F" w:rsidR="006B79A4" w:rsidRPr="0004264F" w:rsidRDefault="006B79A4" w:rsidP="002D3C2A">
      <w:pPr>
        <w:spacing w:before="100" w:after="100" w:line="480" w:lineRule="auto"/>
        <w:ind w:firstLine="720"/>
        <w:rPr>
          <w:rFonts w:cstheme="majorBidi"/>
          <w:szCs w:val="24"/>
        </w:rPr>
      </w:pPr>
    </w:p>
    <w:p w14:paraId="6EED4077" w14:textId="6C7E6D4B" w:rsidR="006B79A4" w:rsidRPr="0004264F" w:rsidRDefault="006B79A4" w:rsidP="00BE01FF">
      <w:pPr>
        <w:rPr>
          <w:rFonts w:cstheme="majorBidi"/>
          <w:szCs w:val="24"/>
        </w:rPr>
      </w:pPr>
    </w:p>
    <w:p w14:paraId="02AE558A" w14:textId="77777777" w:rsidR="006B79A4" w:rsidRPr="0004264F" w:rsidRDefault="006B79A4" w:rsidP="00BE01FF">
      <w:pPr>
        <w:rPr>
          <w:rFonts w:cstheme="majorBidi"/>
          <w:b/>
          <w:bCs/>
          <w:sz w:val="20"/>
          <w:szCs w:val="20"/>
        </w:rPr>
        <w:sectPr w:rsidR="006B79A4" w:rsidRPr="0004264F" w:rsidSect="00847BB4">
          <w:pgSz w:w="12240" w:h="15840" w:code="1"/>
          <w:pgMar w:top="1440" w:right="1440" w:bottom="1440" w:left="1440" w:header="720" w:footer="720" w:gutter="0"/>
          <w:cols w:space="720"/>
          <w:docGrid w:linePitch="360"/>
        </w:sectPr>
      </w:pPr>
    </w:p>
    <w:p w14:paraId="4933BFF8" w14:textId="61BF2075" w:rsidR="006B79A4" w:rsidRPr="0004264F" w:rsidRDefault="002C5F51" w:rsidP="00BE01FF">
      <w:pPr>
        <w:rPr>
          <w:rFonts w:cstheme="majorBidi"/>
          <w:b/>
          <w:bCs/>
          <w:sz w:val="20"/>
          <w:szCs w:val="20"/>
        </w:rPr>
      </w:pPr>
      <w:r w:rsidRPr="0004264F">
        <w:rPr>
          <w:rFonts w:cstheme="majorBidi"/>
          <w:b/>
          <w:bCs/>
          <w:sz w:val="20"/>
          <w:szCs w:val="20"/>
        </w:rPr>
        <w:lastRenderedPageBreak/>
        <w:t xml:space="preserve"> </w:t>
      </w:r>
    </w:p>
    <w:p w14:paraId="701DAB8A" w14:textId="47B1A39E" w:rsidR="006B79A4" w:rsidRPr="0004264F" w:rsidRDefault="006B79A4" w:rsidP="00BE01FF">
      <w:pPr>
        <w:rPr>
          <w:rFonts w:cstheme="majorBidi"/>
          <w:b/>
          <w:bCs/>
          <w:sz w:val="20"/>
          <w:szCs w:val="20"/>
        </w:rPr>
      </w:pPr>
    </w:p>
    <w:p w14:paraId="04DEBD6B" w14:textId="094BA641" w:rsidR="006B79A4" w:rsidRPr="0004264F" w:rsidRDefault="006B79A4" w:rsidP="00BE01FF">
      <w:pPr>
        <w:rPr>
          <w:rFonts w:cstheme="majorBidi"/>
          <w:b/>
          <w:bCs/>
          <w:sz w:val="20"/>
          <w:szCs w:val="20"/>
        </w:rPr>
      </w:pPr>
    </w:p>
    <w:p w14:paraId="7BE6634C" w14:textId="68CB3B1D" w:rsidR="006B79A4" w:rsidRPr="0004264F" w:rsidRDefault="006B79A4" w:rsidP="006B79A4">
      <w:pPr>
        <w:pStyle w:val="Caption"/>
        <w:keepNext/>
        <w:bidi w:val="0"/>
        <w:rPr>
          <w:rFonts w:cstheme="majorBidi"/>
        </w:rPr>
      </w:pPr>
      <w:bookmarkStart w:id="31" w:name="_Ref111407148"/>
      <w:r w:rsidRPr="0004264F">
        <w:rPr>
          <w:rFonts w:cstheme="majorBidi"/>
        </w:rPr>
        <w:t xml:space="preserve">Appendix Table </w:t>
      </w:r>
      <w:r w:rsidRPr="0004264F">
        <w:rPr>
          <w:rFonts w:cstheme="majorBidi"/>
        </w:rPr>
        <w:fldChar w:fldCharType="begin"/>
      </w:r>
      <w:r w:rsidRPr="0004264F">
        <w:rPr>
          <w:rFonts w:cstheme="majorBidi"/>
        </w:rPr>
        <w:instrText xml:space="preserve"> STYLEREF 3 \s </w:instrText>
      </w:r>
      <w:r w:rsidRPr="0004264F">
        <w:rPr>
          <w:rFonts w:cstheme="majorBidi"/>
        </w:rPr>
        <w:fldChar w:fldCharType="separate"/>
      </w:r>
      <w:r w:rsidR="00CA5B9D" w:rsidRPr="0004264F">
        <w:rPr>
          <w:rFonts w:cstheme="majorBidi"/>
          <w:noProof/>
        </w:rPr>
        <w:t>D</w:t>
      </w:r>
      <w:r w:rsidRPr="0004264F">
        <w:rPr>
          <w:rFonts w:cstheme="majorBidi"/>
          <w:noProof/>
        </w:rPr>
        <w:fldChar w:fldCharType="end"/>
      </w:r>
      <w:r w:rsidR="00B751B8" w:rsidRPr="0004264F">
        <w:rPr>
          <w:rFonts w:cstheme="majorBidi"/>
        </w:rPr>
        <w:noBreakHyphen/>
      </w:r>
      <w:r w:rsidRPr="0004264F">
        <w:rPr>
          <w:rFonts w:cstheme="majorBidi"/>
        </w:rPr>
        <w:fldChar w:fldCharType="begin"/>
      </w:r>
      <w:r w:rsidRPr="0004264F">
        <w:rPr>
          <w:rFonts w:cstheme="majorBidi"/>
        </w:rPr>
        <w:instrText xml:space="preserve"> SEQ Appendix_Table \* ARABIC \s 3 </w:instrText>
      </w:r>
      <w:r w:rsidRPr="0004264F">
        <w:rPr>
          <w:rFonts w:cstheme="majorBidi"/>
        </w:rPr>
        <w:fldChar w:fldCharType="separate"/>
      </w:r>
      <w:r w:rsidR="00CA5B9D" w:rsidRPr="0004264F">
        <w:rPr>
          <w:rFonts w:cstheme="majorBidi"/>
          <w:noProof/>
        </w:rPr>
        <w:t>1</w:t>
      </w:r>
      <w:r w:rsidRPr="0004264F">
        <w:rPr>
          <w:rFonts w:cstheme="majorBidi"/>
          <w:noProof/>
        </w:rPr>
        <w:fldChar w:fldCharType="end"/>
      </w:r>
      <w:bookmarkEnd w:id="31"/>
      <w:r w:rsidRPr="0004264F">
        <w:rPr>
          <w:rFonts w:cstheme="majorBidi"/>
        </w:rPr>
        <w:t xml:space="preserve"> - Deposits and Sex Ratio at Birth Using 1940 Full-Count Census</w:t>
      </w:r>
    </w:p>
    <w:tbl>
      <w:tblPr>
        <w:tblW w:w="0" w:type="auto"/>
        <w:jc w:val="center"/>
        <w:tblLayout w:type="fixed"/>
        <w:tblLook w:val="0000" w:firstRow="0" w:lastRow="0" w:firstColumn="0" w:lastColumn="0" w:noHBand="0" w:noVBand="0"/>
      </w:tblPr>
      <w:tblGrid>
        <w:gridCol w:w="2732"/>
        <w:gridCol w:w="1620"/>
        <w:gridCol w:w="1685"/>
        <w:gridCol w:w="1686"/>
      </w:tblGrid>
      <w:tr w:rsidR="006B79A4" w:rsidRPr="0004264F" w14:paraId="58166E1D" w14:textId="77777777" w:rsidTr="00BF3125">
        <w:trPr>
          <w:trHeight w:val="234"/>
          <w:jc w:val="center"/>
        </w:trPr>
        <w:tc>
          <w:tcPr>
            <w:tcW w:w="2732" w:type="dxa"/>
            <w:tcBorders>
              <w:top w:val="single" w:sz="4" w:space="0" w:color="auto"/>
              <w:left w:val="nil"/>
              <w:bottom w:val="nil"/>
              <w:right w:val="nil"/>
            </w:tcBorders>
          </w:tcPr>
          <w:p w14:paraId="6F494079" w14:textId="77777777" w:rsidR="006B79A4" w:rsidRPr="0004264F" w:rsidRDefault="006B79A4" w:rsidP="00D9745C">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w:t>
            </w:r>
          </w:p>
        </w:tc>
        <w:tc>
          <w:tcPr>
            <w:tcW w:w="4991" w:type="dxa"/>
            <w:gridSpan w:val="3"/>
            <w:tcBorders>
              <w:top w:val="single" w:sz="4" w:space="0" w:color="auto"/>
              <w:left w:val="nil"/>
              <w:bottom w:val="single" w:sz="4" w:space="0" w:color="auto"/>
              <w:right w:val="nil"/>
            </w:tcBorders>
          </w:tcPr>
          <w:p w14:paraId="7450BAAD" w14:textId="08120707" w:rsidR="006B79A4" w:rsidRPr="0004264F" w:rsidRDefault="006B79A4" w:rsidP="00D9745C">
            <w:pPr>
              <w:widowControl w:val="0"/>
              <w:autoSpaceDE w:val="0"/>
              <w:autoSpaceDN w:val="0"/>
              <w:adjustRightInd w:val="0"/>
              <w:spacing w:after="0"/>
              <w:jc w:val="center"/>
              <w:rPr>
                <w:rFonts w:cstheme="majorBidi"/>
                <w:sz w:val="20"/>
                <w:szCs w:val="20"/>
              </w:rPr>
            </w:pPr>
            <w:r w:rsidRPr="0004264F">
              <w:rPr>
                <w:rFonts w:cstheme="majorBidi"/>
                <w:sz w:val="20"/>
                <w:szCs w:val="20"/>
              </w:rPr>
              <w:t>Outcome: Sex Ratio</w:t>
            </w:r>
          </w:p>
        </w:tc>
      </w:tr>
      <w:tr w:rsidR="006B79A4" w:rsidRPr="0004264F" w14:paraId="33ACE6B4" w14:textId="77777777" w:rsidTr="00BF3125">
        <w:trPr>
          <w:trHeight w:val="234"/>
          <w:jc w:val="center"/>
        </w:trPr>
        <w:tc>
          <w:tcPr>
            <w:tcW w:w="2732" w:type="dxa"/>
            <w:tcBorders>
              <w:top w:val="nil"/>
              <w:left w:val="nil"/>
              <w:bottom w:val="single" w:sz="4" w:space="0" w:color="auto"/>
              <w:right w:val="nil"/>
            </w:tcBorders>
          </w:tcPr>
          <w:p w14:paraId="6F8B44B2" w14:textId="77777777" w:rsidR="006B79A4" w:rsidRPr="0004264F" w:rsidRDefault="006B79A4" w:rsidP="006B79A4">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w:t>
            </w:r>
          </w:p>
        </w:tc>
        <w:tc>
          <w:tcPr>
            <w:tcW w:w="1620" w:type="dxa"/>
            <w:tcBorders>
              <w:top w:val="single" w:sz="4" w:space="0" w:color="auto"/>
              <w:left w:val="nil"/>
              <w:bottom w:val="single" w:sz="4" w:space="0" w:color="auto"/>
              <w:right w:val="nil"/>
            </w:tcBorders>
          </w:tcPr>
          <w:p w14:paraId="4CD74BA9" w14:textId="65994CD6" w:rsidR="006B79A4" w:rsidRPr="0004264F" w:rsidRDefault="006B79A4" w:rsidP="006B79A4">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(1)</w:t>
            </w:r>
          </w:p>
        </w:tc>
        <w:tc>
          <w:tcPr>
            <w:tcW w:w="1685" w:type="dxa"/>
            <w:tcBorders>
              <w:top w:val="single" w:sz="4" w:space="0" w:color="auto"/>
              <w:left w:val="nil"/>
              <w:bottom w:val="single" w:sz="4" w:space="0" w:color="auto"/>
              <w:right w:val="nil"/>
            </w:tcBorders>
          </w:tcPr>
          <w:p w14:paraId="7A7E7AEB" w14:textId="4E41D49B" w:rsidR="006B79A4" w:rsidRPr="0004264F" w:rsidRDefault="006B79A4" w:rsidP="006B79A4">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(2)</w:t>
            </w:r>
          </w:p>
        </w:tc>
        <w:tc>
          <w:tcPr>
            <w:tcW w:w="1686" w:type="dxa"/>
            <w:tcBorders>
              <w:top w:val="single" w:sz="4" w:space="0" w:color="auto"/>
              <w:left w:val="nil"/>
              <w:bottom w:val="single" w:sz="4" w:space="0" w:color="auto"/>
              <w:right w:val="nil"/>
            </w:tcBorders>
          </w:tcPr>
          <w:p w14:paraId="613E721F" w14:textId="0CA095B8" w:rsidR="006B79A4" w:rsidRPr="0004264F" w:rsidRDefault="006B79A4" w:rsidP="006B79A4">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(3)</w:t>
            </w:r>
          </w:p>
        </w:tc>
      </w:tr>
      <w:tr w:rsidR="007F518A" w:rsidRPr="0004264F" w14:paraId="2C827D12" w14:textId="77777777" w:rsidTr="00BF3125">
        <w:trPr>
          <w:trHeight w:val="20"/>
          <w:jc w:val="center"/>
        </w:trPr>
        <w:tc>
          <w:tcPr>
            <w:tcW w:w="2732" w:type="dxa"/>
            <w:vMerge w:val="restart"/>
            <w:tcBorders>
              <w:top w:val="single" w:sz="4" w:space="0" w:color="auto"/>
              <w:left w:val="nil"/>
              <w:right w:val="nil"/>
            </w:tcBorders>
            <w:vAlign w:val="center"/>
          </w:tcPr>
          <w:p w14:paraId="0B1B6042" w14:textId="5A765899"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Deposits per Capita (STD)</w:t>
            </w:r>
            <w:r w:rsidRPr="0004264F">
              <w:rPr>
                <w:rFonts w:cstheme="majorBidi"/>
                <w:sz w:val="20"/>
                <w:szCs w:val="20"/>
              </w:rPr>
              <w:t xml:space="preserve">  </w:t>
            </w:r>
          </w:p>
        </w:tc>
        <w:tc>
          <w:tcPr>
            <w:tcW w:w="1620" w:type="dxa"/>
            <w:tcBorders>
              <w:top w:val="single" w:sz="4" w:space="0" w:color="auto"/>
              <w:left w:val="nil"/>
              <w:bottom w:val="nil"/>
              <w:right w:val="nil"/>
            </w:tcBorders>
          </w:tcPr>
          <w:p w14:paraId="344887CA" w14:textId="36387933"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.00013</w:t>
            </w:r>
          </w:p>
        </w:tc>
        <w:tc>
          <w:tcPr>
            <w:tcW w:w="1685" w:type="dxa"/>
            <w:tcBorders>
              <w:top w:val="single" w:sz="4" w:space="0" w:color="auto"/>
              <w:left w:val="nil"/>
              <w:bottom w:val="nil"/>
              <w:right w:val="nil"/>
            </w:tcBorders>
          </w:tcPr>
          <w:p w14:paraId="5D8E129E" w14:textId="2F8E6847"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.00014</w:t>
            </w:r>
          </w:p>
        </w:tc>
        <w:tc>
          <w:tcPr>
            <w:tcW w:w="1686" w:type="dxa"/>
            <w:tcBorders>
              <w:top w:val="single" w:sz="4" w:space="0" w:color="auto"/>
              <w:left w:val="nil"/>
              <w:bottom w:val="nil"/>
              <w:right w:val="nil"/>
            </w:tcBorders>
          </w:tcPr>
          <w:p w14:paraId="2E6D271E" w14:textId="054341F7"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.00006</w:t>
            </w:r>
          </w:p>
        </w:tc>
      </w:tr>
      <w:tr w:rsidR="007F518A" w:rsidRPr="0004264F" w14:paraId="46D77474" w14:textId="77777777" w:rsidTr="00BF3125">
        <w:trPr>
          <w:trHeight w:val="418"/>
          <w:jc w:val="center"/>
        </w:trPr>
        <w:tc>
          <w:tcPr>
            <w:tcW w:w="2732" w:type="dxa"/>
            <w:vMerge/>
            <w:tcBorders>
              <w:left w:val="nil"/>
              <w:bottom w:val="nil"/>
              <w:right w:val="nil"/>
            </w:tcBorders>
            <w:vAlign w:val="center"/>
          </w:tcPr>
          <w:p w14:paraId="2504E6D8" w14:textId="383CA398" w:rsidR="007F518A" w:rsidRPr="0004264F" w:rsidRDefault="007F518A" w:rsidP="007F518A">
            <w:pPr>
              <w:widowControl w:val="0"/>
              <w:autoSpaceDE w:val="0"/>
              <w:autoSpaceDN w:val="0"/>
              <w:adjustRightInd w:val="0"/>
              <w:spacing w:after="0"/>
              <w:rPr>
                <w:rFonts w:cstheme="majorBidi"/>
                <w:sz w:val="20"/>
                <w:szCs w:val="20"/>
              </w:rPr>
            </w:pPr>
          </w:p>
        </w:tc>
        <w:tc>
          <w:tcPr>
            <w:tcW w:w="1620" w:type="dxa"/>
            <w:tcBorders>
              <w:top w:val="nil"/>
              <w:left w:val="nil"/>
              <w:bottom w:val="nil"/>
              <w:right w:val="nil"/>
            </w:tcBorders>
          </w:tcPr>
          <w:p w14:paraId="4818B500" w14:textId="00464FDD"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(.00018)</w:t>
            </w:r>
          </w:p>
        </w:tc>
        <w:tc>
          <w:tcPr>
            <w:tcW w:w="1685" w:type="dxa"/>
            <w:tcBorders>
              <w:top w:val="nil"/>
              <w:left w:val="nil"/>
              <w:bottom w:val="nil"/>
              <w:right w:val="nil"/>
            </w:tcBorders>
          </w:tcPr>
          <w:p w14:paraId="76E4943E" w14:textId="24728E6E"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(.00015)</w:t>
            </w:r>
          </w:p>
        </w:tc>
        <w:tc>
          <w:tcPr>
            <w:tcW w:w="1686" w:type="dxa"/>
            <w:tcBorders>
              <w:top w:val="nil"/>
              <w:left w:val="nil"/>
              <w:bottom w:val="nil"/>
              <w:right w:val="nil"/>
            </w:tcBorders>
          </w:tcPr>
          <w:p w14:paraId="3A180729" w14:textId="59CECDD4"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(.00022)</w:t>
            </w:r>
          </w:p>
        </w:tc>
      </w:tr>
      <w:tr w:rsidR="007F518A" w:rsidRPr="0004264F" w14:paraId="44624E9F" w14:textId="77777777" w:rsidTr="009B5DB5">
        <w:trPr>
          <w:trHeight w:val="246"/>
          <w:jc w:val="center"/>
        </w:trPr>
        <w:tc>
          <w:tcPr>
            <w:tcW w:w="2732" w:type="dxa"/>
            <w:tcBorders>
              <w:top w:val="nil"/>
              <w:left w:val="nil"/>
              <w:bottom w:val="nil"/>
              <w:right w:val="nil"/>
            </w:tcBorders>
            <w:vAlign w:val="center"/>
          </w:tcPr>
          <w:p w14:paraId="529B67B2" w14:textId="4742D581"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Observations</w:t>
            </w:r>
          </w:p>
        </w:tc>
        <w:tc>
          <w:tcPr>
            <w:tcW w:w="1620" w:type="dxa"/>
            <w:tcBorders>
              <w:top w:val="nil"/>
              <w:left w:val="nil"/>
              <w:bottom w:val="nil"/>
              <w:right w:val="nil"/>
            </w:tcBorders>
          </w:tcPr>
          <w:p w14:paraId="2EE60489" w14:textId="6DBB2B42"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33468</w:t>
            </w:r>
          </w:p>
        </w:tc>
        <w:tc>
          <w:tcPr>
            <w:tcW w:w="1685" w:type="dxa"/>
            <w:tcBorders>
              <w:top w:val="nil"/>
              <w:left w:val="nil"/>
              <w:bottom w:val="nil"/>
              <w:right w:val="nil"/>
            </w:tcBorders>
          </w:tcPr>
          <w:p w14:paraId="4948D2B0" w14:textId="40777CB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33468</w:t>
            </w:r>
          </w:p>
        </w:tc>
        <w:tc>
          <w:tcPr>
            <w:tcW w:w="1686" w:type="dxa"/>
            <w:tcBorders>
              <w:top w:val="nil"/>
              <w:left w:val="nil"/>
              <w:bottom w:val="nil"/>
              <w:right w:val="nil"/>
            </w:tcBorders>
          </w:tcPr>
          <w:p w14:paraId="09C77864" w14:textId="42F91894"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32400</w:t>
            </w:r>
          </w:p>
        </w:tc>
      </w:tr>
      <w:tr w:rsidR="007F518A" w:rsidRPr="0004264F" w14:paraId="31717F5A" w14:textId="77777777" w:rsidTr="009B5DB5">
        <w:trPr>
          <w:trHeight w:val="234"/>
          <w:jc w:val="center"/>
        </w:trPr>
        <w:tc>
          <w:tcPr>
            <w:tcW w:w="2732" w:type="dxa"/>
            <w:tcBorders>
              <w:top w:val="nil"/>
              <w:left w:val="nil"/>
              <w:bottom w:val="nil"/>
              <w:right w:val="nil"/>
            </w:tcBorders>
            <w:vAlign w:val="center"/>
          </w:tcPr>
          <w:p w14:paraId="0A6F0FBE" w14:textId="717828CB"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R-squared</w:t>
            </w:r>
          </w:p>
        </w:tc>
        <w:tc>
          <w:tcPr>
            <w:tcW w:w="1620" w:type="dxa"/>
            <w:tcBorders>
              <w:top w:val="nil"/>
              <w:left w:val="nil"/>
              <w:bottom w:val="nil"/>
              <w:right w:val="nil"/>
            </w:tcBorders>
          </w:tcPr>
          <w:p w14:paraId="61BBA7AA" w14:textId="6930CF43"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.12232</w:t>
            </w:r>
          </w:p>
        </w:tc>
        <w:tc>
          <w:tcPr>
            <w:tcW w:w="1685" w:type="dxa"/>
            <w:tcBorders>
              <w:top w:val="nil"/>
              <w:left w:val="nil"/>
              <w:bottom w:val="nil"/>
              <w:right w:val="nil"/>
            </w:tcBorders>
          </w:tcPr>
          <w:p w14:paraId="771C1513" w14:textId="108C33F4"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.12365</w:t>
            </w:r>
          </w:p>
        </w:tc>
        <w:tc>
          <w:tcPr>
            <w:tcW w:w="1686" w:type="dxa"/>
            <w:tcBorders>
              <w:top w:val="nil"/>
              <w:left w:val="nil"/>
              <w:bottom w:val="nil"/>
              <w:right w:val="nil"/>
            </w:tcBorders>
          </w:tcPr>
          <w:p w14:paraId="0B615E76" w14:textId="6DB1DFB8"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.23157</w:t>
            </w:r>
          </w:p>
        </w:tc>
      </w:tr>
      <w:tr w:rsidR="007F518A" w:rsidRPr="0004264F" w14:paraId="177871C7" w14:textId="77777777" w:rsidTr="009B5DB5">
        <w:trPr>
          <w:trHeight w:val="234"/>
          <w:jc w:val="center"/>
        </w:trPr>
        <w:tc>
          <w:tcPr>
            <w:tcW w:w="2732" w:type="dxa"/>
            <w:tcBorders>
              <w:top w:val="nil"/>
              <w:left w:val="nil"/>
              <w:bottom w:val="nil"/>
              <w:right w:val="nil"/>
            </w:tcBorders>
            <w:vAlign w:val="center"/>
          </w:tcPr>
          <w:p w14:paraId="6A2F7928" w14:textId="102BA970"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Mean DV</w:t>
            </w:r>
          </w:p>
        </w:tc>
        <w:tc>
          <w:tcPr>
            <w:tcW w:w="1620" w:type="dxa"/>
            <w:tcBorders>
              <w:top w:val="nil"/>
              <w:left w:val="nil"/>
              <w:bottom w:val="nil"/>
              <w:right w:val="nil"/>
            </w:tcBorders>
          </w:tcPr>
          <w:p w14:paraId="3A47EF17" w14:textId="5BE08C01"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0.493</w:t>
            </w:r>
          </w:p>
        </w:tc>
        <w:tc>
          <w:tcPr>
            <w:tcW w:w="1685" w:type="dxa"/>
            <w:tcBorders>
              <w:top w:val="nil"/>
              <w:left w:val="nil"/>
              <w:bottom w:val="nil"/>
              <w:right w:val="nil"/>
            </w:tcBorders>
          </w:tcPr>
          <w:p w14:paraId="74AC0CFC" w14:textId="5067ED6F"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0.493</w:t>
            </w:r>
          </w:p>
        </w:tc>
        <w:tc>
          <w:tcPr>
            <w:tcW w:w="1686" w:type="dxa"/>
            <w:tcBorders>
              <w:top w:val="nil"/>
              <w:left w:val="nil"/>
              <w:bottom w:val="nil"/>
              <w:right w:val="nil"/>
            </w:tcBorders>
          </w:tcPr>
          <w:p w14:paraId="077B1244" w14:textId="3E0CAAD1"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0.493</w:t>
            </w:r>
          </w:p>
        </w:tc>
      </w:tr>
      <w:tr w:rsidR="007F518A" w:rsidRPr="0004264F" w14:paraId="30A9A158" w14:textId="77777777" w:rsidTr="009B5DB5">
        <w:trPr>
          <w:trHeight w:val="234"/>
          <w:jc w:val="center"/>
        </w:trPr>
        <w:tc>
          <w:tcPr>
            <w:tcW w:w="2732" w:type="dxa"/>
            <w:tcBorders>
              <w:top w:val="nil"/>
              <w:left w:val="nil"/>
              <w:bottom w:val="single" w:sz="4" w:space="0" w:color="auto"/>
              <w:right w:val="nil"/>
            </w:tcBorders>
            <w:vAlign w:val="center"/>
          </w:tcPr>
          <w:p w14:paraId="02B1A62E" w14:textId="5DC75131"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%Change</w:t>
            </w:r>
          </w:p>
        </w:tc>
        <w:tc>
          <w:tcPr>
            <w:tcW w:w="1620" w:type="dxa"/>
            <w:tcBorders>
              <w:top w:val="nil"/>
              <w:left w:val="nil"/>
              <w:bottom w:val="single" w:sz="4" w:space="0" w:color="auto"/>
              <w:right w:val="nil"/>
            </w:tcBorders>
          </w:tcPr>
          <w:p w14:paraId="7440DFBD" w14:textId="0701F88F"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0.026</w:t>
            </w:r>
          </w:p>
        </w:tc>
        <w:tc>
          <w:tcPr>
            <w:tcW w:w="1685" w:type="dxa"/>
            <w:tcBorders>
              <w:top w:val="nil"/>
              <w:left w:val="nil"/>
              <w:bottom w:val="single" w:sz="4" w:space="0" w:color="auto"/>
              <w:right w:val="nil"/>
            </w:tcBorders>
          </w:tcPr>
          <w:p w14:paraId="77D45C3B" w14:textId="71A93740"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0.028</w:t>
            </w:r>
          </w:p>
        </w:tc>
        <w:tc>
          <w:tcPr>
            <w:tcW w:w="1686" w:type="dxa"/>
            <w:tcBorders>
              <w:top w:val="nil"/>
              <w:left w:val="nil"/>
              <w:bottom w:val="single" w:sz="4" w:space="0" w:color="auto"/>
              <w:right w:val="nil"/>
            </w:tcBorders>
          </w:tcPr>
          <w:p w14:paraId="28E33D0B" w14:textId="03B98006"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0.012</w:t>
            </w:r>
          </w:p>
        </w:tc>
      </w:tr>
      <w:tr w:rsidR="00A57EB6" w:rsidRPr="0004264F" w14:paraId="791A745B" w14:textId="77777777" w:rsidTr="00BF3125">
        <w:trPr>
          <w:trHeight w:val="234"/>
          <w:jc w:val="center"/>
        </w:trPr>
        <w:tc>
          <w:tcPr>
            <w:tcW w:w="2732" w:type="dxa"/>
            <w:tcBorders>
              <w:top w:val="single" w:sz="4" w:space="0" w:color="auto"/>
              <w:left w:val="nil"/>
              <w:bottom w:val="nil"/>
              <w:right w:val="nil"/>
            </w:tcBorders>
            <w:vAlign w:val="center"/>
          </w:tcPr>
          <w:p w14:paraId="0D012352" w14:textId="4D2A3AAF"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County and Year FE</w:t>
            </w:r>
          </w:p>
        </w:tc>
        <w:tc>
          <w:tcPr>
            <w:tcW w:w="1620" w:type="dxa"/>
            <w:tcBorders>
              <w:top w:val="single" w:sz="4" w:space="0" w:color="auto"/>
              <w:left w:val="nil"/>
              <w:bottom w:val="nil"/>
              <w:right w:val="nil"/>
            </w:tcBorders>
          </w:tcPr>
          <w:p w14:paraId="7FB4AF9E" w14:textId="7E711DB3"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5" w:type="dxa"/>
            <w:tcBorders>
              <w:top w:val="single" w:sz="4" w:space="0" w:color="auto"/>
              <w:left w:val="nil"/>
              <w:bottom w:val="nil"/>
              <w:right w:val="nil"/>
            </w:tcBorders>
          </w:tcPr>
          <w:p w14:paraId="51C22E64" w14:textId="548D4CB8"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6" w:type="dxa"/>
            <w:tcBorders>
              <w:top w:val="single" w:sz="4" w:space="0" w:color="auto"/>
              <w:left w:val="nil"/>
              <w:bottom w:val="nil"/>
              <w:right w:val="nil"/>
            </w:tcBorders>
          </w:tcPr>
          <w:p w14:paraId="217AA50C" w14:textId="4BC50FE0"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A57EB6" w:rsidRPr="0004264F" w14:paraId="3B3A2C01" w14:textId="77777777" w:rsidTr="00BF3125">
        <w:trPr>
          <w:trHeight w:val="234"/>
          <w:jc w:val="center"/>
        </w:trPr>
        <w:tc>
          <w:tcPr>
            <w:tcW w:w="2732" w:type="dxa"/>
            <w:tcBorders>
              <w:top w:val="nil"/>
              <w:left w:val="nil"/>
              <w:bottom w:val="nil"/>
              <w:right w:val="nil"/>
            </w:tcBorders>
            <w:vAlign w:val="center"/>
          </w:tcPr>
          <w:p w14:paraId="06EEAD57" w14:textId="3FC2F156"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Controls</w:t>
            </w:r>
          </w:p>
        </w:tc>
        <w:tc>
          <w:tcPr>
            <w:tcW w:w="1620" w:type="dxa"/>
            <w:tcBorders>
              <w:top w:val="nil"/>
              <w:left w:val="nil"/>
              <w:bottom w:val="nil"/>
              <w:right w:val="nil"/>
            </w:tcBorders>
          </w:tcPr>
          <w:p w14:paraId="0D7C93D6" w14:textId="61FEE6D4" w:rsidR="00A57EB6" w:rsidRPr="0004264F" w:rsidRDefault="00A57EB6" w:rsidP="00A57EB6">
            <w:pPr>
              <w:widowControl w:val="0"/>
              <w:autoSpaceDE w:val="0"/>
              <w:autoSpaceDN w:val="0"/>
              <w:adjustRightInd w:val="0"/>
              <w:spacing w:after="0"/>
              <w:jc w:val="center"/>
              <w:rPr>
                <w:rFonts w:cstheme="majorBidi"/>
                <w:sz w:val="20"/>
                <w:szCs w:val="20"/>
              </w:rPr>
            </w:pPr>
          </w:p>
        </w:tc>
        <w:tc>
          <w:tcPr>
            <w:tcW w:w="1685" w:type="dxa"/>
            <w:tcBorders>
              <w:top w:val="nil"/>
              <w:left w:val="nil"/>
              <w:bottom w:val="nil"/>
              <w:right w:val="nil"/>
            </w:tcBorders>
          </w:tcPr>
          <w:p w14:paraId="7F40392D" w14:textId="0AEA46C9"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6" w:type="dxa"/>
            <w:tcBorders>
              <w:top w:val="nil"/>
              <w:left w:val="nil"/>
              <w:bottom w:val="nil"/>
              <w:right w:val="nil"/>
            </w:tcBorders>
          </w:tcPr>
          <w:p w14:paraId="5DDE7BA4" w14:textId="58AA327C"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7F518A" w:rsidRPr="0004264F" w14:paraId="2DD7349B" w14:textId="77777777" w:rsidTr="00BF3125">
        <w:trPr>
          <w:trHeight w:val="234"/>
          <w:jc w:val="center"/>
        </w:trPr>
        <w:tc>
          <w:tcPr>
            <w:tcW w:w="2732" w:type="dxa"/>
            <w:tcBorders>
              <w:top w:val="nil"/>
              <w:left w:val="nil"/>
              <w:bottom w:val="nil"/>
              <w:right w:val="nil"/>
            </w:tcBorders>
            <w:vAlign w:val="center"/>
          </w:tcPr>
          <w:p w14:paraId="41B6EBA5" w14:textId="145F91FF" w:rsidR="007F518A" w:rsidRPr="0004264F" w:rsidRDefault="00A57EB6" w:rsidP="007F518A">
            <w:pPr>
              <w:widowControl w:val="0"/>
              <w:autoSpaceDE w:val="0"/>
              <w:autoSpaceDN w:val="0"/>
              <w:adjustRightInd w:val="0"/>
              <w:spacing w:after="0"/>
              <w:rPr>
                <w:rFonts w:cstheme="majorBidi"/>
                <w:sz w:val="18"/>
                <w:szCs w:val="18"/>
              </w:rPr>
            </w:pPr>
            <w:r w:rsidRPr="0004264F">
              <w:rPr>
                <w:rFonts w:cstheme="majorBidi"/>
                <w:sz w:val="18"/>
                <w:szCs w:val="18"/>
              </w:rPr>
              <w:t>SEA</w:t>
            </w:r>
            <w:r w:rsidR="007F518A" w:rsidRPr="0004264F">
              <w:rPr>
                <w:rFonts w:cstheme="majorBidi"/>
                <w:sz w:val="18"/>
                <w:szCs w:val="18"/>
              </w:rPr>
              <w:t>-by-Year FE</w:t>
            </w:r>
          </w:p>
        </w:tc>
        <w:tc>
          <w:tcPr>
            <w:tcW w:w="1620" w:type="dxa"/>
            <w:tcBorders>
              <w:top w:val="nil"/>
              <w:left w:val="nil"/>
              <w:bottom w:val="nil"/>
              <w:right w:val="nil"/>
            </w:tcBorders>
          </w:tcPr>
          <w:p w14:paraId="217AE525" w14:textId="31709A09" w:rsidR="007F518A" w:rsidRPr="0004264F" w:rsidRDefault="007F518A" w:rsidP="007F518A">
            <w:pPr>
              <w:widowControl w:val="0"/>
              <w:autoSpaceDE w:val="0"/>
              <w:autoSpaceDN w:val="0"/>
              <w:adjustRightInd w:val="0"/>
              <w:spacing w:after="0"/>
              <w:jc w:val="center"/>
              <w:rPr>
                <w:rFonts w:cstheme="majorBidi"/>
                <w:sz w:val="20"/>
                <w:szCs w:val="20"/>
              </w:rPr>
            </w:pPr>
          </w:p>
        </w:tc>
        <w:tc>
          <w:tcPr>
            <w:tcW w:w="1685" w:type="dxa"/>
            <w:tcBorders>
              <w:top w:val="nil"/>
              <w:left w:val="nil"/>
              <w:bottom w:val="nil"/>
              <w:right w:val="nil"/>
            </w:tcBorders>
          </w:tcPr>
          <w:p w14:paraId="02B58BDF" w14:textId="47D2202A" w:rsidR="007F518A" w:rsidRPr="0004264F" w:rsidRDefault="007F518A" w:rsidP="007F518A">
            <w:pPr>
              <w:widowControl w:val="0"/>
              <w:autoSpaceDE w:val="0"/>
              <w:autoSpaceDN w:val="0"/>
              <w:adjustRightInd w:val="0"/>
              <w:spacing w:after="0"/>
              <w:jc w:val="center"/>
              <w:rPr>
                <w:rFonts w:cstheme="majorBidi"/>
                <w:sz w:val="20"/>
                <w:szCs w:val="20"/>
              </w:rPr>
            </w:pPr>
          </w:p>
        </w:tc>
        <w:tc>
          <w:tcPr>
            <w:tcW w:w="1686" w:type="dxa"/>
            <w:tcBorders>
              <w:top w:val="nil"/>
              <w:left w:val="nil"/>
              <w:bottom w:val="nil"/>
              <w:right w:val="nil"/>
            </w:tcBorders>
          </w:tcPr>
          <w:p w14:paraId="09C38BCF" w14:textId="6328BD61" w:rsidR="007F518A" w:rsidRPr="0004264F" w:rsidRDefault="00A57EB6" w:rsidP="007F518A">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7F518A" w:rsidRPr="0004264F" w14:paraId="5ED8BDD4" w14:textId="77777777" w:rsidTr="006B79A4">
        <w:trPr>
          <w:trHeight w:val="708"/>
          <w:jc w:val="center"/>
        </w:trPr>
        <w:tc>
          <w:tcPr>
            <w:tcW w:w="7723" w:type="dxa"/>
            <w:gridSpan w:val="4"/>
            <w:tcBorders>
              <w:top w:val="single" w:sz="6" w:space="0" w:color="auto"/>
              <w:left w:val="nil"/>
              <w:right w:val="nil"/>
            </w:tcBorders>
          </w:tcPr>
          <w:p w14:paraId="788E5B3A" w14:textId="41450590" w:rsidR="007F518A" w:rsidRPr="0004264F" w:rsidRDefault="007F518A" w:rsidP="007F518A">
            <w:pPr>
              <w:widowControl w:val="0"/>
              <w:autoSpaceDE w:val="0"/>
              <w:autoSpaceDN w:val="0"/>
              <w:adjustRightInd w:val="0"/>
              <w:spacing w:after="0"/>
              <w:jc w:val="both"/>
              <w:rPr>
                <w:rFonts w:cstheme="majorBidi"/>
                <w:sz w:val="18"/>
                <w:szCs w:val="18"/>
              </w:rPr>
            </w:pPr>
            <w:r w:rsidRPr="0004264F">
              <w:rPr>
                <w:rFonts w:cstheme="majorBidi"/>
                <w:sz w:val="18"/>
                <w:szCs w:val="18"/>
              </w:rPr>
              <w:t>Notes. Standard errors, clustered at the county-level, are in parentheses. Controls include share of whites and blacks in each cell.</w:t>
            </w:r>
          </w:p>
          <w:p w14:paraId="084EAE85" w14:textId="77777777" w:rsidR="007F518A" w:rsidRPr="0004264F" w:rsidRDefault="007F518A" w:rsidP="007F518A">
            <w:pPr>
              <w:widowControl w:val="0"/>
              <w:autoSpaceDE w:val="0"/>
              <w:autoSpaceDN w:val="0"/>
              <w:adjustRightInd w:val="0"/>
              <w:spacing w:after="0"/>
              <w:jc w:val="both"/>
              <w:rPr>
                <w:rFonts w:cstheme="majorBidi"/>
                <w:sz w:val="18"/>
                <w:szCs w:val="18"/>
              </w:rPr>
            </w:pPr>
            <w:r w:rsidRPr="0004264F">
              <w:rPr>
                <w:rFonts w:cstheme="majorBidi"/>
                <w:sz w:val="18"/>
                <w:szCs w:val="18"/>
              </w:rPr>
              <w:t>*** p&lt;0.01, ** p&lt;0.05, * p&lt;0.1</w:t>
            </w:r>
          </w:p>
          <w:p w14:paraId="769F7858" w14:textId="598FB136" w:rsidR="007F518A" w:rsidRPr="0004264F" w:rsidRDefault="007F518A" w:rsidP="007F518A">
            <w:pPr>
              <w:widowControl w:val="0"/>
              <w:autoSpaceDE w:val="0"/>
              <w:autoSpaceDN w:val="0"/>
              <w:adjustRightInd w:val="0"/>
              <w:spacing w:after="0"/>
              <w:rPr>
                <w:rFonts w:cstheme="majorBidi"/>
                <w:i/>
                <w:iCs/>
                <w:sz w:val="20"/>
                <w:szCs w:val="20"/>
              </w:rPr>
            </w:pPr>
          </w:p>
        </w:tc>
      </w:tr>
    </w:tbl>
    <w:p w14:paraId="3635BCC4" w14:textId="77777777" w:rsidR="006B79A4" w:rsidRPr="0004264F" w:rsidRDefault="006B79A4" w:rsidP="00BE01FF">
      <w:pPr>
        <w:rPr>
          <w:rFonts w:cstheme="majorBidi"/>
          <w:b/>
          <w:bCs/>
          <w:sz w:val="20"/>
          <w:szCs w:val="20"/>
        </w:rPr>
      </w:pPr>
    </w:p>
    <w:p w14:paraId="5FBE9DD6" w14:textId="5910BBFE" w:rsidR="006B79A4" w:rsidRPr="0004264F" w:rsidRDefault="006B79A4" w:rsidP="00BE01FF">
      <w:pPr>
        <w:rPr>
          <w:rFonts w:cstheme="majorBidi"/>
          <w:b/>
          <w:bCs/>
          <w:sz w:val="20"/>
          <w:szCs w:val="20"/>
        </w:rPr>
      </w:pPr>
    </w:p>
    <w:p w14:paraId="7208DF8E" w14:textId="0602D1C7" w:rsidR="006B79A4" w:rsidRPr="0004264F" w:rsidRDefault="006B79A4" w:rsidP="00BE01FF">
      <w:pPr>
        <w:rPr>
          <w:rFonts w:cstheme="majorBidi"/>
          <w:b/>
          <w:bCs/>
          <w:sz w:val="20"/>
          <w:szCs w:val="20"/>
        </w:rPr>
      </w:pPr>
    </w:p>
    <w:p w14:paraId="353682E1" w14:textId="112C7223" w:rsidR="006B79A4" w:rsidRPr="0004264F" w:rsidRDefault="006B79A4" w:rsidP="00BE01FF">
      <w:pPr>
        <w:rPr>
          <w:rFonts w:cstheme="majorBidi"/>
          <w:b/>
          <w:bCs/>
          <w:sz w:val="20"/>
          <w:szCs w:val="20"/>
        </w:rPr>
      </w:pPr>
    </w:p>
    <w:p w14:paraId="7123718B" w14:textId="31B2E0D0" w:rsidR="006B79A4" w:rsidRPr="0004264F" w:rsidRDefault="006B79A4" w:rsidP="00BE01FF">
      <w:pPr>
        <w:rPr>
          <w:rFonts w:cstheme="majorBidi"/>
          <w:b/>
          <w:bCs/>
          <w:sz w:val="20"/>
          <w:szCs w:val="20"/>
        </w:rPr>
      </w:pPr>
    </w:p>
    <w:p w14:paraId="36676B52" w14:textId="141D1EF9" w:rsidR="006B79A4" w:rsidRPr="0004264F" w:rsidRDefault="006B79A4" w:rsidP="00BE01FF">
      <w:pPr>
        <w:rPr>
          <w:rFonts w:cstheme="majorBidi"/>
          <w:b/>
          <w:bCs/>
          <w:sz w:val="20"/>
          <w:szCs w:val="20"/>
        </w:rPr>
      </w:pPr>
    </w:p>
    <w:p w14:paraId="3C39EB82" w14:textId="41E0CFC0" w:rsidR="006B79A4" w:rsidRPr="0004264F" w:rsidRDefault="006B79A4" w:rsidP="00BE01FF">
      <w:pPr>
        <w:rPr>
          <w:rFonts w:cstheme="majorBidi"/>
          <w:b/>
          <w:bCs/>
          <w:sz w:val="20"/>
          <w:szCs w:val="20"/>
        </w:rPr>
      </w:pPr>
    </w:p>
    <w:p w14:paraId="688ECBB2" w14:textId="1FF12571" w:rsidR="006B79A4" w:rsidRPr="0004264F" w:rsidRDefault="006B79A4" w:rsidP="00BE01FF">
      <w:pPr>
        <w:rPr>
          <w:rFonts w:cstheme="majorBidi"/>
          <w:b/>
          <w:bCs/>
          <w:sz w:val="20"/>
          <w:szCs w:val="20"/>
        </w:rPr>
      </w:pPr>
    </w:p>
    <w:p w14:paraId="0BDFBA91" w14:textId="77777777" w:rsidR="006B79A4" w:rsidRPr="0004264F" w:rsidRDefault="006B79A4" w:rsidP="00BE01FF">
      <w:pPr>
        <w:rPr>
          <w:rFonts w:cstheme="majorBidi"/>
          <w:b/>
          <w:bCs/>
          <w:sz w:val="20"/>
          <w:szCs w:val="20"/>
        </w:rPr>
        <w:sectPr w:rsidR="006B79A4" w:rsidRPr="0004264F" w:rsidSect="00847BB4">
          <w:pgSz w:w="12240" w:h="15840" w:code="1"/>
          <w:pgMar w:top="1440" w:right="1440" w:bottom="1440" w:left="1440" w:header="720" w:footer="720" w:gutter="0"/>
          <w:cols w:space="720"/>
          <w:docGrid w:linePitch="360"/>
        </w:sectPr>
      </w:pPr>
    </w:p>
    <w:p w14:paraId="01362271" w14:textId="4438F7A6" w:rsidR="006B79A4" w:rsidRPr="0004264F" w:rsidRDefault="006B79A4" w:rsidP="00BE01FF">
      <w:pPr>
        <w:rPr>
          <w:rFonts w:cstheme="majorBidi"/>
          <w:b/>
          <w:bCs/>
          <w:sz w:val="20"/>
          <w:szCs w:val="20"/>
        </w:rPr>
      </w:pPr>
    </w:p>
    <w:p w14:paraId="58816555" w14:textId="17B21883" w:rsidR="006B79A4" w:rsidRPr="0004264F" w:rsidRDefault="006B79A4" w:rsidP="00BE01FF">
      <w:pPr>
        <w:rPr>
          <w:rFonts w:cstheme="majorBidi"/>
          <w:b/>
          <w:bCs/>
          <w:sz w:val="20"/>
          <w:szCs w:val="20"/>
        </w:rPr>
      </w:pPr>
    </w:p>
    <w:p w14:paraId="26632498" w14:textId="5BC5B14D" w:rsidR="006B79A4" w:rsidRPr="0004264F" w:rsidRDefault="006B79A4" w:rsidP="00BE01FF">
      <w:pPr>
        <w:rPr>
          <w:rFonts w:cstheme="majorBidi"/>
          <w:b/>
          <w:bCs/>
          <w:sz w:val="20"/>
          <w:szCs w:val="20"/>
        </w:rPr>
      </w:pPr>
    </w:p>
    <w:p w14:paraId="5550D226" w14:textId="67287869" w:rsidR="00B751B8" w:rsidRPr="0004264F" w:rsidRDefault="00B751B8" w:rsidP="00B751B8">
      <w:pPr>
        <w:pStyle w:val="Caption"/>
        <w:keepNext/>
        <w:bidi w:val="0"/>
        <w:rPr>
          <w:rFonts w:cstheme="majorBidi"/>
        </w:rPr>
      </w:pPr>
      <w:bookmarkStart w:id="32" w:name="_Ref111407951"/>
      <w:r w:rsidRPr="0004264F">
        <w:rPr>
          <w:rFonts w:cstheme="majorBidi"/>
        </w:rPr>
        <w:t xml:space="preserve">Appendix Table </w:t>
      </w:r>
      <w:r w:rsidRPr="0004264F">
        <w:rPr>
          <w:rFonts w:cstheme="majorBidi"/>
        </w:rPr>
        <w:fldChar w:fldCharType="begin"/>
      </w:r>
      <w:r w:rsidRPr="0004264F">
        <w:rPr>
          <w:rFonts w:cstheme="majorBidi"/>
        </w:rPr>
        <w:instrText xml:space="preserve"> STYLEREF 3 \s </w:instrText>
      </w:r>
      <w:r w:rsidRPr="0004264F">
        <w:rPr>
          <w:rFonts w:cstheme="majorBidi"/>
        </w:rPr>
        <w:fldChar w:fldCharType="separate"/>
      </w:r>
      <w:r w:rsidR="00CA5B9D" w:rsidRPr="0004264F">
        <w:rPr>
          <w:rFonts w:cstheme="majorBidi"/>
          <w:noProof/>
        </w:rPr>
        <w:t>D</w:t>
      </w:r>
      <w:r w:rsidRPr="0004264F">
        <w:rPr>
          <w:rFonts w:cstheme="majorBidi"/>
          <w:noProof/>
        </w:rPr>
        <w:fldChar w:fldCharType="end"/>
      </w:r>
      <w:r w:rsidRPr="0004264F">
        <w:rPr>
          <w:rFonts w:cstheme="majorBidi"/>
        </w:rPr>
        <w:noBreakHyphen/>
      </w:r>
      <w:r w:rsidRPr="0004264F">
        <w:rPr>
          <w:rFonts w:cstheme="majorBidi"/>
        </w:rPr>
        <w:fldChar w:fldCharType="begin"/>
      </w:r>
      <w:r w:rsidRPr="0004264F">
        <w:rPr>
          <w:rFonts w:cstheme="majorBidi"/>
        </w:rPr>
        <w:instrText xml:space="preserve"> SEQ Appendix_Table \* ARABIC \s 3 </w:instrText>
      </w:r>
      <w:r w:rsidRPr="0004264F">
        <w:rPr>
          <w:rFonts w:cstheme="majorBidi"/>
        </w:rPr>
        <w:fldChar w:fldCharType="separate"/>
      </w:r>
      <w:r w:rsidR="00CA5B9D" w:rsidRPr="0004264F">
        <w:rPr>
          <w:rFonts w:cstheme="majorBidi"/>
          <w:noProof/>
        </w:rPr>
        <w:t>2</w:t>
      </w:r>
      <w:r w:rsidRPr="0004264F">
        <w:rPr>
          <w:rFonts w:cstheme="majorBidi"/>
          <w:noProof/>
        </w:rPr>
        <w:fldChar w:fldCharType="end"/>
      </w:r>
      <w:bookmarkEnd w:id="32"/>
      <w:r w:rsidRPr="0004264F">
        <w:rPr>
          <w:rFonts w:cstheme="majorBidi"/>
        </w:rPr>
        <w:t xml:space="preserve"> - Deposits and Mothers</w:t>
      </w:r>
      <w:r w:rsidR="00060936" w:rsidRPr="0004264F">
        <w:rPr>
          <w:rFonts w:cstheme="majorBidi"/>
        </w:rPr>
        <w:t>’</w:t>
      </w:r>
      <w:r w:rsidRPr="0004264F">
        <w:rPr>
          <w:rFonts w:cstheme="majorBidi"/>
        </w:rPr>
        <w:t xml:space="preserve"> Schooling Using 1940 Full-Count Census</w:t>
      </w:r>
    </w:p>
    <w:tbl>
      <w:tblPr>
        <w:tblW w:w="9408" w:type="dxa"/>
        <w:jc w:val="center"/>
        <w:tblLayout w:type="fixed"/>
        <w:tblLook w:val="0000" w:firstRow="0" w:lastRow="0" w:firstColumn="0" w:lastColumn="0" w:noHBand="0" w:noVBand="0"/>
      </w:tblPr>
      <w:tblGrid>
        <w:gridCol w:w="2732"/>
        <w:gridCol w:w="1620"/>
        <w:gridCol w:w="1684"/>
        <w:gridCol w:w="1684"/>
        <w:gridCol w:w="1688"/>
      </w:tblGrid>
      <w:tr w:rsidR="00B751B8" w:rsidRPr="0004264F" w14:paraId="2DCD85ED" w14:textId="77777777" w:rsidTr="00B751B8">
        <w:trPr>
          <w:trHeight w:val="237"/>
          <w:jc w:val="center"/>
        </w:trPr>
        <w:tc>
          <w:tcPr>
            <w:tcW w:w="2732" w:type="dxa"/>
            <w:tcBorders>
              <w:top w:val="single" w:sz="4" w:space="0" w:color="auto"/>
              <w:left w:val="nil"/>
              <w:bottom w:val="nil"/>
              <w:right w:val="nil"/>
            </w:tcBorders>
          </w:tcPr>
          <w:p w14:paraId="5234920E" w14:textId="77777777" w:rsidR="00B751B8" w:rsidRPr="0004264F" w:rsidRDefault="00B751B8" w:rsidP="00D9745C">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w:t>
            </w:r>
          </w:p>
        </w:tc>
        <w:tc>
          <w:tcPr>
            <w:tcW w:w="6676" w:type="dxa"/>
            <w:gridSpan w:val="4"/>
            <w:tcBorders>
              <w:top w:val="single" w:sz="4" w:space="0" w:color="auto"/>
              <w:left w:val="nil"/>
              <w:bottom w:val="single" w:sz="4" w:space="0" w:color="auto"/>
              <w:right w:val="nil"/>
            </w:tcBorders>
          </w:tcPr>
          <w:p w14:paraId="5AD162F0" w14:textId="5783BFF4" w:rsidR="00B751B8" w:rsidRPr="0004264F" w:rsidRDefault="00B751B8" w:rsidP="00D9745C">
            <w:pPr>
              <w:widowControl w:val="0"/>
              <w:autoSpaceDE w:val="0"/>
              <w:autoSpaceDN w:val="0"/>
              <w:adjustRightInd w:val="0"/>
              <w:spacing w:after="0"/>
              <w:jc w:val="center"/>
              <w:rPr>
                <w:rFonts w:cstheme="majorBidi"/>
                <w:b/>
                <w:bCs/>
                <w:i/>
                <w:iCs/>
                <w:sz w:val="20"/>
                <w:szCs w:val="20"/>
              </w:rPr>
            </w:pPr>
            <w:r w:rsidRPr="0004264F">
              <w:rPr>
                <w:rFonts w:cstheme="majorBidi"/>
                <w:b/>
                <w:bCs/>
                <w:i/>
                <w:iCs/>
                <w:sz w:val="20"/>
                <w:szCs w:val="20"/>
              </w:rPr>
              <w:t>Outcomes:</w:t>
            </w:r>
          </w:p>
        </w:tc>
      </w:tr>
      <w:tr w:rsidR="00B751B8" w:rsidRPr="0004264F" w14:paraId="4A13A2B2" w14:textId="77777777" w:rsidTr="00BF3125">
        <w:trPr>
          <w:trHeight w:val="432"/>
          <w:jc w:val="center"/>
        </w:trPr>
        <w:tc>
          <w:tcPr>
            <w:tcW w:w="2732" w:type="dxa"/>
            <w:tcBorders>
              <w:top w:val="nil"/>
              <w:left w:val="nil"/>
              <w:right w:val="nil"/>
            </w:tcBorders>
          </w:tcPr>
          <w:p w14:paraId="082A066C" w14:textId="77777777" w:rsidR="00B751B8" w:rsidRPr="0004264F" w:rsidRDefault="00B751B8" w:rsidP="00B751B8">
            <w:pPr>
              <w:widowControl w:val="0"/>
              <w:autoSpaceDE w:val="0"/>
              <w:autoSpaceDN w:val="0"/>
              <w:adjustRightInd w:val="0"/>
              <w:spacing w:after="0"/>
              <w:jc w:val="center"/>
              <w:rPr>
                <w:rFonts w:cstheme="majorBidi"/>
                <w:sz w:val="20"/>
                <w:szCs w:val="20"/>
              </w:rPr>
            </w:pPr>
          </w:p>
        </w:tc>
        <w:tc>
          <w:tcPr>
            <w:tcW w:w="1620" w:type="dxa"/>
            <w:tcBorders>
              <w:top w:val="single" w:sz="4" w:space="0" w:color="auto"/>
              <w:left w:val="nil"/>
              <w:bottom w:val="single" w:sz="4" w:space="0" w:color="auto"/>
              <w:right w:val="nil"/>
            </w:tcBorders>
          </w:tcPr>
          <w:p w14:paraId="4F450878" w14:textId="3BE325E2"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Mother’s Years of Schooling</w:t>
            </w:r>
          </w:p>
        </w:tc>
        <w:tc>
          <w:tcPr>
            <w:tcW w:w="1684" w:type="dxa"/>
            <w:tcBorders>
              <w:top w:val="single" w:sz="4" w:space="0" w:color="auto"/>
              <w:left w:val="nil"/>
              <w:bottom w:val="single" w:sz="4" w:space="0" w:color="auto"/>
              <w:right w:val="nil"/>
            </w:tcBorders>
          </w:tcPr>
          <w:p w14:paraId="2662B604" w14:textId="783EC109"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Mother’s Education &lt; HS</w:t>
            </w:r>
          </w:p>
        </w:tc>
        <w:tc>
          <w:tcPr>
            <w:tcW w:w="1684" w:type="dxa"/>
            <w:tcBorders>
              <w:top w:val="single" w:sz="4" w:space="0" w:color="auto"/>
              <w:left w:val="nil"/>
              <w:bottom w:val="single" w:sz="4" w:space="0" w:color="auto"/>
              <w:right w:val="nil"/>
            </w:tcBorders>
          </w:tcPr>
          <w:p w14:paraId="33ED89CD" w14:textId="5B210146"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Mother’s Education = HS</w:t>
            </w:r>
          </w:p>
        </w:tc>
        <w:tc>
          <w:tcPr>
            <w:tcW w:w="1688" w:type="dxa"/>
            <w:tcBorders>
              <w:top w:val="single" w:sz="4" w:space="0" w:color="auto"/>
              <w:left w:val="nil"/>
              <w:bottom w:val="single" w:sz="4" w:space="0" w:color="auto"/>
              <w:right w:val="nil"/>
            </w:tcBorders>
          </w:tcPr>
          <w:p w14:paraId="3ACC48DA" w14:textId="3A3F47DB"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Mother’s Education &gt; HS</w:t>
            </w:r>
          </w:p>
        </w:tc>
      </w:tr>
      <w:tr w:rsidR="00B751B8" w:rsidRPr="0004264F" w14:paraId="5494A361" w14:textId="77777777" w:rsidTr="00BF3125">
        <w:trPr>
          <w:trHeight w:val="237"/>
          <w:jc w:val="center"/>
        </w:trPr>
        <w:tc>
          <w:tcPr>
            <w:tcW w:w="2732" w:type="dxa"/>
            <w:tcBorders>
              <w:top w:val="nil"/>
              <w:left w:val="nil"/>
              <w:bottom w:val="single" w:sz="4" w:space="0" w:color="auto"/>
              <w:right w:val="nil"/>
            </w:tcBorders>
          </w:tcPr>
          <w:p w14:paraId="4097AECA" w14:textId="77777777"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w:t>
            </w:r>
          </w:p>
        </w:tc>
        <w:tc>
          <w:tcPr>
            <w:tcW w:w="1620" w:type="dxa"/>
            <w:tcBorders>
              <w:top w:val="single" w:sz="4" w:space="0" w:color="auto"/>
              <w:left w:val="nil"/>
              <w:bottom w:val="single" w:sz="4" w:space="0" w:color="auto"/>
              <w:right w:val="nil"/>
            </w:tcBorders>
          </w:tcPr>
          <w:p w14:paraId="16193F1F" w14:textId="075A93EE"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(1)</w:t>
            </w:r>
          </w:p>
        </w:tc>
        <w:tc>
          <w:tcPr>
            <w:tcW w:w="1684" w:type="dxa"/>
            <w:tcBorders>
              <w:top w:val="single" w:sz="4" w:space="0" w:color="auto"/>
              <w:left w:val="nil"/>
              <w:bottom w:val="single" w:sz="4" w:space="0" w:color="auto"/>
              <w:right w:val="nil"/>
            </w:tcBorders>
          </w:tcPr>
          <w:p w14:paraId="61974387" w14:textId="7B491BF3"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(2)</w:t>
            </w:r>
          </w:p>
        </w:tc>
        <w:tc>
          <w:tcPr>
            <w:tcW w:w="1684" w:type="dxa"/>
            <w:tcBorders>
              <w:top w:val="single" w:sz="4" w:space="0" w:color="auto"/>
              <w:left w:val="nil"/>
              <w:bottom w:val="single" w:sz="4" w:space="0" w:color="auto"/>
              <w:right w:val="nil"/>
            </w:tcBorders>
          </w:tcPr>
          <w:p w14:paraId="030685E3" w14:textId="3D7FC5B5"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(3)</w:t>
            </w:r>
          </w:p>
        </w:tc>
        <w:tc>
          <w:tcPr>
            <w:tcW w:w="1688" w:type="dxa"/>
            <w:tcBorders>
              <w:top w:val="single" w:sz="4" w:space="0" w:color="auto"/>
              <w:left w:val="nil"/>
              <w:bottom w:val="single" w:sz="4" w:space="0" w:color="auto"/>
              <w:right w:val="nil"/>
            </w:tcBorders>
          </w:tcPr>
          <w:p w14:paraId="2C4B01E6" w14:textId="00535B8B" w:rsidR="00B751B8" w:rsidRPr="0004264F" w:rsidRDefault="00B751B8" w:rsidP="00B751B8">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(4)</w:t>
            </w:r>
          </w:p>
        </w:tc>
      </w:tr>
      <w:tr w:rsidR="007F518A" w:rsidRPr="0004264F" w14:paraId="783DE58C" w14:textId="77777777" w:rsidTr="00BF3125">
        <w:trPr>
          <w:trHeight w:val="237"/>
          <w:jc w:val="center"/>
        </w:trPr>
        <w:tc>
          <w:tcPr>
            <w:tcW w:w="2732" w:type="dxa"/>
            <w:vMerge w:val="restart"/>
            <w:tcBorders>
              <w:top w:val="single" w:sz="4" w:space="0" w:color="auto"/>
              <w:left w:val="nil"/>
              <w:right w:val="nil"/>
            </w:tcBorders>
            <w:vAlign w:val="center"/>
          </w:tcPr>
          <w:p w14:paraId="654CB460" w14:textId="06956592"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Deposits per Capita (STD)</w:t>
            </w:r>
            <w:r w:rsidRPr="0004264F">
              <w:rPr>
                <w:rFonts w:cstheme="majorBidi"/>
                <w:sz w:val="20"/>
                <w:szCs w:val="20"/>
              </w:rPr>
              <w:t xml:space="preserve">  </w:t>
            </w:r>
          </w:p>
        </w:tc>
        <w:tc>
          <w:tcPr>
            <w:tcW w:w="1620" w:type="dxa"/>
            <w:tcBorders>
              <w:top w:val="single" w:sz="4" w:space="0" w:color="auto"/>
              <w:left w:val="nil"/>
              <w:bottom w:val="nil"/>
              <w:right w:val="nil"/>
            </w:tcBorders>
          </w:tcPr>
          <w:p w14:paraId="4AB0B58B" w14:textId="6BDB5833"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-.00293</w:t>
            </w:r>
          </w:p>
        </w:tc>
        <w:tc>
          <w:tcPr>
            <w:tcW w:w="1684" w:type="dxa"/>
            <w:tcBorders>
              <w:top w:val="single" w:sz="4" w:space="0" w:color="auto"/>
              <w:left w:val="nil"/>
              <w:bottom w:val="nil"/>
              <w:right w:val="nil"/>
            </w:tcBorders>
          </w:tcPr>
          <w:p w14:paraId="78317A32" w14:textId="58D3A02D"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.00067*</w:t>
            </w:r>
          </w:p>
        </w:tc>
        <w:tc>
          <w:tcPr>
            <w:tcW w:w="1684" w:type="dxa"/>
            <w:tcBorders>
              <w:top w:val="single" w:sz="4" w:space="0" w:color="auto"/>
              <w:left w:val="nil"/>
              <w:bottom w:val="nil"/>
              <w:right w:val="nil"/>
            </w:tcBorders>
          </w:tcPr>
          <w:p w14:paraId="1D29D52A" w14:textId="49B4BDBB"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-.00079</w:t>
            </w:r>
          </w:p>
        </w:tc>
        <w:tc>
          <w:tcPr>
            <w:tcW w:w="1688" w:type="dxa"/>
            <w:tcBorders>
              <w:top w:val="single" w:sz="4" w:space="0" w:color="auto"/>
              <w:left w:val="nil"/>
              <w:bottom w:val="nil"/>
              <w:right w:val="nil"/>
            </w:tcBorders>
          </w:tcPr>
          <w:p w14:paraId="68E36F9E" w14:textId="35DF918A"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-.00008</w:t>
            </w:r>
          </w:p>
        </w:tc>
      </w:tr>
      <w:tr w:rsidR="007F518A" w:rsidRPr="0004264F" w14:paraId="3A50D0FD" w14:textId="77777777" w:rsidTr="00BF3125">
        <w:trPr>
          <w:trHeight w:val="237"/>
          <w:jc w:val="center"/>
        </w:trPr>
        <w:tc>
          <w:tcPr>
            <w:tcW w:w="2732" w:type="dxa"/>
            <w:vMerge/>
            <w:tcBorders>
              <w:left w:val="nil"/>
              <w:bottom w:val="nil"/>
              <w:right w:val="nil"/>
            </w:tcBorders>
            <w:vAlign w:val="center"/>
          </w:tcPr>
          <w:p w14:paraId="799C344D" w14:textId="334BFEB8" w:rsidR="007F518A" w:rsidRPr="0004264F" w:rsidRDefault="007F518A" w:rsidP="007F518A">
            <w:pPr>
              <w:widowControl w:val="0"/>
              <w:autoSpaceDE w:val="0"/>
              <w:autoSpaceDN w:val="0"/>
              <w:adjustRightInd w:val="0"/>
              <w:spacing w:after="0"/>
              <w:rPr>
                <w:rFonts w:cstheme="majorBidi"/>
                <w:sz w:val="20"/>
                <w:szCs w:val="20"/>
              </w:rPr>
            </w:pPr>
          </w:p>
        </w:tc>
        <w:tc>
          <w:tcPr>
            <w:tcW w:w="1620" w:type="dxa"/>
            <w:tcBorders>
              <w:top w:val="nil"/>
              <w:left w:val="nil"/>
              <w:bottom w:val="nil"/>
              <w:right w:val="nil"/>
            </w:tcBorders>
          </w:tcPr>
          <w:p w14:paraId="788F6555" w14:textId="5CDF3678"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(.00251)</w:t>
            </w:r>
          </w:p>
        </w:tc>
        <w:tc>
          <w:tcPr>
            <w:tcW w:w="1684" w:type="dxa"/>
            <w:tcBorders>
              <w:top w:val="nil"/>
              <w:left w:val="nil"/>
              <w:bottom w:val="nil"/>
              <w:right w:val="nil"/>
            </w:tcBorders>
          </w:tcPr>
          <w:p w14:paraId="302F555B" w14:textId="7A39838A"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(.00037)</w:t>
            </w:r>
          </w:p>
        </w:tc>
        <w:tc>
          <w:tcPr>
            <w:tcW w:w="1684" w:type="dxa"/>
            <w:tcBorders>
              <w:top w:val="nil"/>
              <w:left w:val="nil"/>
              <w:bottom w:val="nil"/>
              <w:right w:val="nil"/>
            </w:tcBorders>
          </w:tcPr>
          <w:p w14:paraId="22EA580E" w14:textId="0B783F32"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(.0005)</w:t>
            </w:r>
          </w:p>
        </w:tc>
        <w:tc>
          <w:tcPr>
            <w:tcW w:w="1688" w:type="dxa"/>
            <w:tcBorders>
              <w:top w:val="nil"/>
              <w:left w:val="nil"/>
              <w:bottom w:val="nil"/>
              <w:right w:val="nil"/>
            </w:tcBorders>
          </w:tcPr>
          <w:p w14:paraId="1340DC51" w14:textId="1F1D1099"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(.00008)</w:t>
            </w:r>
          </w:p>
        </w:tc>
      </w:tr>
      <w:tr w:rsidR="007F518A" w:rsidRPr="0004264F" w14:paraId="3554BDB7" w14:textId="77777777" w:rsidTr="00BF3125">
        <w:trPr>
          <w:trHeight w:val="250"/>
          <w:jc w:val="center"/>
        </w:trPr>
        <w:tc>
          <w:tcPr>
            <w:tcW w:w="2732" w:type="dxa"/>
            <w:tcBorders>
              <w:top w:val="nil"/>
              <w:left w:val="nil"/>
              <w:bottom w:val="nil"/>
              <w:right w:val="nil"/>
            </w:tcBorders>
            <w:vAlign w:val="center"/>
          </w:tcPr>
          <w:p w14:paraId="496E5147" w14:textId="693759DF"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Observations</w:t>
            </w:r>
          </w:p>
        </w:tc>
        <w:tc>
          <w:tcPr>
            <w:tcW w:w="1620" w:type="dxa"/>
            <w:tcBorders>
              <w:top w:val="nil"/>
              <w:left w:val="nil"/>
              <w:bottom w:val="nil"/>
              <w:right w:val="nil"/>
            </w:tcBorders>
          </w:tcPr>
          <w:p w14:paraId="2830E2B1" w14:textId="3912703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32373</w:t>
            </w:r>
          </w:p>
        </w:tc>
        <w:tc>
          <w:tcPr>
            <w:tcW w:w="1684" w:type="dxa"/>
            <w:tcBorders>
              <w:top w:val="nil"/>
              <w:left w:val="nil"/>
              <w:bottom w:val="nil"/>
              <w:right w:val="nil"/>
            </w:tcBorders>
          </w:tcPr>
          <w:p w14:paraId="7675683B" w14:textId="13687F8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32400</w:t>
            </w:r>
          </w:p>
        </w:tc>
        <w:tc>
          <w:tcPr>
            <w:tcW w:w="1684" w:type="dxa"/>
            <w:tcBorders>
              <w:top w:val="nil"/>
              <w:left w:val="nil"/>
              <w:bottom w:val="nil"/>
              <w:right w:val="nil"/>
            </w:tcBorders>
          </w:tcPr>
          <w:p w14:paraId="112C87A9" w14:textId="2AF1D7DB"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32400</w:t>
            </w:r>
          </w:p>
        </w:tc>
        <w:tc>
          <w:tcPr>
            <w:tcW w:w="1688" w:type="dxa"/>
            <w:tcBorders>
              <w:top w:val="nil"/>
              <w:left w:val="nil"/>
              <w:bottom w:val="nil"/>
              <w:right w:val="nil"/>
            </w:tcBorders>
          </w:tcPr>
          <w:p w14:paraId="745D2B58" w14:textId="1AF2B6AA"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32400</w:t>
            </w:r>
          </w:p>
        </w:tc>
      </w:tr>
      <w:tr w:rsidR="007F518A" w:rsidRPr="0004264F" w14:paraId="0634A55F" w14:textId="77777777" w:rsidTr="00BF3125">
        <w:trPr>
          <w:trHeight w:val="237"/>
          <w:jc w:val="center"/>
        </w:trPr>
        <w:tc>
          <w:tcPr>
            <w:tcW w:w="2732" w:type="dxa"/>
            <w:tcBorders>
              <w:top w:val="nil"/>
              <w:left w:val="nil"/>
              <w:bottom w:val="nil"/>
              <w:right w:val="nil"/>
            </w:tcBorders>
            <w:vAlign w:val="center"/>
          </w:tcPr>
          <w:p w14:paraId="0EFEDAF1" w14:textId="3C714D03"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R-squared</w:t>
            </w:r>
          </w:p>
        </w:tc>
        <w:tc>
          <w:tcPr>
            <w:tcW w:w="1620" w:type="dxa"/>
            <w:tcBorders>
              <w:top w:val="nil"/>
              <w:left w:val="nil"/>
              <w:bottom w:val="nil"/>
              <w:right w:val="nil"/>
            </w:tcBorders>
          </w:tcPr>
          <w:p w14:paraId="622211A3" w14:textId="6C5663E2"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.98387</w:t>
            </w:r>
          </w:p>
        </w:tc>
        <w:tc>
          <w:tcPr>
            <w:tcW w:w="1684" w:type="dxa"/>
            <w:tcBorders>
              <w:top w:val="nil"/>
              <w:left w:val="nil"/>
              <w:bottom w:val="nil"/>
              <w:right w:val="nil"/>
            </w:tcBorders>
          </w:tcPr>
          <w:p w14:paraId="500B7BFF" w14:textId="4942C3E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.98448</w:t>
            </w:r>
          </w:p>
        </w:tc>
        <w:tc>
          <w:tcPr>
            <w:tcW w:w="1684" w:type="dxa"/>
            <w:tcBorders>
              <w:top w:val="nil"/>
              <w:left w:val="nil"/>
              <w:bottom w:val="nil"/>
              <w:right w:val="nil"/>
            </w:tcBorders>
          </w:tcPr>
          <w:p w14:paraId="63A0C10C" w14:textId="21630117"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.98181</w:t>
            </w:r>
          </w:p>
        </w:tc>
        <w:tc>
          <w:tcPr>
            <w:tcW w:w="1688" w:type="dxa"/>
            <w:tcBorders>
              <w:top w:val="nil"/>
              <w:left w:val="nil"/>
              <w:bottom w:val="nil"/>
              <w:right w:val="nil"/>
            </w:tcBorders>
          </w:tcPr>
          <w:p w14:paraId="291ADA47" w14:textId="6E2D865A"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.93932</w:t>
            </w:r>
          </w:p>
        </w:tc>
      </w:tr>
      <w:tr w:rsidR="007F518A" w:rsidRPr="0004264F" w14:paraId="0EBAF9E9" w14:textId="77777777" w:rsidTr="00BF3125">
        <w:trPr>
          <w:trHeight w:val="237"/>
          <w:jc w:val="center"/>
        </w:trPr>
        <w:tc>
          <w:tcPr>
            <w:tcW w:w="2732" w:type="dxa"/>
            <w:tcBorders>
              <w:top w:val="nil"/>
              <w:left w:val="nil"/>
              <w:bottom w:val="nil"/>
              <w:right w:val="nil"/>
            </w:tcBorders>
            <w:vAlign w:val="center"/>
          </w:tcPr>
          <w:p w14:paraId="2CB8DD3E" w14:textId="7280D6A5"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Mean DV</w:t>
            </w:r>
          </w:p>
        </w:tc>
        <w:tc>
          <w:tcPr>
            <w:tcW w:w="1620" w:type="dxa"/>
            <w:tcBorders>
              <w:top w:val="nil"/>
              <w:left w:val="nil"/>
              <w:bottom w:val="nil"/>
              <w:right w:val="nil"/>
            </w:tcBorders>
          </w:tcPr>
          <w:p w14:paraId="4B0C620C" w14:textId="638810F8"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8.189</w:t>
            </w:r>
          </w:p>
        </w:tc>
        <w:tc>
          <w:tcPr>
            <w:tcW w:w="1684" w:type="dxa"/>
            <w:tcBorders>
              <w:top w:val="nil"/>
              <w:left w:val="nil"/>
              <w:bottom w:val="nil"/>
              <w:right w:val="nil"/>
            </w:tcBorders>
          </w:tcPr>
          <w:p w14:paraId="351A4DFC" w14:textId="75FFF80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0.568</w:t>
            </w:r>
          </w:p>
        </w:tc>
        <w:tc>
          <w:tcPr>
            <w:tcW w:w="1684" w:type="dxa"/>
            <w:tcBorders>
              <w:top w:val="nil"/>
              <w:left w:val="nil"/>
              <w:bottom w:val="nil"/>
              <w:right w:val="nil"/>
            </w:tcBorders>
          </w:tcPr>
          <w:p w14:paraId="4D2E9E67" w14:textId="77DBCB28"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0.292</w:t>
            </w:r>
          </w:p>
        </w:tc>
        <w:tc>
          <w:tcPr>
            <w:tcW w:w="1688" w:type="dxa"/>
            <w:tcBorders>
              <w:top w:val="nil"/>
              <w:left w:val="nil"/>
              <w:bottom w:val="nil"/>
              <w:right w:val="nil"/>
            </w:tcBorders>
          </w:tcPr>
          <w:p w14:paraId="107FB7CD" w14:textId="460DC5D3"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0.059</w:t>
            </w:r>
          </w:p>
        </w:tc>
      </w:tr>
      <w:tr w:rsidR="007F518A" w:rsidRPr="0004264F" w14:paraId="29C056F2" w14:textId="77777777" w:rsidTr="00BF3125">
        <w:trPr>
          <w:trHeight w:val="237"/>
          <w:jc w:val="center"/>
        </w:trPr>
        <w:tc>
          <w:tcPr>
            <w:tcW w:w="2732" w:type="dxa"/>
            <w:tcBorders>
              <w:top w:val="nil"/>
              <w:left w:val="nil"/>
              <w:bottom w:val="single" w:sz="4" w:space="0" w:color="auto"/>
              <w:right w:val="nil"/>
            </w:tcBorders>
            <w:vAlign w:val="center"/>
          </w:tcPr>
          <w:p w14:paraId="3612093B" w14:textId="3D7DF829" w:rsidR="007F518A" w:rsidRPr="0004264F" w:rsidRDefault="007F518A" w:rsidP="007F518A">
            <w:pPr>
              <w:widowControl w:val="0"/>
              <w:autoSpaceDE w:val="0"/>
              <w:autoSpaceDN w:val="0"/>
              <w:adjustRightInd w:val="0"/>
              <w:spacing w:after="0"/>
              <w:rPr>
                <w:rFonts w:cstheme="majorBidi"/>
                <w:sz w:val="20"/>
                <w:szCs w:val="20"/>
              </w:rPr>
            </w:pPr>
            <w:r w:rsidRPr="0004264F">
              <w:rPr>
                <w:rFonts w:cstheme="majorBidi"/>
                <w:sz w:val="18"/>
                <w:szCs w:val="18"/>
              </w:rPr>
              <w:t>%Change</w:t>
            </w:r>
          </w:p>
        </w:tc>
        <w:tc>
          <w:tcPr>
            <w:tcW w:w="1620" w:type="dxa"/>
            <w:tcBorders>
              <w:top w:val="nil"/>
              <w:left w:val="nil"/>
              <w:bottom w:val="single" w:sz="4" w:space="0" w:color="auto"/>
              <w:right w:val="nil"/>
            </w:tcBorders>
          </w:tcPr>
          <w:p w14:paraId="6CF8EF01" w14:textId="196B1914"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-0.036</w:t>
            </w:r>
          </w:p>
        </w:tc>
        <w:tc>
          <w:tcPr>
            <w:tcW w:w="1684" w:type="dxa"/>
            <w:tcBorders>
              <w:top w:val="nil"/>
              <w:left w:val="nil"/>
              <w:bottom w:val="single" w:sz="4" w:space="0" w:color="auto"/>
              <w:right w:val="nil"/>
            </w:tcBorders>
          </w:tcPr>
          <w:p w14:paraId="24F5D9A6" w14:textId="3CADDD8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0.118</w:t>
            </w:r>
          </w:p>
        </w:tc>
        <w:tc>
          <w:tcPr>
            <w:tcW w:w="1684" w:type="dxa"/>
            <w:tcBorders>
              <w:top w:val="nil"/>
              <w:left w:val="nil"/>
              <w:bottom w:val="single" w:sz="4" w:space="0" w:color="auto"/>
              <w:right w:val="nil"/>
            </w:tcBorders>
          </w:tcPr>
          <w:p w14:paraId="06AB7885" w14:textId="7519100F"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-0.271</w:t>
            </w:r>
          </w:p>
        </w:tc>
        <w:tc>
          <w:tcPr>
            <w:tcW w:w="1688" w:type="dxa"/>
            <w:tcBorders>
              <w:top w:val="nil"/>
              <w:left w:val="nil"/>
              <w:bottom w:val="single" w:sz="4" w:space="0" w:color="auto"/>
              <w:right w:val="nil"/>
            </w:tcBorders>
          </w:tcPr>
          <w:p w14:paraId="7B3B372B" w14:textId="5D8A053C" w:rsidR="007F518A" w:rsidRPr="0004264F" w:rsidRDefault="007F518A" w:rsidP="007F518A">
            <w:pPr>
              <w:widowControl w:val="0"/>
              <w:autoSpaceDE w:val="0"/>
              <w:autoSpaceDN w:val="0"/>
              <w:adjustRightInd w:val="0"/>
              <w:spacing w:after="0"/>
              <w:jc w:val="center"/>
              <w:rPr>
                <w:rFonts w:cstheme="majorBidi"/>
                <w:sz w:val="20"/>
                <w:szCs w:val="20"/>
              </w:rPr>
            </w:pPr>
            <w:r w:rsidRPr="0004264F">
              <w:rPr>
                <w:rFonts w:cstheme="majorBidi"/>
                <w:sz w:val="20"/>
                <w:szCs w:val="20"/>
              </w:rPr>
              <w:t xml:space="preserve"> -0.137</w:t>
            </w:r>
          </w:p>
        </w:tc>
      </w:tr>
      <w:tr w:rsidR="00A57EB6" w:rsidRPr="0004264F" w14:paraId="5D8DF352" w14:textId="77777777" w:rsidTr="00BF3125">
        <w:trPr>
          <w:trHeight w:val="237"/>
          <w:jc w:val="center"/>
        </w:trPr>
        <w:tc>
          <w:tcPr>
            <w:tcW w:w="2732" w:type="dxa"/>
            <w:tcBorders>
              <w:top w:val="single" w:sz="4" w:space="0" w:color="auto"/>
              <w:left w:val="nil"/>
              <w:bottom w:val="nil"/>
              <w:right w:val="nil"/>
            </w:tcBorders>
            <w:vAlign w:val="center"/>
          </w:tcPr>
          <w:p w14:paraId="18418751" w14:textId="1039523C"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County and Year FE</w:t>
            </w:r>
          </w:p>
        </w:tc>
        <w:tc>
          <w:tcPr>
            <w:tcW w:w="1620" w:type="dxa"/>
            <w:tcBorders>
              <w:top w:val="single" w:sz="4" w:space="0" w:color="auto"/>
              <w:left w:val="nil"/>
              <w:bottom w:val="nil"/>
              <w:right w:val="nil"/>
            </w:tcBorders>
          </w:tcPr>
          <w:p w14:paraId="24F0F430" w14:textId="12F7BD52"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4" w:type="dxa"/>
            <w:tcBorders>
              <w:top w:val="single" w:sz="4" w:space="0" w:color="auto"/>
              <w:left w:val="nil"/>
              <w:bottom w:val="nil"/>
              <w:right w:val="nil"/>
            </w:tcBorders>
          </w:tcPr>
          <w:p w14:paraId="4AD48D09" w14:textId="4526A331"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4" w:type="dxa"/>
            <w:tcBorders>
              <w:top w:val="single" w:sz="4" w:space="0" w:color="auto"/>
              <w:left w:val="nil"/>
              <w:bottom w:val="nil"/>
              <w:right w:val="nil"/>
            </w:tcBorders>
          </w:tcPr>
          <w:p w14:paraId="57336391" w14:textId="764F75AD"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8" w:type="dxa"/>
            <w:tcBorders>
              <w:top w:val="single" w:sz="4" w:space="0" w:color="auto"/>
              <w:left w:val="nil"/>
              <w:bottom w:val="nil"/>
              <w:right w:val="nil"/>
            </w:tcBorders>
          </w:tcPr>
          <w:p w14:paraId="697F8E96" w14:textId="616256BF"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A57EB6" w:rsidRPr="0004264F" w14:paraId="48F70D15" w14:textId="77777777" w:rsidTr="00BF3125">
        <w:trPr>
          <w:trHeight w:val="237"/>
          <w:jc w:val="center"/>
        </w:trPr>
        <w:tc>
          <w:tcPr>
            <w:tcW w:w="2732" w:type="dxa"/>
            <w:tcBorders>
              <w:top w:val="nil"/>
              <w:left w:val="nil"/>
              <w:bottom w:val="nil"/>
              <w:right w:val="nil"/>
            </w:tcBorders>
            <w:vAlign w:val="center"/>
          </w:tcPr>
          <w:p w14:paraId="29BC8109" w14:textId="02148072"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Controls</w:t>
            </w:r>
          </w:p>
        </w:tc>
        <w:tc>
          <w:tcPr>
            <w:tcW w:w="1620" w:type="dxa"/>
            <w:tcBorders>
              <w:top w:val="nil"/>
              <w:left w:val="nil"/>
              <w:bottom w:val="nil"/>
              <w:right w:val="nil"/>
            </w:tcBorders>
          </w:tcPr>
          <w:p w14:paraId="3FAEED7E" w14:textId="14A6C29E"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4" w:type="dxa"/>
            <w:tcBorders>
              <w:top w:val="nil"/>
              <w:left w:val="nil"/>
              <w:bottom w:val="nil"/>
              <w:right w:val="nil"/>
            </w:tcBorders>
          </w:tcPr>
          <w:p w14:paraId="34D9CF98" w14:textId="5C84EA15"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4" w:type="dxa"/>
            <w:tcBorders>
              <w:top w:val="nil"/>
              <w:left w:val="nil"/>
              <w:bottom w:val="nil"/>
              <w:right w:val="nil"/>
            </w:tcBorders>
          </w:tcPr>
          <w:p w14:paraId="22FDC560" w14:textId="72151ACA"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8" w:type="dxa"/>
            <w:tcBorders>
              <w:top w:val="nil"/>
              <w:left w:val="nil"/>
              <w:bottom w:val="nil"/>
              <w:right w:val="nil"/>
            </w:tcBorders>
          </w:tcPr>
          <w:p w14:paraId="7C89AE77" w14:textId="2EB1BE8E"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A57EB6" w:rsidRPr="0004264F" w14:paraId="46171C64" w14:textId="77777777" w:rsidTr="00BF3125">
        <w:trPr>
          <w:trHeight w:val="237"/>
          <w:jc w:val="center"/>
        </w:trPr>
        <w:tc>
          <w:tcPr>
            <w:tcW w:w="2732" w:type="dxa"/>
            <w:tcBorders>
              <w:top w:val="nil"/>
              <w:left w:val="nil"/>
              <w:bottom w:val="nil"/>
              <w:right w:val="nil"/>
            </w:tcBorders>
            <w:vAlign w:val="center"/>
          </w:tcPr>
          <w:p w14:paraId="48BDB03A" w14:textId="73E81B22" w:rsidR="00A57EB6" w:rsidRPr="0004264F" w:rsidRDefault="00A57EB6" w:rsidP="00A57EB6">
            <w:pPr>
              <w:widowControl w:val="0"/>
              <w:autoSpaceDE w:val="0"/>
              <w:autoSpaceDN w:val="0"/>
              <w:adjustRightInd w:val="0"/>
              <w:spacing w:after="0"/>
              <w:rPr>
                <w:rFonts w:cstheme="majorBidi"/>
                <w:sz w:val="18"/>
                <w:szCs w:val="18"/>
              </w:rPr>
            </w:pPr>
            <w:r w:rsidRPr="0004264F">
              <w:rPr>
                <w:rFonts w:cstheme="majorBidi"/>
                <w:sz w:val="18"/>
                <w:szCs w:val="18"/>
              </w:rPr>
              <w:t>SEA-by-Year FE</w:t>
            </w:r>
          </w:p>
        </w:tc>
        <w:tc>
          <w:tcPr>
            <w:tcW w:w="1620" w:type="dxa"/>
            <w:tcBorders>
              <w:top w:val="nil"/>
              <w:left w:val="nil"/>
              <w:bottom w:val="nil"/>
              <w:right w:val="nil"/>
            </w:tcBorders>
          </w:tcPr>
          <w:p w14:paraId="301E737E" w14:textId="2A65E77B"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4" w:type="dxa"/>
            <w:tcBorders>
              <w:top w:val="nil"/>
              <w:left w:val="nil"/>
              <w:bottom w:val="nil"/>
              <w:right w:val="nil"/>
            </w:tcBorders>
          </w:tcPr>
          <w:p w14:paraId="1B417B1F" w14:textId="226E248A"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4" w:type="dxa"/>
            <w:tcBorders>
              <w:top w:val="nil"/>
              <w:left w:val="nil"/>
              <w:bottom w:val="nil"/>
              <w:right w:val="nil"/>
            </w:tcBorders>
          </w:tcPr>
          <w:p w14:paraId="3A1D1FA4" w14:textId="767C8737"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c>
          <w:tcPr>
            <w:tcW w:w="1688" w:type="dxa"/>
            <w:tcBorders>
              <w:top w:val="nil"/>
              <w:left w:val="nil"/>
              <w:bottom w:val="nil"/>
              <w:right w:val="nil"/>
            </w:tcBorders>
          </w:tcPr>
          <w:p w14:paraId="0A53A615" w14:textId="225C34F4" w:rsidR="00A57EB6" w:rsidRPr="0004264F" w:rsidRDefault="00A57EB6" w:rsidP="00A57EB6">
            <w:pPr>
              <w:widowControl w:val="0"/>
              <w:autoSpaceDE w:val="0"/>
              <w:autoSpaceDN w:val="0"/>
              <w:adjustRightInd w:val="0"/>
              <w:spacing w:after="0"/>
              <w:jc w:val="center"/>
              <w:rPr>
                <w:rFonts w:cstheme="majorBidi"/>
                <w:sz w:val="20"/>
                <w:szCs w:val="20"/>
              </w:rPr>
            </w:pPr>
            <w:r w:rsidRPr="0004264F">
              <w:rPr>
                <w:rFonts w:cstheme="majorBidi"/>
                <w:sz w:val="18"/>
                <w:szCs w:val="18"/>
              </w:rPr>
              <w:sym w:font="Wingdings" w:char="F0FC"/>
            </w:r>
          </w:p>
        </w:tc>
      </w:tr>
      <w:tr w:rsidR="007F518A" w:rsidRPr="0004264F" w14:paraId="3660DD57" w14:textId="77777777" w:rsidTr="00B751B8">
        <w:trPr>
          <w:trHeight w:val="720"/>
          <w:jc w:val="center"/>
        </w:trPr>
        <w:tc>
          <w:tcPr>
            <w:tcW w:w="9408" w:type="dxa"/>
            <w:gridSpan w:val="5"/>
            <w:tcBorders>
              <w:top w:val="single" w:sz="6" w:space="0" w:color="auto"/>
              <w:left w:val="nil"/>
              <w:right w:val="nil"/>
            </w:tcBorders>
          </w:tcPr>
          <w:p w14:paraId="7E4C8A1F" w14:textId="77777777" w:rsidR="007F518A" w:rsidRPr="0004264F" w:rsidRDefault="007F518A" w:rsidP="007F518A">
            <w:pPr>
              <w:widowControl w:val="0"/>
              <w:autoSpaceDE w:val="0"/>
              <w:autoSpaceDN w:val="0"/>
              <w:adjustRightInd w:val="0"/>
              <w:spacing w:after="0"/>
              <w:jc w:val="both"/>
              <w:rPr>
                <w:rFonts w:cstheme="majorBidi"/>
                <w:sz w:val="18"/>
                <w:szCs w:val="18"/>
              </w:rPr>
            </w:pPr>
            <w:r w:rsidRPr="0004264F">
              <w:rPr>
                <w:rFonts w:cstheme="majorBidi"/>
                <w:sz w:val="18"/>
                <w:szCs w:val="18"/>
              </w:rPr>
              <w:t>Notes. Standard errors, clustered at the county-level, are in parentheses. Controls include share of whites and blacks in each cell.</w:t>
            </w:r>
          </w:p>
          <w:p w14:paraId="595BB182" w14:textId="77777777" w:rsidR="007F518A" w:rsidRPr="0004264F" w:rsidRDefault="007F518A" w:rsidP="007F518A">
            <w:pPr>
              <w:widowControl w:val="0"/>
              <w:autoSpaceDE w:val="0"/>
              <w:autoSpaceDN w:val="0"/>
              <w:adjustRightInd w:val="0"/>
              <w:spacing w:after="0"/>
              <w:jc w:val="both"/>
              <w:rPr>
                <w:rFonts w:cstheme="majorBidi"/>
                <w:sz w:val="18"/>
                <w:szCs w:val="18"/>
              </w:rPr>
            </w:pPr>
            <w:r w:rsidRPr="0004264F">
              <w:rPr>
                <w:rFonts w:cstheme="majorBidi"/>
                <w:sz w:val="18"/>
                <w:szCs w:val="18"/>
              </w:rPr>
              <w:t>*** p&lt;0.01, ** p&lt;0.05, * p&lt;0.1</w:t>
            </w:r>
          </w:p>
          <w:p w14:paraId="52D45229" w14:textId="4C268F19" w:rsidR="007F518A" w:rsidRPr="0004264F" w:rsidRDefault="007F518A" w:rsidP="007F518A">
            <w:pPr>
              <w:widowControl w:val="0"/>
              <w:autoSpaceDE w:val="0"/>
              <w:autoSpaceDN w:val="0"/>
              <w:adjustRightInd w:val="0"/>
              <w:spacing w:after="0"/>
              <w:rPr>
                <w:rFonts w:cstheme="majorBidi"/>
                <w:i/>
                <w:iCs/>
                <w:sz w:val="20"/>
                <w:szCs w:val="20"/>
              </w:rPr>
            </w:pPr>
          </w:p>
        </w:tc>
      </w:tr>
    </w:tbl>
    <w:p w14:paraId="4A2FC711" w14:textId="77777777" w:rsidR="00AE4A4C" w:rsidRPr="0004264F" w:rsidRDefault="00AE4A4C" w:rsidP="00BE01FF">
      <w:pPr>
        <w:rPr>
          <w:rFonts w:cstheme="majorBidi"/>
          <w:b/>
          <w:bCs/>
          <w:sz w:val="20"/>
          <w:szCs w:val="20"/>
        </w:rPr>
      </w:pPr>
    </w:p>
    <w:p w14:paraId="134A04E1" w14:textId="41788735" w:rsidR="006B79A4" w:rsidRPr="0004264F" w:rsidRDefault="006B79A4" w:rsidP="00BE01FF">
      <w:pPr>
        <w:rPr>
          <w:rFonts w:cstheme="majorBidi"/>
          <w:b/>
          <w:bCs/>
          <w:sz w:val="20"/>
          <w:szCs w:val="20"/>
        </w:rPr>
      </w:pPr>
    </w:p>
    <w:p w14:paraId="47E7C1B6" w14:textId="5FDFB2BF" w:rsidR="006B79A4" w:rsidRPr="0004264F" w:rsidRDefault="006B79A4" w:rsidP="00BE01FF">
      <w:pPr>
        <w:rPr>
          <w:rFonts w:cstheme="majorBidi"/>
          <w:b/>
          <w:bCs/>
          <w:sz w:val="20"/>
          <w:szCs w:val="20"/>
        </w:rPr>
      </w:pPr>
    </w:p>
    <w:p w14:paraId="23D92673" w14:textId="7F10BCBE" w:rsidR="006B79A4" w:rsidRPr="0004264F" w:rsidRDefault="006B79A4" w:rsidP="00BE01FF">
      <w:pPr>
        <w:rPr>
          <w:rFonts w:cstheme="majorBidi"/>
          <w:b/>
          <w:bCs/>
          <w:sz w:val="20"/>
          <w:szCs w:val="20"/>
        </w:rPr>
      </w:pPr>
    </w:p>
    <w:p w14:paraId="4025D376" w14:textId="071CA34C" w:rsidR="006B79A4" w:rsidRPr="0004264F" w:rsidRDefault="006B79A4" w:rsidP="00BE01FF">
      <w:pPr>
        <w:rPr>
          <w:rFonts w:cstheme="majorBidi"/>
          <w:b/>
          <w:bCs/>
          <w:sz w:val="20"/>
          <w:szCs w:val="20"/>
        </w:rPr>
      </w:pPr>
    </w:p>
    <w:p w14:paraId="70B14B29" w14:textId="1EE67DE7" w:rsidR="006B79A4" w:rsidRPr="0004264F" w:rsidRDefault="006B79A4" w:rsidP="00BE01FF">
      <w:pPr>
        <w:rPr>
          <w:rFonts w:cstheme="majorBidi"/>
          <w:b/>
          <w:bCs/>
          <w:sz w:val="20"/>
          <w:szCs w:val="20"/>
        </w:rPr>
      </w:pPr>
    </w:p>
    <w:sectPr w:rsidR="006B79A4" w:rsidRPr="0004264F" w:rsidSect="00847BB4">
      <w:pgSz w:w="12240" w:h="15840" w:code="1"/>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1">
      <wne:fci wne:fciName="AcceptChangesSelected"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78DD" w14:textId="77777777" w:rsidR="007724EB" w:rsidRDefault="007724EB" w:rsidP="00F372FC">
      <w:pPr>
        <w:spacing w:after="0"/>
      </w:pPr>
      <w:r>
        <w:separator/>
      </w:r>
    </w:p>
  </w:endnote>
  <w:endnote w:type="continuationSeparator" w:id="0">
    <w:p w14:paraId="106F53E5" w14:textId="77777777" w:rsidR="007724EB" w:rsidRDefault="007724EB" w:rsidP="00F372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SNBAS-R">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A1ABE" w14:textId="680625D3" w:rsidR="00C114EB" w:rsidRDefault="00C114E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671AD">
      <w:rPr>
        <w:caps/>
        <w:noProof/>
        <w:color w:val="5B9BD5" w:themeColor="accent1"/>
        <w:rtl/>
      </w:rPr>
      <w:t>1</w:t>
    </w:r>
    <w:r>
      <w:rPr>
        <w:caps/>
        <w:noProof/>
        <w:color w:val="5B9BD5" w:themeColor="accent1"/>
      </w:rPr>
      <w:fldChar w:fldCharType="end"/>
    </w:r>
  </w:p>
  <w:p w14:paraId="0BA78AB4" w14:textId="77777777" w:rsidR="00C114EB" w:rsidRDefault="00C11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F669" w14:textId="09E765B8" w:rsidR="00C114EB" w:rsidRPr="003D4BBA" w:rsidRDefault="00C114EB">
    <w:pPr>
      <w:pStyle w:val="Footer"/>
      <w:tabs>
        <w:tab w:val="clear" w:pos="4680"/>
        <w:tab w:val="clear" w:pos="9360"/>
      </w:tabs>
      <w:jc w:val="center"/>
      <w:rPr>
        <w:caps/>
        <w:noProof/>
      </w:rPr>
    </w:pPr>
    <w:r w:rsidRPr="003D4BBA">
      <w:rPr>
        <w:caps/>
      </w:rPr>
      <w:fldChar w:fldCharType="begin"/>
    </w:r>
    <w:r w:rsidRPr="003D4BBA">
      <w:rPr>
        <w:caps/>
      </w:rPr>
      <w:instrText xml:space="preserve"> PAGE   \* MERGEFORMAT </w:instrText>
    </w:r>
    <w:r w:rsidRPr="003D4BBA">
      <w:rPr>
        <w:caps/>
      </w:rPr>
      <w:fldChar w:fldCharType="separate"/>
    </w:r>
    <w:r w:rsidR="009671AD">
      <w:rPr>
        <w:caps/>
        <w:noProof/>
        <w:rtl/>
      </w:rPr>
      <w:t>48</w:t>
    </w:r>
    <w:r w:rsidRPr="003D4BBA">
      <w:rPr>
        <w:caps/>
        <w:noProof/>
      </w:rPr>
      <w:fldChar w:fldCharType="end"/>
    </w:r>
  </w:p>
  <w:p w14:paraId="1E87CD79" w14:textId="77777777" w:rsidR="00C114EB" w:rsidRPr="003D4BBA" w:rsidRDefault="00C11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2495A" w14:textId="77777777" w:rsidR="007724EB" w:rsidRDefault="007724EB" w:rsidP="00F372FC">
      <w:pPr>
        <w:spacing w:after="0"/>
      </w:pPr>
      <w:r>
        <w:separator/>
      </w:r>
    </w:p>
  </w:footnote>
  <w:footnote w:type="continuationSeparator" w:id="0">
    <w:p w14:paraId="773A3E9D" w14:textId="77777777" w:rsidR="007724EB" w:rsidRDefault="007724EB" w:rsidP="00F372FC">
      <w:pPr>
        <w:spacing w:after="0"/>
      </w:pPr>
      <w:r>
        <w:continuationSeparator/>
      </w:r>
    </w:p>
  </w:footnote>
  <w:footnote w:id="1">
    <w:p w14:paraId="29AE5997" w14:textId="52C52C3D" w:rsidR="00C114EB" w:rsidRPr="000829C0" w:rsidRDefault="00C114EB" w:rsidP="00A912D2">
      <w:pPr>
        <w:pStyle w:val="FootnoteText"/>
        <w:jc w:val="both"/>
        <w:rPr>
          <w:rFonts w:cstheme="majorBidi"/>
        </w:rPr>
      </w:pPr>
      <w:r w:rsidRPr="000829C0">
        <w:rPr>
          <w:rStyle w:val="FootnoteReference"/>
          <w:rFonts w:cstheme="majorBidi"/>
        </w:rPr>
        <w:footnoteRef/>
      </w:r>
      <w:r w:rsidRPr="000829C0">
        <w:rPr>
          <w:rFonts w:cstheme="majorBidi"/>
        </w:rPr>
        <w:t xml:space="preserve"> The authors claim that they have no conflict of interest to report. The authors would like to acknowledge financial support from </w:t>
      </w:r>
      <w:r w:rsidR="00922E74" w:rsidRPr="000829C0">
        <w:rPr>
          <w:rFonts w:cstheme="majorBidi"/>
        </w:rPr>
        <w:t>NIA grant</w:t>
      </w:r>
      <w:r w:rsidR="00922E74">
        <w:rPr>
          <w:rFonts w:cstheme="majorBidi"/>
        </w:rPr>
        <w:t>s</w:t>
      </w:r>
      <w:r w:rsidR="00922E74" w:rsidRPr="000829C0">
        <w:rPr>
          <w:rFonts w:cstheme="majorBidi"/>
        </w:rPr>
        <w:t xml:space="preserve"> </w:t>
      </w:r>
      <w:r w:rsidR="00922E74">
        <w:rPr>
          <w:rFonts w:cstheme="majorBidi"/>
        </w:rPr>
        <w:t>(</w:t>
      </w:r>
      <w:r w:rsidR="00922E74" w:rsidRPr="000829C0">
        <w:rPr>
          <w:rFonts w:cstheme="majorBidi"/>
        </w:rPr>
        <w:t>R01AG060109</w:t>
      </w:r>
      <w:r w:rsidR="00922E74">
        <w:rPr>
          <w:rFonts w:cstheme="majorBidi"/>
        </w:rPr>
        <w:t>, R01AG076830</w:t>
      </w:r>
      <w:r w:rsidR="00C703B4">
        <w:rPr>
          <w:rFonts w:cstheme="majorBidi"/>
        </w:rPr>
        <w:t>, K99AG056599 R00AG056599</w:t>
      </w:r>
      <w:r w:rsidR="00922E74">
        <w:rPr>
          <w:rFonts w:cstheme="majorBidi"/>
        </w:rPr>
        <w:t>)</w:t>
      </w:r>
      <w:r w:rsidR="00C703B4">
        <w:rPr>
          <w:rFonts w:cstheme="majorBidi"/>
        </w:rPr>
        <w:t xml:space="preserve">, the Center for Retirement Research Steven H. </w:t>
      </w:r>
      <w:proofErr w:type="spellStart"/>
      <w:r w:rsidR="00C703B4">
        <w:rPr>
          <w:rFonts w:cstheme="majorBidi"/>
        </w:rPr>
        <w:t>Sandell</w:t>
      </w:r>
      <w:proofErr w:type="spellEnd"/>
      <w:r w:rsidR="00C703B4">
        <w:rPr>
          <w:rFonts w:cstheme="majorBidi"/>
        </w:rPr>
        <w:t xml:space="preserve"> Grant Program pursuant to a grant from the U.S. Social Security Administration (BC20-S2),</w:t>
      </w:r>
      <w:r w:rsidR="00922E74" w:rsidRPr="000829C0">
        <w:rPr>
          <w:rFonts w:cstheme="majorBidi"/>
        </w:rPr>
        <w:t xml:space="preserve"> </w:t>
      </w:r>
      <w:r w:rsidRPr="000829C0">
        <w:rPr>
          <w:rFonts w:cstheme="majorBidi"/>
        </w:rPr>
        <w:t>and the Center for Demography of Health and Aging (CDHA) at the University of Wisconsin-Madison under NIA core grant P30 AG17266.</w:t>
      </w:r>
      <w:r>
        <w:rPr>
          <w:rFonts w:cstheme="majorBidi"/>
        </w:rPr>
        <w:t xml:space="preserve">  </w:t>
      </w:r>
      <w:r w:rsidR="00C703B4">
        <w:rPr>
          <w:rFonts w:cstheme="majorBidi"/>
        </w:rPr>
        <w:t xml:space="preserve">The content is solely the responsibility of the authors and does not necessarily represent the official views of the Social Security Administration or the NIA. </w:t>
      </w:r>
      <w:r>
        <w:rPr>
          <w:rFonts w:cstheme="majorBidi"/>
        </w:rPr>
        <w:t xml:space="preserve">We thank members of the UW Health Economics Working Group for helpful comments. </w:t>
      </w:r>
    </w:p>
  </w:footnote>
  <w:footnote w:id="2">
    <w:p w14:paraId="5BB73103" w14:textId="77777777" w:rsidR="002A4AA5" w:rsidRDefault="002A4AA5" w:rsidP="002A4AA5">
      <w:pPr>
        <w:pStyle w:val="FootnoteText"/>
        <w:jc w:val="both"/>
      </w:pPr>
      <w:r>
        <w:rPr>
          <w:rStyle w:val="FootnoteReference"/>
        </w:rPr>
        <w:footnoteRef/>
      </w:r>
      <w:r>
        <w:t xml:space="preserve"> Department of Economics, University of Sydney, </w:t>
      </w:r>
      <w:r w:rsidRPr="0083610B">
        <w:t>FASS Building A02, Room 564 University of Sydney, NSW, 2006, Australia</w:t>
      </w:r>
    </w:p>
    <w:p w14:paraId="1DE015BC" w14:textId="77777777" w:rsidR="002A4AA5" w:rsidRDefault="002A4AA5" w:rsidP="002A4AA5">
      <w:pPr>
        <w:pStyle w:val="FootnoteText"/>
        <w:jc w:val="both"/>
      </w:pPr>
      <w:r>
        <w:t xml:space="preserve">Email: </w:t>
      </w:r>
      <w:hyperlink r:id="rId1" w:history="1">
        <w:r w:rsidRPr="00EA3AF7">
          <w:rPr>
            <w:rStyle w:val="Hyperlink"/>
          </w:rPr>
          <w:t>valentina.duque@sydney.edu.au</w:t>
        </w:r>
      </w:hyperlink>
      <w:r>
        <w:t xml:space="preserve"> </w:t>
      </w:r>
    </w:p>
  </w:footnote>
  <w:footnote w:id="3">
    <w:p w14:paraId="05496ECA" w14:textId="77777777" w:rsidR="002A4AA5" w:rsidRPr="000829C0" w:rsidRDefault="002A4AA5" w:rsidP="002A4AA5">
      <w:pPr>
        <w:pStyle w:val="FootnoteText"/>
        <w:jc w:val="both"/>
        <w:rPr>
          <w:rFonts w:cstheme="majorBidi"/>
        </w:rPr>
      </w:pPr>
      <w:r w:rsidRPr="000829C0">
        <w:rPr>
          <w:rStyle w:val="FootnoteReference"/>
          <w:rFonts w:cstheme="majorBidi"/>
        </w:rPr>
        <w:footnoteRef/>
      </w:r>
      <w:r w:rsidRPr="000829C0">
        <w:rPr>
          <w:rFonts w:cstheme="majorBidi"/>
        </w:rPr>
        <w:t xml:space="preserve"> La Follette School of Public Affairs, University of Wisconsin-Madison, 1225 Observatory Drive, Madison, WI 53706-1211, USA</w:t>
      </w:r>
    </w:p>
    <w:p w14:paraId="6D2BDD3F" w14:textId="77777777" w:rsidR="002A4AA5" w:rsidRPr="000829C0" w:rsidRDefault="002A4AA5" w:rsidP="002A4AA5">
      <w:pPr>
        <w:pStyle w:val="FootnoteText"/>
        <w:jc w:val="both"/>
        <w:rPr>
          <w:rFonts w:cstheme="majorBidi"/>
        </w:rPr>
      </w:pPr>
      <w:r w:rsidRPr="000829C0">
        <w:rPr>
          <w:rFonts w:cstheme="majorBidi"/>
        </w:rPr>
        <w:t xml:space="preserve">Email: </w:t>
      </w:r>
      <w:hyperlink r:id="rId2" w:history="1">
        <w:r w:rsidRPr="000829C0">
          <w:rPr>
            <w:rStyle w:val="Hyperlink"/>
            <w:rFonts w:cstheme="majorBidi"/>
          </w:rPr>
          <w:t>jason.fletcher@wisc.edu</w:t>
        </w:r>
      </w:hyperlink>
      <w:r w:rsidRPr="000829C0">
        <w:rPr>
          <w:rFonts w:cstheme="majorBidi"/>
        </w:rPr>
        <w:t xml:space="preserve"> </w:t>
      </w:r>
    </w:p>
  </w:footnote>
  <w:footnote w:id="4">
    <w:p w14:paraId="36E7F088" w14:textId="77777777" w:rsidR="002A4AA5" w:rsidRDefault="002A4AA5" w:rsidP="002A4AA5">
      <w:pPr>
        <w:pStyle w:val="FootnoteText"/>
        <w:jc w:val="both"/>
        <w:rPr>
          <w:rFonts w:cstheme="majorBidi"/>
        </w:rPr>
      </w:pPr>
      <w:r>
        <w:rPr>
          <w:rStyle w:val="FootnoteReference"/>
        </w:rPr>
        <w:footnoteRef/>
      </w:r>
      <w:r>
        <w:t xml:space="preserve"> Department of </w:t>
      </w:r>
      <w:r w:rsidRPr="00B14D6B">
        <w:t>Agricultural &amp; Applied Economics</w:t>
      </w:r>
      <w:r>
        <w:t xml:space="preserve">, </w:t>
      </w:r>
      <w:r w:rsidRPr="000829C0">
        <w:rPr>
          <w:rFonts w:cstheme="majorBidi"/>
        </w:rPr>
        <w:t>University of Wisconsin-Madison</w:t>
      </w:r>
      <w:r>
        <w:rPr>
          <w:rFonts w:cstheme="majorBidi"/>
        </w:rPr>
        <w:t xml:space="preserve">, </w:t>
      </w:r>
      <w:r w:rsidRPr="00DF3F56">
        <w:rPr>
          <w:rFonts w:cstheme="majorBidi"/>
        </w:rPr>
        <w:t>305 Taylor Hall, 427 Larch St., Madison, WI 53706</w:t>
      </w:r>
      <w:r>
        <w:rPr>
          <w:rFonts w:cstheme="majorBidi"/>
        </w:rPr>
        <w:t>, USA</w:t>
      </w:r>
    </w:p>
    <w:p w14:paraId="7B036912" w14:textId="77777777" w:rsidR="002A4AA5" w:rsidRDefault="002A4AA5" w:rsidP="002A4AA5">
      <w:pPr>
        <w:pStyle w:val="FootnoteText"/>
        <w:jc w:val="both"/>
      </w:pPr>
      <w:r>
        <w:rPr>
          <w:rFonts w:cstheme="majorBidi"/>
        </w:rPr>
        <w:t xml:space="preserve">Email: </w:t>
      </w:r>
      <w:hyperlink r:id="rId3" w:history="1">
        <w:r w:rsidRPr="00EA3AF7">
          <w:rPr>
            <w:rStyle w:val="Hyperlink"/>
          </w:rPr>
          <w:t>gawai@wisc.edu</w:t>
        </w:r>
      </w:hyperlink>
      <w:r>
        <w:t xml:space="preserve"> </w:t>
      </w:r>
    </w:p>
  </w:footnote>
  <w:footnote w:id="5">
    <w:p w14:paraId="4D6C7491" w14:textId="77777777" w:rsidR="00C114EB" w:rsidRPr="000829C0" w:rsidRDefault="00C114EB" w:rsidP="00A912D2">
      <w:pPr>
        <w:pStyle w:val="FootnoteText"/>
        <w:spacing w:after="16"/>
        <w:jc w:val="both"/>
        <w:rPr>
          <w:rFonts w:cstheme="majorBidi"/>
        </w:rPr>
      </w:pPr>
      <w:r w:rsidRPr="000829C0">
        <w:rPr>
          <w:rStyle w:val="FootnoteReference"/>
          <w:rFonts w:cstheme="majorBidi"/>
        </w:rPr>
        <w:footnoteRef/>
      </w:r>
      <w:r w:rsidRPr="000829C0">
        <w:rPr>
          <w:rFonts w:cstheme="majorBidi"/>
        </w:rPr>
        <w:t xml:space="preserve"> Center for Demography of Health and Aging, University of Wisconsin-Madison, 1180 Observatory Drive, Madison, WI 53706</w:t>
      </w:r>
    </w:p>
    <w:p w14:paraId="54C0AB07" w14:textId="0E9BC599" w:rsidR="00C114EB" w:rsidRPr="000829C0" w:rsidRDefault="00C114EB" w:rsidP="00A912D2">
      <w:pPr>
        <w:pStyle w:val="FootnoteText"/>
        <w:spacing w:after="16"/>
        <w:jc w:val="both"/>
        <w:rPr>
          <w:rFonts w:cstheme="majorBidi"/>
        </w:rPr>
      </w:pPr>
      <w:r w:rsidRPr="000829C0">
        <w:rPr>
          <w:rFonts w:cstheme="majorBidi"/>
        </w:rPr>
        <w:t xml:space="preserve">Email: </w:t>
      </w:r>
      <w:hyperlink r:id="rId4" w:history="1">
        <w:r w:rsidRPr="000829C0">
          <w:rPr>
            <w:rStyle w:val="Hyperlink"/>
            <w:rFonts w:cstheme="majorBidi"/>
          </w:rPr>
          <w:t>noghanibeham@wisc.edu</w:t>
        </w:r>
      </w:hyperlink>
      <w:r w:rsidRPr="000829C0">
        <w:rPr>
          <w:rFonts w:cstheme="majorBidi"/>
        </w:rPr>
        <w:t xml:space="preserve">, Phone: +1-806-620-1812, ORCID ID: </w:t>
      </w:r>
      <w:hyperlink r:id="rId5" w:history="1">
        <w:r w:rsidRPr="000829C0">
          <w:rPr>
            <w:rStyle w:val="Hyperlink"/>
            <w:rFonts w:cstheme="majorBidi"/>
          </w:rPr>
          <w:t>https://orcid.org/0000-0001-7868-2900</w:t>
        </w:r>
      </w:hyperlink>
      <w:r w:rsidRPr="000829C0">
        <w:rPr>
          <w:rFonts w:cstheme="majorBidi"/>
        </w:rPr>
        <w:t xml:space="preserve">  </w:t>
      </w:r>
    </w:p>
  </w:footnote>
  <w:footnote w:id="6">
    <w:p w14:paraId="22241036" w14:textId="77777777" w:rsidR="00C114EB" w:rsidRPr="000829C0" w:rsidRDefault="00C114EB" w:rsidP="00A912D2">
      <w:pPr>
        <w:pStyle w:val="FootnoteText"/>
        <w:jc w:val="both"/>
        <w:rPr>
          <w:rFonts w:cstheme="majorBidi"/>
        </w:rPr>
      </w:pPr>
      <w:r>
        <w:rPr>
          <w:rStyle w:val="FootnoteReference"/>
        </w:rPr>
        <w:footnoteRef/>
      </w:r>
      <w:r>
        <w:t xml:space="preserve"> </w:t>
      </w:r>
      <w:r w:rsidRPr="000829C0">
        <w:rPr>
          <w:rFonts w:cstheme="majorBidi"/>
        </w:rPr>
        <w:t>La Follette School of Public Affairs, University of Wisconsin-Madison, 1225 Observatory Drive, Madison, WI 53706-1211, USA</w:t>
      </w:r>
    </w:p>
    <w:p w14:paraId="5823F208" w14:textId="61CDDF16" w:rsidR="00C114EB" w:rsidRDefault="00C114EB" w:rsidP="00A912D2">
      <w:pPr>
        <w:pStyle w:val="FootnoteText"/>
        <w:jc w:val="both"/>
      </w:pPr>
      <w:r w:rsidRPr="000829C0">
        <w:rPr>
          <w:rFonts w:cstheme="majorBidi"/>
        </w:rPr>
        <w:t xml:space="preserve">Email: </w:t>
      </w:r>
      <w:hyperlink r:id="rId6" w:history="1">
        <w:r w:rsidRPr="00B346E0">
          <w:rPr>
            <w:rStyle w:val="Hyperlink"/>
          </w:rPr>
          <w:t>llschmitz@wisc.edu</w:t>
        </w:r>
      </w:hyperlink>
      <w:r>
        <w:t xml:space="preserve"> </w:t>
      </w:r>
    </w:p>
  </w:footnote>
  <w:footnote w:id="7">
    <w:p w14:paraId="01351D4A" w14:textId="5AEED86B" w:rsidR="00580FD3" w:rsidRPr="00CE35D1" w:rsidRDefault="00580FD3" w:rsidP="00A912D2">
      <w:pPr>
        <w:pStyle w:val="FootnoteText"/>
        <w:jc w:val="both"/>
        <w:rPr>
          <w:lang w:val="en-AU"/>
        </w:rPr>
      </w:pPr>
      <w:r>
        <w:rPr>
          <w:rStyle w:val="FootnoteReference"/>
        </w:rPr>
        <w:footnoteRef/>
      </w:r>
      <w:r>
        <w:t xml:space="preserve"> </w:t>
      </w:r>
      <w:r>
        <w:rPr>
          <w:rFonts w:cstheme="majorBidi"/>
          <w:color w:val="000000" w:themeColor="text1"/>
          <w:szCs w:val="24"/>
        </w:rPr>
        <w:t xml:space="preserve">Several explanations have been provided in the literature for such a staggering </w:t>
      </w:r>
      <w:r w:rsidR="00A912D2">
        <w:rPr>
          <w:rFonts w:cstheme="majorBidi"/>
          <w:color w:val="000000" w:themeColor="text1"/>
          <w:szCs w:val="24"/>
        </w:rPr>
        <w:t>improvement</w:t>
      </w:r>
      <w:r>
        <w:rPr>
          <w:rFonts w:cstheme="majorBidi"/>
          <w:color w:val="000000" w:themeColor="text1"/>
          <w:szCs w:val="24"/>
        </w:rPr>
        <w:t>, including rising incomes and economic development</w:t>
      </w:r>
      <w:r w:rsidR="008A2BA3">
        <w:rPr>
          <w:rFonts w:cstheme="majorBidi"/>
          <w:color w:val="000000" w:themeColor="text1"/>
          <w:szCs w:val="24"/>
        </w:rPr>
        <w:t xml:space="preserve"> </w:t>
      </w:r>
      <w:r w:rsidR="008A2BA3">
        <w:rPr>
          <w:rFonts w:cstheme="majorBidi"/>
          <w:color w:val="000000" w:themeColor="text1"/>
          <w:szCs w:val="24"/>
        </w:rPr>
        <w:fldChar w:fldCharType="begin" w:fldLock="1"/>
      </w:r>
      <w:r w:rsidR="008A2BA3">
        <w:rPr>
          <w:rFonts w:cstheme="majorBidi"/>
          <w:color w:val="000000" w:themeColor="text1"/>
          <w:szCs w:val="24"/>
        </w:rPr>
        <w:instrText>ADDIN CSL_CITATION {"citationItems":[{"id":"ITEM-1","itemData":{"DOI":"10.1080/00324728.1975.10410201","ISSN":"14774747","PMID":"11630494","abstract":"A very simple technique has been used to shed light on a number of questions about the influence of economic level on national mortality trends and differentials. Scatter-diagrams of the cross-sectional relation between national income per head and life expectancy are developed for three decades during the twentieth, century. The relations established appear to shift systematically during the century. In general, in order to attain a certain life expectancy between 40 and 60 a nation requires an income level almost three times greater in the 1930s than in the 1960s This shift is corroborated by a changing structure of mortality by cause of death for populations at equivalent mortality levels. The magnitude of the shifts, combined with regional income data suggests that some 75-90 per cent of the growth in life expectancy for the world as a whole over these three decades is attributable to factors exogenous to a nation’s contemporary level of income Through similar techniques, improved nutrition and higher literacy can also be ruled out as important contributors. Nevertheless, the cross-sectional relation between income and life expectancy remains strong and there is some suggestion that mortality is now more responsive to variations in income levels among countries with national incomes below $400 (1963 dollars) than it was in the 1930s However, population size appears to respond so slowly to the mortality declines that typically result irom income growth that these mortality effects present little impediment to the process of economic development. Some of the variability in the cross-sectional mortality-income relation is doubtless due to variation in income distributions. Life expectancy in Venezuela, Mexico, and Colombia, countries with wide disparities in incomes, falls short of levels expected on the basis of their mean incomes. On the other hand, life expectancy in Soviet-bloc countries, where income equality is expected to be greater than average, also falls short of expected levels. Western and non-Western countries alike profited from the activity of ‘exogenous’ medical and public health factors. Differences between the two types of countries have been exaggerated by concentration on movements between equivalent mortality levels rather than during equivalent time periods. Recent work in historical demography suggests that the importance in Western mortality trends of endogenous factors consequent to rising standards of living has been overstate…","author":[{"dropping-particle":"","family":"Preston","given":"Samuel H.","non-dropping-particle":"","parse-names":false,"suffix":""}],"container-title":"Population Studies","id":"ITEM-1","issue":"2","issued":{"date-parts":[["1975","7","1"]]},"page":"231-248","title":"The Changing Relation between Mortality and level of Economic Development","type":"article-journal","volume":"29"},"uris":["http://www.mendeley.com/documents/?uuid=7792df48-b7f8-31d6-a7cd-7a462159bf52"]},{"id":"ITEM-2","itemData":{"DOI":"10.3386/H0054","author":[{"dropping-particle":"","family":"Fogel","given":"Robert W.","non-dropping-particle":"","parse-names":false,"suffix":""}],"id":"ITEM-2","issued":{"date-parts":[["1994","3","1"]]},"publisher-place":"Cambridge, MA","title":"The Relevance of Malthus for the Study of Mortality Today: Long-Run Influences on Health, Mortality, Labor Force Participation, and Population Growth","type":"article-journal"},"uris":["http://www.mendeley.com/documents/?uuid=ed31ed32-7d69-3de4-b80e-e8f754ee7e55"]},{"id":"ITEM-3","itemData":{"DOI":"10.1086/529000/SUPPL_FILE/32236DATA.ZIP","ISSN":"00223808","abstract":"We exploit the major international health improvements from the 1940s to estimate the effect of life expectancy on economic performance. We construct predicted mortality using preintervention mortality rates from various diseases and dates of global interventions. Predicted mortality has a large impact on changes in life expectancy starting in 1940 but no effect before 1940. Using predicted mortality as an instrument, we find that a 1 percent increase in life expectancy leads to a 1.7-2 percent increase in population. Life expectancy has a much smaller effect on total GDP, however. Consequently, there is no evidence that the large increase in life expectancy raised income per capita. © 2007 by The University of Chicago. All rights reserved.","author":[{"dropping-particle":"","family":"Acemoglu","given":"Daron","non-dropping-particle":"","parse-names":false,"suffix":""},{"dropping-particle":"","family":"Johnson","given":"Simon","non-dropping-particle":"","parse-names":false,"suffix":""}],"container-title":"Journal of Political Economy","id":"ITEM-3","issue":"6","issued":{"date-parts":[["2007","12","19"]]},"page":"925-985","publisher":" The University of Chicago Press ","title":"Disease and development: The effect of life expectancy on economic growth","type":"article-journal","volume":"115"},"uris":["http://www.mendeley.com/documents/?uuid=65f75e2c-79e8-3347-a4a4-4e3f8fc625e5"]},{"id":"ITEM-4","itemData":{"DOI":"10.1257/jel.53.3.503","ISSN":"00220515","abstract":"I discuss the health transition in the United States, bringing new data to bear on health indicators and investigating the changing relationship between health, income, and the environment. I argue that scientific advances played an outsize role and that health improvements were largest among the poor. Health improvements were not a precondition for modern economic growth. The gains to health are largest when the economy has moved from \"brawn\" to \"brains\" because this is when the wage returns to education are high, leading the healthy to obtain more education. More education may improve use of health knowledge, producing a virtuous cycle. ( JEL H51, I10, J13, N31, N32).","author":[{"dropping-particle":"","family":"Costa","given":"Dora L","non-dropping-particle":"","parse-names":false,"suffix":""}],"container-title":"Journal of Economic Literature","id":"ITEM-4","issue":"3","issued":{"date-parts":[["2015","6"]]},"page":"503-570","publisher":"American Economic Association","title":"Health and the economy in the united states from 1750 to the present","type":"article","volume":"53"},"uris":["http://www.mendeley.com/documents/?uuid=4efeaa20-bcff-3b74-bb02-195f86784348"]}],"mendeley":{"formattedCitation":"(Acemoglu &amp; Johnson, 2007; Costa, 2015; Fogel, 1994; Preston, 1975)","plainTextFormattedCitation":"(Acemoglu &amp; Johnson, 2007; Costa, 2015; Fogel, 1994; Preston, 1975)","previouslyFormattedCitation":"(Acemoglu &amp; Johnson, 2007; Costa, 2015; Fogel, 1994; Preston, 1975)"},"properties":{"noteIndex":0},"schema":"https://github.com/citation-style-language/schema/raw/master/csl-citation.json"}</w:instrText>
      </w:r>
      <w:r w:rsidR="008A2BA3">
        <w:rPr>
          <w:rFonts w:cstheme="majorBidi"/>
          <w:color w:val="000000" w:themeColor="text1"/>
          <w:szCs w:val="24"/>
        </w:rPr>
        <w:fldChar w:fldCharType="separate"/>
      </w:r>
      <w:r w:rsidR="008A2BA3" w:rsidRPr="008A2BA3">
        <w:rPr>
          <w:rFonts w:cstheme="majorBidi"/>
          <w:noProof/>
          <w:color w:val="000000" w:themeColor="text1"/>
          <w:szCs w:val="24"/>
        </w:rPr>
        <w:t>(Acemoglu &amp; Johnson, 2007; Costa, 2015; Fogel, 1994; Preston, 1975)</w:t>
      </w:r>
      <w:r w:rsidR="008A2BA3">
        <w:rPr>
          <w:rFonts w:cstheme="majorBidi"/>
          <w:color w:val="000000" w:themeColor="text1"/>
          <w:szCs w:val="24"/>
        </w:rPr>
        <w:fldChar w:fldCharType="end"/>
      </w:r>
      <w:r>
        <w:rPr>
          <w:rFonts w:cstheme="majorBidi"/>
          <w:color w:val="000000" w:themeColor="text1"/>
          <w:szCs w:val="24"/>
        </w:rPr>
        <w:t xml:space="preserve">, the introduction of new drugs and scientific innovations </w:t>
      </w:r>
      <w:r w:rsidR="008A2BA3">
        <w:rPr>
          <w:rFonts w:cstheme="majorBidi"/>
          <w:color w:val="000000" w:themeColor="text1"/>
          <w:szCs w:val="24"/>
        </w:rPr>
        <w:fldChar w:fldCharType="begin" w:fldLock="1"/>
      </w:r>
      <w:r w:rsidR="008A2BA3">
        <w:rPr>
          <w:rFonts w:cstheme="majorBidi"/>
          <w:color w:val="000000" w:themeColor="text1"/>
          <w:szCs w:val="24"/>
        </w:rPr>
        <w:instrText>ADDIN CSL_CITATION {"citationItems":[{"id":"ITEM-1","itemData":{"DOI":"10.1162/QJEC.121.1.73","ISSN":"0033-5533","abstract":"This study evaluates the economic consequences of the successful eradication of hookworm disease from the American South, which started circa 1910. The Rockefeller Sanitary Commission (RSC) surveyed infection rates and found that 40 percent of school-aged children in the South were infected with hookworm. The RSC then sponsored treatment and education campaigns across the region. Follow-up studies indicate that this campaign substantially reduced hookworm disease almost immediately. Areas with higher levels of hookworm infection prior to the RSC experienced greater increases in school enrollment, attendance, and literacy after the intervention. No significant contemporaneous results are found for literacy or occupational shifts among adults, who had negligible prior infection rates. A long-term follow-up indicates a substantial gain in income that coincided with exposure to hookworm eradication. I also find evidence that the return to schooling increased with eradication. © 2007 by the President and Fellows of Harvard College and the Massachusetts Institute of Technology.","author":[{"dropping-particle":"","family":"Bleakley","given":"Hoyt","non-dropping-particle":"","parse-names":false,"suffix":""}],"container-title":"The Quarterly Journal of Economics","id":"ITEM-1","issue":"1","issued":{"date-parts":[["2007","2","1"]]},"page":"73-117","publisher":"Oxford Academic","title":"Disease and Development: Evidence from Hookworm Eradication in the American South","type":"article-journal","volume":"122"},"uris":["http://www.mendeley.com/documents/?uuid=1007548e-ba08-3209-a233-f1250d963b72"]}],"mendeley":{"formattedCitation":"(Bleakley, 2007)","plainTextFormattedCitation":"(Bleakley, 2007)","previouslyFormattedCitation":"(Bleakley, 2007)"},"properties":{"noteIndex":0},"schema":"https://github.com/citation-style-language/schema/raw/master/csl-citation.json"}</w:instrText>
      </w:r>
      <w:r w:rsidR="008A2BA3">
        <w:rPr>
          <w:rFonts w:cstheme="majorBidi"/>
          <w:color w:val="000000" w:themeColor="text1"/>
          <w:szCs w:val="24"/>
        </w:rPr>
        <w:fldChar w:fldCharType="separate"/>
      </w:r>
      <w:r w:rsidR="008A2BA3" w:rsidRPr="008A2BA3">
        <w:rPr>
          <w:rFonts w:cstheme="majorBidi"/>
          <w:noProof/>
          <w:color w:val="000000" w:themeColor="text1"/>
          <w:szCs w:val="24"/>
        </w:rPr>
        <w:t>(Bleakley, 2007)</w:t>
      </w:r>
      <w:r w:rsidR="008A2BA3">
        <w:rPr>
          <w:rFonts w:cstheme="majorBidi"/>
          <w:color w:val="000000" w:themeColor="text1"/>
          <w:szCs w:val="24"/>
        </w:rPr>
        <w:fldChar w:fldCharType="end"/>
      </w:r>
      <w:r>
        <w:rPr>
          <w:rFonts w:cstheme="majorBidi"/>
          <w:color w:val="000000" w:themeColor="text1"/>
          <w:szCs w:val="24"/>
        </w:rPr>
        <w:t>, and/or public health investments</w:t>
      </w:r>
      <w:r w:rsidR="008A2BA3">
        <w:rPr>
          <w:rFonts w:cstheme="majorBidi"/>
          <w:color w:val="000000" w:themeColor="text1"/>
          <w:szCs w:val="24"/>
        </w:rPr>
        <w:t xml:space="preserve"> </w:t>
      </w:r>
      <w:r w:rsidR="008A2BA3">
        <w:rPr>
          <w:rFonts w:cstheme="majorBidi"/>
          <w:color w:val="000000" w:themeColor="text1"/>
          <w:szCs w:val="24"/>
        </w:rPr>
        <w:fldChar w:fldCharType="begin" w:fldLock="1"/>
      </w:r>
      <w:r w:rsidR="00075E74">
        <w:rPr>
          <w:rFonts w:cstheme="majorBidi"/>
          <w:color w:val="000000" w:themeColor="text1"/>
          <w:szCs w:val="24"/>
        </w:rPr>
        <w:instrText>ADDIN CSL_CITATION {"citationItems":[{"id":"ITEM-1","itemData":{"DOI":"10.1353/DEM.2005.0002","ISSN":"1533-7790","PMID":"15782893","abstract":"Mortality rates in the United States fell more rapidly during the late nineteenth and early twentieth centuries than in any other period in American history. This decline coincided with an epidemiological transition and the disappearance of a mortality “penalty” associated with living in urban areas. There is little empirical evidence and much unresolved debate about what caused these improvements, however. In this article, we report the causal influence of clean water technologies— filtration and chlorination—on mortality in major cities during the early twentieth century. Plausibly exogenous variation in the timing and location of technology adoption was used to identify these effects, and the validity of this identifying assumption is examined in detail. We found that clean water was responsible for nearly half the total mortality reduction in major cities, three quarters of the infant mortality reduction, and nearly two thirds of the child mortality reduction. Rough calculations suggest that the social rate of return to these technologies was greater than 23 to 1, with a cost per person-year saved by clean water of about $500 in 2003 dollars. Implications for developing countries are briefly considered.","author":[{"dropping-particle":"","family":"Cutler","given":"David","non-dropping-particle":"","parse-names":false,"suffix":""},{"dropping-particle":"","family":"Miller","given":"Grant","non-dropping-particle":"","parse-names":false,"suffix":""}],"container-title":"Demography 2005 42:1","id":"ITEM-1","issue":"1","issued":{"date-parts":[["2005"]]},"page":"1-22","publisher":"Springer","title":"The role of public health improvements in health advances: The twentieth-century United States","type":"article-journal","volume":"42"},"uris":["http://www.mendeley.com/documents/?uuid=82f7f7c0-1c83-36d6-b0e4-2d7466c87e8e"]},{"id":"ITEM-2","itemData":{"DOI":"10.1257/APP.20190034","ISSN":"1945-7782","abstract":"Using data on 25 major American cities for the period 1900–1940, we explore the effects of municipal-level public health efforts that were viewed as critical in the fight against foodborne and waterborne diseases. In addition to studying interventions such as treating sewage and setting bacteriological standards for milk, which have received little attention, we provide new evidence on the effects of water filtration and chlorination, extending the work of previous scholars. Although water filtration is associated with an 11–12 percent reduction in infant mortality, none of the other interventions under study appear to have contributed to the observed mortality declines. (JEL H75, I12, I18, J13, Q18, Q51, Q53)","author":[{"dropping-particle":"","family":"Anderson","given":"D. Mark","non-dropping-particle":"","parse-names":false,"suffix":""},{"dropping-particle":"","family":"Charles","given":"Kerwin Kofi","non-dropping-particle":"","parse-names":false,"suffix":""},{"dropping-particle":"","family":"Rees","given":"Daniel I.","non-dropping-particle":"","parse-names":false,"suffix":""}],"container-title":"American Economic Journal: Applied Economics","id":"ITEM-2","issue":"2","issued":{"date-parts":[["2022","4","1"]]},"page":"126-57","publisher":"American Economic Association","title":"Reexamining the Contribution of Public Health Efforts to the Decline in Urban Mortality","type":"article-journal","volume":"14"},"uris":["http://www.mendeley.com/documents/?uuid=ecb6d4a7-1a58-3ed8-8556-4654da2ce0d4"]}],"mendeley":{"formattedCitation":"(Anderson et al., 2022; D. Cutler &amp; Miller, 2005)","manualFormatting":"(Anderson et al., 2022; Cutler &amp; Miller, 2005)","plainTextFormattedCitation":"(Anderson et al., 2022; D. Cutler &amp; Miller, 2005)","previouslyFormattedCitation":"(Anderson et al., 2022; D. Cutler &amp; Miller, 2005)"},"properties":{"noteIndex":0},"schema":"https://github.com/citation-style-language/schema/raw/master/csl-citation.json"}</w:instrText>
      </w:r>
      <w:r w:rsidR="008A2BA3">
        <w:rPr>
          <w:rFonts w:cstheme="majorBidi"/>
          <w:color w:val="000000" w:themeColor="text1"/>
          <w:szCs w:val="24"/>
        </w:rPr>
        <w:fldChar w:fldCharType="separate"/>
      </w:r>
      <w:r w:rsidR="008A2BA3" w:rsidRPr="008A2BA3">
        <w:rPr>
          <w:rFonts w:cstheme="majorBidi"/>
          <w:noProof/>
          <w:color w:val="000000" w:themeColor="text1"/>
          <w:szCs w:val="24"/>
        </w:rPr>
        <w:t>(Anderson et al., 2022; Cutler &amp; Miller, 2005)</w:t>
      </w:r>
      <w:r w:rsidR="008A2BA3">
        <w:rPr>
          <w:rFonts w:cstheme="majorBidi"/>
          <w:color w:val="000000" w:themeColor="text1"/>
          <w:szCs w:val="24"/>
        </w:rPr>
        <w:fldChar w:fldCharType="end"/>
      </w:r>
      <w:r>
        <w:rPr>
          <w:rFonts w:cstheme="majorBidi"/>
          <w:color w:val="000000" w:themeColor="text1"/>
          <w:szCs w:val="24"/>
        </w:rPr>
        <w:t>.</w:t>
      </w:r>
    </w:p>
  </w:footnote>
  <w:footnote w:id="8">
    <w:p w14:paraId="6CD717ED" w14:textId="77777777" w:rsidR="00580FD3" w:rsidRDefault="00580FD3" w:rsidP="00A912D2">
      <w:pPr>
        <w:pStyle w:val="FootnoteText"/>
        <w:jc w:val="both"/>
      </w:pPr>
      <w:r>
        <w:rPr>
          <w:rStyle w:val="FootnoteReference"/>
        </w:rPr>
        <w:footnoteRef/>
      </w:r>
      <w:r>
        <w:t xml:space="preserve"> </w:t>
      </w:r>
      <w:r w:rsidRPr="00033EB9">
        <w:rPr>
          <w:rFonts w:cstheme="majorBidi"/>
          <w:color w:val="000000" w:themeColor="text1"/>
          <w:szCs w:val="24"/>
        </w:rPr>
        <w:t>The deposits reflect both the supply and the demand of credit in the local area. For instance, an economic downturn destroys local jobs and reduces earnings and subsequent savings. On the other hand, it also affects market expectations about the future of the economy and influences the decisions of firms in their demand for credit. However, we show that the equilibrium quantity co-moves strongly and significantly with alternative measures of the economy such as income and retail sales</w:t>
      </w:r>
    </w:p>
  </w:footnote>
  <w:footnote w:id="9">
    <w:p w14:paraId="67573324" w14:textId="053E1075" w:rsidR="00E2387A" w:rsidRDefault="00E2387A">
      <w:pPr>
        <w:pStyle w:val="FootnoteText"/>
      </w:pPr>
      <w:r>
        <w:rPr>
          <w:rStyle w:val="FootnoteReference"/>
        </w:rPr>
        <w:footnoteRef/>
      </w:r>
      <w:r>
        <w:t xml:space="preserve"> </w:t>
      </w:r>
      <w:r>
        <w:rPr>
          <w:rFonts w:cstheme="majorBidi"/>
          <w:color w:val="000000" w:themeColor="text1"/>
          <w:szCs w:val="24"/>
        </w:rPr>
        <w:t>O</w:t>
      </w:r>
      <w:r w:rsidRPr="00A57EB6">
        <w:rPr>
          <w:rFonts w:cstheme="majorBidi"/>
          <w:color w:val="000000" w:themeColor="text1"/>
          <w:szCs w:val="24"/>
        </w:rPr>
        <w:t xml:space="preserve">ur paper </w:t>
      </w:r>
      <w:r>
        <w:rPr>
          <w:rFonts w:cstheme="majorBidi"/>
          <w:color w:val="000000" w:themeColor="text1"/>
          <w:szCs w:val="24"/>
        </w:rPr>
        <w:t xml:space="preserve">also </w:t>
      </w:r>
      <w:r w:rsidRPr="00A57EB6">
        <w:rPr>
          <w:rFonts w:cstheme="majorBidi"/>
          <w:color w:val="000000" w:themeColor="text1"/>
          <w:szCs w:val="24"/>
        </w:rPr>
        <w:t>contributes to an emerging literature that has looked at the role of economic resources–through specific welfare programs—on l</w:t>
      </w:r>
      <w:r>
        <w:rPr>
          <w:rFonts w:cstheme="majorBidi"/>
          <w:color w:val="000000" w:themeColor="text1"/>
          <w:szCs w:val="24"/>
        </w:rPr>
        <w:t>ongevity</w:t>
      </w:r>
      <w:r w:rsidRPr="00A57EB6">
        <w:rPr>
          <w:rFonts w:cstheme="majorBidi"/>
          <w:color w:val="000000" w:themeColor="text1"/>
          <w:szCs w:val="24"/>
        </w:rPr>
        <w:t xml:space="preserve">. Two recent studies by </w:t>
      </w:r>
      <w:r w:rsidRPr="00A57EB6">
        <w:rPr>
          <w:rFonts w:cstheme="majorBidi"/>
          <w:color w:val="000000" w:themeColor="text1"/>
          <w:szCs w:val="24"/>
        </w:rPr>
        <w:fldChar w:fldCharType="begin" w:fldLock="1"/>
      </w:r>
      <w:r w:rsidRPr="00A57EB6">
        <w:rPr>
          <w:rFonts w:cstheme="majorBidi"/>
          <w:color w:val="000000" w:themeColor="text1"/>
          <w:szCs w:val="24"/>
        </w:rPr>
        <w:instrText>ADDIN CSL_CITATION {"citationItems":[{"id":"ITEM-1","itemData":{"DOI":"10.1257/AER.20140529","ISSN":"0002-8282","PMID":"28713169","abstract":"We estimate the long- run impact of cash transfers to poor families on children's longevity, educational attainment, nutritional status, and income in adulthood. To do so, we collected individual- level administrative records of applicants to the Mothers' Pension program-the first government- sponsored welfare program in the United States (1911-1935)-and matched them to census, WWII, and death records. Male children of accepted applicants lived one year longer than those of rejected mothers. They also obtained onethird more years of schooling, were less likely to be underweight, and had higher income in adulthood than children of rejected mothers. (JEL I12, I14, I18, I32, I38, J16, N32).","author":[{"dropping-particle":"","family":"Aizer","given":"Anna","non-dropping-particle":"","parse-names":false,"suffix":""},{"dropping-particle":"","family":"Eli","given":"Shari","non-dropping-particle":"","parse-names":false,"suffix":""},{"dropping-particle":"","family":"Ferrie","given":"Joseph","non-dropping-particle":"","parse-names":false,"suffix":""},{"dropping-particle":"","family":"Muney","given":"Adriana Lleras","non-dropping-particle":"","parse-names":false,"suffix":""}],"container-title":"American Economic Review","id":"ITEM-1","issue":"4","issued":{"date-parts":[["2016","4","1"]]},"page":"935-71","publisher":"American Economic Association","title":"The Long-Run Impact of Cash Transfers to Poor Families","type":"article-journal","volume":"106"},"uris":["http://www.mendeley.com/documents/?uuid=454b521a-6187-3980-a58e-851ee25c4c28"]}],"mendeley":{"formattedCitation":"(Aizer, Eli, et al., 2016)","manualFormatting":"Aizer, Eli, et al. (2016)","plainTextFormattedCitation":"(Aizer, Eli, et al., 2016)","previouslyFormattedCitation":"(Aizer, Eli, et al., 2016)"},"properties":{"noteIndex":0},"schema":"https://github.com/citation-style-language/schema/raw/master/csl-citation.json"}</w:instrText>
      </w:r>
      <w:r w:rsidRPr="00A57EB6">
        <w:rPr>
          <w:rFonts w:cstheme="majorBidi"/>
          <w:color w:val="000000" w:themeColor="text1"/>
          <w:szCs w:val="24"/>
        </w:rPr>
        <w:fldChar w:fldCharType="separate"/>
      </w:r>
      <w:r w:rsidRPr="00A57EB6">
        <w:rPr>
          <w:rFonts w:cstheme="majorBidi"/>
          <w:noProof/>
          <w:color w:val="000000" w:themeColor="text1"/>
          <w:szCs w:val="24"/>
        </w:rPr>
        <w:t>Aizer, Eli, et al. (2016)</w:t>
      </w:r>
      <w:r w:rsidRPr="00A57EB6">
        <w:rPr>
          <w:rFonts w:cstheme="majorBidi"/>
          <w:color w:val="000000" w:themeColor="text1"/>
          <w:szCs w:val="24"/>
        </w:rPr>
        <w:fldChar w:fldCharType="end"/>
      </w:r>
      <w:r w:rsidRPr="00A57EB6">
        <w:rPr>
          <w:rFonts w:cstheme="majorBidi"/>
          <w:color w:val="000000" w:themeColor="text1"/>
          <w:szCs w:val="24"/>
        </w:rPr>
        <w:t xml:space="preserve"> and </w:t>
      </w:r>
      <w:r w:rsidRPr="00A57EB6">
        <w:rPr>
          <w:rFonts w:cstheme="majorBidi"/>
          <w:color w:val="000000" w:themeColor="text1"/>
          <w:szCs w:val="24"/>
        </w:rPr>
        <w:fldChar w:fldCharType="begin" w:fldLock="1"/>
      </w:r>
      <w:r w:rsidRPr="00A57EB6">
        <w:rPr>
          <w:rFonts w:cstheme="majorBidi"/>
          <w:color w:val="000000" w:themeColor="text1"/>
          <w:szCs w:val="24"/>
        </w:rPr>
        <w:instrText>ADDIN CSL_CITATION {"citationItems":[{"id":"ITEM-1","itemData":{"DOI":"10.3386/W27103","abstract":"We study the Civilian Conservation Corps (CCC)-the first and largest youth training program in the U.S. in operation between 1933 and 1942-to provide the first comprehensive assessment of the short-and long-term effects of means-tested youth employment programs. We use digitized enrollee records from the CCC program in Colorado and New Mexico and matched these records to the 1940 Census, WWII enlistment records, Social Security Administration records, and death certificates. We find that enrollees who spent more time in CCC training grew taller, lived longer lives and had higher lifetime earnings as a result of their participation in the program. We also find modest increases in the educational attainment of the participants and increases in short term geographic mobility. In contrast, we find no evidence that their labor force participation or wages increased in the short run. To assess the internal and external validity of the results, we compare our estimates to those derived from a randomized evaluation of Job Corps, the modern version of the CCC, conducted in the 1990s. The RCT's results show that our empirical strategy delivers estimates that are in line with the experimental estimates. Overall, we find significant long-term benefits in both longevity and earnings, suggesting short and medium-term evaluations underestimate the returns of training programs, as do those that fail to consider effects on longevity.","author":[{"dropping-particle":"","family":"Aizer","given":"Anna","non-dropping-particle":"","parse-names":false,"suffix":""},{"dropping-particle":"","family":"Eli","given":"Shari","non-dropping-particle":"","parse-names":false,"suffix":""},{"dropping-particle":"","family":"Lleras-Muney","given":"Adriana","non-dropping-particle":"","parse-names":false,"suffix":""},{"dropping-particle":"","family":"Lee","given":"Keyoung","non-dropping-particle":"","parse-names":false,"suffix":""}],"id":"ITEM-1","issued":{"date-parts":[["2020","6","15"]]},"publisher-place":"Cambridge, MA","title":"Do Youth Employment Programs Work? Evidence from the New Deal","type":"article-journal"},"uris":["http://www.mendeley.com/documents/?uuid=3fbac511-5e14-3bd2-9586-a7c8d91a6cc3"]}],"mendeley":{"formattedCitation":"(Aizer et al., 2020)","manualFormatting":"Aizer et al. (2020)","plainTextFormattedCitation":"(Aizer et al., 2020)","previouslyFormattedCitation":"(Aizer et al., 2020)"},"properties":{"noteIndex":0},"schema":"https://github.com/citation-style-language/schema/raw/master/csl-citation.json"}</w:instrText>
      </w:r>
      <w:r w:rsidRPr="00A57EB6">
        <w:rPr>
          <w:rFonts w:cstheme="majorBidi"/>
          <w:color w:val="000000" w:themeColor="text1"/>
          <w:szCs w:val="24"/>
        </w:rPr>
        <w:fldChar w:fldCharType="separate"/>
      </w:r>
      <w:r w:rsidRPr="00A57EB6">
        <w:rPr>
          <w:rFonts w:cstheme="majorBidi"/>
          <w:noProof/>
          <w:color w:val="000000" w:themeColor="text1"/>
          <w:szCs w:val="24"/>
        </w:rPr>
        <w:t>Aizer et al. (2020)</w:t>
      </w:r>
      <w:r w:rsidRPr="00A57EB6">
        <w:rPr>
          <w:rFonts w:cstheme="majorBidi"/>
          <w:color w:val="000000" w:themeColor="text1"/>
          <w:szCs w:val="24"/>
        </w:rPr>
        <w:fldChar w:fldCharType="end"/>
      </w:r>
      <w:r w:rsidRPr="00A57EB6">
        <w:rPr>
          <w:rFonts w:cstheme="majorBidi"/>
          <w:color w:val="000000" w:themeColor="text1"/>
          <w:szCs w:val="24"/>
        </w:rPr>
        <w:t xml:space="preserve"> that focused on the introduction of the U.S. Mother’s Pension program in 1937 and the largest youth training program in history implemented during the New Deal, respectively, showed significant effects of these government interventions on beneficiaries’ life expectancy.</w:t>
      </w:r>
    </w:p>
  </w:footnote>
  <w:footnote w:id="10">
    <w:p w14:paraId="5C859A10" w14:textId="208A050D" w:rsidR="00C114EB" w:rsidRDefault="00C114EB" w:rsidP="00A912D2">
      <w:pPr>
        <w:pStyle w:val="FootnoteText"/>
        <w:jc w:val="both"/>
      </w:pPr>
      <w:r>
        <w:rPr>
          <w:rStyle w:val="FootnoteReference"/>
        </w:rPr>
        <w:footnoteRef/>
      </w:r>
      <w:r>
        <w:t xml:space="preserve"> The bank deposit data does not include data for Wyoming and DC. Also, the 1940 census does not include Alaska and Hawaii. These states are therefore omitted from the sample. </w:t>
      </w:r>
    </w:p>
  </w:footnote>
  <w:footnote w:id="11">
    <w:p w14:paraId="4CBC1897" w14:textId="27DA70CE" w:rsidR="001D6DFC" w:rsidRDefault="001D6DFC">
      <w:pPr>
        <w:pStyle w:val="FootnoteText"/>
      </w:pPr>
      <w:r>
        <w:rPr>
          <w:rStyle w:val="FootnoteReference"/>
        </w:rPr>
        <w:footnoteRef/>
      </w:r>
      <w:r>
        <w:t xml:space="preserve"> We use county-level per-capita deposits and use a weighted average of this value for each state where weights are mean county population over the sample period. </w:t>
      </w:r>
    </w:p>
  </w:footnote>
  <w:footnote w:id="12">
    <w:p w14:paraId="48025927" w14:textId="4CEF5A97" w:rsidR="00E634F0" w:rsidRDefault="00E634F0">
      <w:pPr>
        <w:pStyle w:val="FootnoteText"/>
      </w:pPr>
      <w:r>
        <w:rPr>
          <w:rStyle w:val="FootnoteReference"/>
        </w:rPr>
        <w:footnoteRef/>
      </w:r>
      <w:r>
        <w:t xml:space="preserve"> This number is calculated using the marginal effect of column 4 of </w:t>
      </w:r>
      <w:r>
        <w:fldChar w:fldCharType="begin"/>
      </w:r>
      <w:r>
        <w:instrText xml:space="preserve"> REF _Ref111322750 \h </w:instrText>
      </w:r>
      <w:r>
        <w:fldChar w:fldCharType="separate"/>
      </w:r>
      <w:r w:rsidR="00CA5B9D">
        <w:t xml:space="preserve">Table </w:t>
      </w:r>
      <w:r w:rsidR="00CA5B9D">
        <w:rPr>
          <w:noProof/>
        </w:rPr>
        <w:t>4</w:t>
      </w:r>
      <w:r>
        <w:fldChar w:fldCharType="end"/>
      </w:r>
      <w:r>
        <w:t xml:space="preserve"> (</w:t>
      </w:r>
      <w:r w:rsidR="002C2C9F">
        <w:t>1.7</w:t>
      </w:r>
      <w:r>
        <w:t xml:space="preserve">), the marginal effect of column 6 of </w:t>
      </w:r>
      <w:r>
        <w:fldChar w:fldCharType="begin"/>
      </w:r>
      <w:r>
        <w:instrText xml:space="preserve"> REF _Ref97928819 \h </w:instrText>
      </w:r>
      <w:r>
        <w:fldChar w:fldCharType="separate"/>
      </w:r>
      <w:r w:rsidR="00CA5B9D" w:rsidRPr="00033EB9">
        <w:rPr>
          <w:rFonts w:cstheme="majorBidi"/>
        </w:rPr>
        <w:t xml:space="preserve">Table </w:t>
      </w:r>
      <w:r w:rsidR="00CA5B9D">
        <w:rPr>
          <w:rFonts w:cstheme="majorBidi"/>
          <w:noProof/>
        </w:rPr>
        <w:t>7</w:t>
      </w:r>
      <w:r>
        <w:fldChar w:fldCharType="end"/>
      </w:r>
      <w:r>
        <w:t xml:space="preserve"> (0.42), and the change of 1.5 standard-deviations in state-level income, as follows: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0.42</m:t>
                </m:r>
              </m:den>
            </m:f>
          </m:e>
        </m:d>
        <m:r>
          <w:rPr>
            <w:rFonts w:ascii="Cambria Math" w:hAnsi="Cambria Math"/>
          </w:rPr>
          <m:t>×</m:t>
        </m:r>
        <m:r>
          <w:rPr>
            <w:rFonts w:ascii="Cambria Math" w:eastAsiaTheme="minorEastAsia" w:hAnsi="Cambria Math"/>
          </w:rPr>
          <m:t>1.5×1.7</m:t>
        </m:r>
      </m:oMath>
      <w:r>
        <w:rPr>
          <w:rFonts w:eastAsiaTheme="minorEastAsia"/>
        </w:rPr>
        <w:t>.</w:t>
      </w:r>
    </w:p>
  </w:footnote>
  <w:footnote w:id="13">
    <w:p w14:paraId="5C48B72B" w14:textId="5D5694D5" w:rsidR="007F0C3F" w:rsidRDefault="007F0C3F" w:rsidP="007F0C3F">
      <w:pPr>
        <w:pStyle w:val="FootnoteText"/>
        <w:jc w:val="both"/>
      </w:pPr>
      <w:r>
        <w:rPr>
          <w:rStyle w:val="FootnoteReference"/>
        </w:rPr>
        <w:footnoteRef/>
      </w:r>
      <w:r>
        <w:t xml:space="preserve"> We use the variable indicating birth year in the 1960 censuses to identify cohorts born between 1928-1936. The reason behind this cohort selection is to have a sample of cohorts similar to the DMF-census-linked sample used in the main analysis of the paper. </w:t>
      </w:r>
    </w:p>
  </w:footnote>
  <w:footnote w:id="14">
    <w:p w14:paraId="45FF9619" w14:textId="75465F86" w:rsidR="00AE23FF" w:rsidRDefault="00AE23FF">
      <w:pPr>
        <w:pStyle w:val="FootnoteText"/>
      </w:pPr>
      <w:r>
        <w:rPr>
          <w:rStyle w:val="FootnoteReference"/>
        </w:rPr>
        <w:footnoteRef/>
      </w:r>
      <w:r>
        <w:t xml:space="preserve"> Since in many cases PUMA contains several SEAs, we most of the identifying variation comes from PUMA-year level, we avoid using SEA-year fixed effects. Instead, we include state-year fixed effects. </w:t>
      </w:r>
    </w:p>
  </w:footnote>
  <w:footnote w:id="15">
    <w:p w14:paraId="069E0A9F" w14:textId="1B1D4918" w:rsidR="00950A0F" w:rsidRDefault="00950A0F" w:rsidP="00DE3AC3">
      <w:pPr>
        <w:pStyle w:val="FootnoteText"/>
        <w:jc w:val="both"/>
      </w:pPr>
      <w:r>
        <w:rPr>
          <w:rStyle w:val="FootnoteReference"/>
        </w:rPr>
        <w:footnoteRef/>
      </w:r>
      <w:r>
        <w:t xml:space="preserve"> The treatment-on-treated calculation of </w:t>
      </w:r>
      <w:r w:rsidRPr="00033EB9">
        <w:rPr>
          <w:rFonts w:eastAsiaTheme="minorEastAsia" w:cstheme="majorBidi"/>
          <w:szCs w:val="24"/>
        </w:rPr>
        <w:fldChar w:fldCharType="begin" w:fldLock="1"/>
      </w:r>
      <w:r w:rsidR="00075E74">
        <w:rPr>
          <w:rFonts w:eastAsiaTheme="minorEastAsia" w:cstheme="majorBidi"/>
          <w:szCs w:val="24"/>
        </w:rPr>
        <w:instrText>ADDIN CSL_CITATION {"citationItems":[{"id":"ITEM-1","itemData":{"DOI":"10.3386/W29423","abstract":"This paper explores the long-run health benefits of education for longevity. Using mortality data from the Social Security Administration (1988-2005) linked to geographic locations in the 1940-census data, we exploit changes in college availability across cohorts in local areas. We estimate an intent to treat effect of exposure to an additional 4-year college around age 17 of increasing longevity by 0.13 months; treatment on the treated calculations suggest increases in longevity between 1-1.6 years. Some further analyses suggest the results are not driven by pretends , endogenous migration, and other time-varying local confounders. This paper adds to the literature on the health and social benefits of education.","author":[{"dropping-particle":"","family":"Fletcher","given":"Jason","non-dropping-particle":"","parse-names":false,"suffix":""},{"dropping-particle":"","family":"Noghanibehambari","given":"Hamid","non-dropping-particle":"","parse-names":false,"suffix":""}],"id":"ITEM-1","issued":{"date-parts":[["2021","11","1"]]},"publisher-place":"Cambridge, MA","title":"The Effects of Education on Mortality: Evidence Using College Expansions","type":"article-journal"},"uris":["http://www.mendeley.com/documents/?uuid=ec91619b-11d0-3cdc-ba86-ba12997bf6aa"]}],"mendeley":{"formattedCitation":"(J. Fletcher &amp; Noghanibehambari, 2021)","manualFormatting":"Fletcher &amp; Noghanibehambari (2021)","plainTextFormattedCitation":"(J. Fletcher &amp; Noghanibehambari, 2021)","previouslyFormattedCitation":"(J. Fletcher &amp; Noghanibehambari, 2021)"},"properties":{"noteIndex":0},"schema":"https://github.com/citation-style-language/schema/raw/master/csl-citation.json"}</w:instrText>
      </w:r>
      <w:r w:rsidRPr="00033EB9">
        <w:rPr>
          <w:rFonts w:eastAsiaTheme="minorEastAsia" w:cstheme="majorBidi"/>
          <w:szCs w:val="24"/>
        </w:rPr>
        <w:fldChar w:fldCharType="separate"/>
      </w:r>
      <w:r w:rsidRPr="00033EB9">
        <w:rPr>
          <w:rFonts w:eastAsiaTheme="minorEastAsia" w:cstheme="majorBidi"/>
          <w:noProof/>
          <w:szCs w:val="24"/>
        </w:rPr>
        <w:t>Fletcher &amp; Noghanibehambari (2021)</w:t>
      </w:r>
      <w:r w:rsidRPr="00033EB9">
        <w:rPr>
          <w:rFonts w:eastAsiaTheme="minorEastAsia" w:cstheme="majorBidi"/>
          <w:szCs w:val="24"/>
        </w:rPr>
        <w:fldChar w:fldCharType="end"/>
      </w:r>
      <w:r>
        <w:rPr>
          <w:rFonts w:eastAsiaTheme="minorEastAsia" w:cstheme="majorBidi"/>
          <w:szCs w:val="24"/>
        </w:rPr>
        <w:t xml:space="preserve"> suggests 1.6 years of increased longevity as a result of college education. </w:t>
      </w:r>
      <w:r w:rsidR="00DE3AC3">
        <w:rPr>
          <w:rFonts w:eastAsiaTheme="minorEastAsia" w:cstheme="majorBidi"/>
          <w:szCs w:val="24"/>
        </w:rPr>
        <w:t xml:space="preserve">We combine this number with the estimated effect of column 2 of </w:t>
      </w:r>
      <w:r w:rsidR="00DE3AC3">
        <w:rPr>
          <w:rFonts w:eastAsiaTheme="minorEastAsia" w:cstheme="majorBidi"/>
          <w:szCs w:val="24"/>
        </w:rPr>
        <w:fldChar w:fldCharType="begin"/>
      </w:r>
      <w:r w:rsidR="00DE3AC3">
        <w:rPr>
          <w:rFonts w:eastAsiaTheme="minorEastAsia" w:cstheme="majorBidi"/>
          <w:szCs w:val="24"/>
        </w:rPr>
        <w:instrText xml:space="preserve"> REF _Ref97972499 \h </w:instrText>
      </w:r>
      <w:r w:rsidR="00DE3AC3">
        <w:rPr>
          <w:rFonts w:eastAsiaTheme="minorEastAsia" w:cstheme="majorBidi"/>
          <w:szCs w:val="24"/>
        </w:rPr>
      </w:r>
      <w:r w:rsidR="00DE3AC3">
        <w:rPr>
          <w:rFonts w:eastAsiaTheme="minorEastAsia" w:cstheme="majorBidi"/>
          <w:szCs w:val="24"/>
        </w:rPr>
        <w:fldChar w:fldCharType="separate"/>
      </w:r>
      <w:r w:rsidR="00CA5B9D" w:rsidRPr="00033EB9">
        <w:rPr>
          <w:rFonts w:cstheme="majorBidi"/>
        </w:rPr>
        <w:t xml:space="preserve">Table </w:t>
      </w:r>
      <w:r w:rsidR="00CA5B9D">
        <w:rPr>
          <w:rFonts w:cstheme="majorBidi"/>
          <w:noProof/>
        </w:rPr>
        <w:t>11</w:t>
      </w:r>
      <w:r w:rsidR="00DE3AC3">
        <w:rPr>
          <w:rFonts w:eastAsiaTheme="minorEastAsia" w:cstheme="majorBidi"/>
          <w:szCs w:val="24"/>
        </w:rPr>
        <w:fldChar w:fldCharType="end"/>
      </w:r>
      <w:r w:rsidR="00DE3AC3">
        <w:rPr>
          <w:rFonts w:eastAsiaTheme="minorEastAsia" w:cstheme="majorBidi"/>
          <w:szCs w:val="24"/>
        </w:rPr>
        <w:t xml:space="preserve"> </w:t>
      </w:r>
      <w:proofErr w:type="gramStart"/>
      <w:r w:rsidR="00DE3AC3">
        <w:rPr>
          <w:rFonts w:eastAsiaTheme="minorEastAsia" w:cstheme="majorBidi"/>
          <w:szCs w:val="24"/>
        </w:rPr>
        <w:t>assuming that</w:t>
      </w:r>
      <w:proofErr w:type="gramEnd"/>
      <w:r w:rsidR="00DE3AC3">
        <w:rPr>
          <w:rFonts w:eastAsiaTheme="minorEastAsia" w:cstheme="majorBidi"/>
          <w:szCs w:val="24"/>
        </w:rPr>
        <w:t xml:space="preserve"> the effects solely operate through college education channel. Hence, a one-standard deviation rise in deposits is associated with 0.005</w:t>
      </w:r>
      <w:r w:rsidR="00A8609A">
        <w:rPr>
          <w:rFonts w:eastAsiaTheme="minorEastAsia" w:cstheme="majorBidi"/>
          <w:szCs w:val="24"/>
        </w:rPr>
        <w:t>7</w:t>
      </w:r>
      <m:oMath>
        <m:r>
          <w:rPr>
            <w:rFonts w:ascii="Cambria Math" w:eastAsiaTheme="minorEastAsia" w:hAnsi="Cambria Math" w:cstheme="majorBidi"/>
            <w:szCs w:val="24"/>
          </w:rPr>
          <m:t>×</m:t>
        </m:r>
      </m:oMath>
      <w:r w:rsidR="00DE3AC3">
        <w:rPr>
          <w:rFonts w:eastAsiaTheme="minorEastAsia" w:cstheme="majorBidi"/>
          <w:szCs w:val="24"/>
        </w:rPr>
        <w:t xml:space="preserve">1.6 years or 0.11 months of additional life. This number is </w:t>
      </w:r>
      <w:r w:rsidR="00A8609A">
        <w:rPr>
          <w:rFonts w:eastAsiaTheme="minorEastAsia" w:cstheme="majorBidi"/>
          <w:szCs w:val="24"/>
        </w:rPr>
        <w:t>6.4</w:t>
      </w:r>
      <w:r w:rsidR="00DE3AC3">
        <w:rPr>
          <w:rFonts w:eastAsiaTheme="minorEastAsia" w:cstheme="majorBidi"/>
          <w:szCs w:val="24"/>
        </w:rPr>
        <w:t xml:space="preserve"> percent of the marginal effect of the reduced-form effect of deposits in longevity reported in column 4 of </w:t>
      </w:r>
      <w:r w:rsidR="00DE3AC3">
        <w:rPr>
          <w:rFonts w:eastAsiaTheme="minorEastAsia" w:cstheme="majorBidi"/>
          <w:szCs w:val="24"/>
        </w:rPr>
        <w:fldChar w:fldCharType="begin"/>
      </w:r>
      <w:r w:rsidR="00DE3AC3">
        <w:rPr>
          <w:rFonts w:eastAsiaTheme="minorEastAsia" w:cstheme="majorBidi"/>
          <w:szCs w:val="24"/>
        </w:rPr>
        <w:instrText xml:space="preserve"> REF _Ref111322750 \h </w:instrText>
      </w:r>
      <w:r w:rsidR="00DE3AC3">
        <w:rPr>
          <w:rFonts w:eastAsiaTheme="minorEastAsia" w:cstheme="majorBidi"/>
          <w:szCs w:val="24"/>
        </w:rPr>
      </w:r>
      <w:r w:rsidR="00DE3AC3">
        <w:rPr>
          <w:rFonts w:eastAsiaTheme="minorEastAsia" w:cstheme="majorBidi"/>
          <w:szCs w:val="24"/>
        </w:rPr>
        <w:fldChar w:fldCharType="separate"/>
      </w:r>
      <w:r w:rsidR="00CA5B9D">
        <w:t xml:space="preserve">Table </w:t>
      </w:r>
      <w:r w:rsidR="00CA5B9D">
        <w:rPr>
          <w:noProof/>
        </w:rPr>
        <w:t>4</w:t>
      </w:r>
      <w:r w:rsidR="00DE3AC3">
        <w:rPr>
          <w:rFonts w:eastAsiaTheme="minorEastAsia" w:cstheme="majorBidi"/>
          <w:szCs w:val="24"/>
        </w:rPr>
        <w:fldChar w:fldCharType="end"/>
      </w:r>
      <w:r w:rsidR="00DE3AC3">
        <w:rPr>
          <w:rFonts w:eastAsiaTheme="minorEastAsia" w:cstheme="majorBidi"/>
          <w:szCs w:val="24"/>
        </w:rPr>
        <w:t xml:space="preserve"> (100</w:t>
      </w:r>
      <m:oMath>
        <m:r>
          <w:rPr>
            <w:rFonts w:ascii="Cambria Math" w:eastAsiaTheme="minorEastAsia" w:hAnsi="Cambria Math" w:cstheme="majorBidi"/>
            <w:szCs w:val="24"/>
          </w:rPr>
          <m:t>×</m:t>
        </m:r>
      </m:oMath>
      <w:r w:rsidR="00DE3AC3">
        <w:rPr>
          <w:rFonts w:eastAsiaTheme="minorEastAsia" w:cstheme="majorBidi"/>
          <w:szCs w:val="24"/>
        </w:rPr>
        <w:t>0.11/</w:t>
      </w:r>
      <w:r w:rsidR="00A8609A">
        <w:rPr>
          <w:rFonts w:eastAsiaTheme="minorEastAsia" w:cstheme="majorBidi"/>
          <w:szCs w:val="24"/>
        </w:rPr>
        <w:t>1.7</w:t>
      </w:r>
      <w:r w:rsidR="00DE3AC3">
        <w:rPr>
          <w:rFonts w:eastAsiaTheme="minorEastAsia" w:cstheme="majorBidi"/>
          <w:szCs w:val="24"/>
        </w:rPr>
        <w:t>).</w:t>
      </w:r>
    </w:p>
  </w:footnote>
  <w:footnote w:id="16">
    <w:p w14:paraId="605C8C4E" w14:textId="757F9D0F" w:rsidR="00E01896" w:rsidRDefault="00E01896">
      <w:pPr>
        <w:pStyle w:val="FootnoteText"/>
      </w:pPr>
      <w:r>
        <w:rPr>
          <w:rStyle w:val="FootnoteReference"/>
        </w:rPr>
        <w:footnoteRef/>
      </w:r>
      <w:r>
        <w:t xml:space="preserve"> This is calculated using 0.34 </w:t>
      </w:r>
      <w:r w:rsidR="00A8609A">
        <w:t xml:space="preserve">years </w:t>
      </w:r>
      <w:r>
        <w:t xml:space="preserve">effect of </w:t>
      </w:r>
      <w:r w:rsidRPr="00033EB9">
        <w:rPr>
          <w:rFonts w:eastAsiaTheme="minorEastAsia" w:cstheme="majorBidi"/>
          <w:szCs w:val="24"/>
        </w:rPr>
        <w:fldChar w:fldCharType="begin" w:fldLock="1"/>
      </w:r>
      <w:r w:rsidRPr="00033EB9">
        <w:rPr>
          <w:rFonts w:eastAsiaTheme="minorEastAsia" w:cstheme="majorBidi"/>
          <w:szCs w:val="24"/>
        </w:rPr>
        <w:instrText>ADDIN CSL_CITATION {"citationItems":[{"id":"ITEM-1","itemData":{"DOI":"10.1007/S13524-020-00892-6","ISSN":"0070-3370","abstract":"Does education change people's lives in a way that delays mortality? Or is education primarily a proxy for unobserved endowments that promote longevity? Most scholars conclude that the former is true, but recent evidence based on Danish twin data calls this conclusion into question. Unfortunately, these potentially field-changing findings—that obtaining additional schooling has no independent effect on survival net of other hard-to-observe characteristics—have not yet been subject to replication outside Scandinavia. In this article, we produce the first U.S.-based estimates of the effects of education on mortality using a representative panel of male twin pairs drawn from linked complete-count census and death records. For comparison purposes, and to shed additional light on the roles that neighborhood, family, and genetic factors play in confounding associations between education and mortality, we also produce parallel estimates of the education-mortality relationship using data on (1) unrelated males who lived in different neighborhoods during childhood, (2) unrelated males who shared the same neighborhood growing up, and (3) non-twin siblings who shared the same family environment but whose genetic endowments vary to a greater degree. We find robust associations between education and mortality across all four samples, although estimates are modestly attenuated among twins and non-twin siblings. These findings—coupled with several robustness checks and sensitivity analyses—support a causal interpretation of the association between education and mortality for cohorts of boys born in the United States in the first part of the twentieth century.","author":[{"dropping-particle":"","family":"Halpern-Manners","given":"Andrew","non-dropping-particle":"","parse-names":false,"suffix":""},{"dropping-particle":"","family":"Helgertz","given":"Jonas","non-dropping-particle":"","parse-names":false,"suffix":""},{"dropping-particle":"","family":"Warren","given":"John Robert","non-dropping-particle":"","parse-names":false,"suffix":""},{"dropping-particle":"","family":"Roberts","given":"Evan","non-dropping-particle":"","parse-names":false,"suffix":""}],"container-title":"Demography","id":"ITEM-1","issue":"4","issued":{"date-parts":[["2020","8"]]},"page":"1513-1541","publisher":"Duke University Press","title":"The Effects of Education on Mortality: Evidence From Linked U.S. Census and Administrative Mortality Data","type":"article-journal","volume":"57"},"uris":["http://www.mendeley.com/documents/?uuid=e920c3dc-29ad-483d-b320-71561b050cd5"]}],"mendeley":{"formattedCitation":"(Halpern-Manners et al., 2020)","manualFormatting":"Halpern-Manners et al. (2020)","plainTextFormattedCitation":"(Halpern-Manners et al., 2020)","previouslyFormattedCitation":"(Halpern-Manners et al., 2020)"},"properties":{"noteIndex":0},"schema":"https://github.com/citation-style-language/schema/raw/master/csl-citation.json"}</w:instrText>
      </w:r>
      <w:r w:rsidRPr="00033EB9">
        <w:rPr>
          <w:rFonts w:eastAsiaTheme="minorEastAsia" w:cstheme="majorBidi"/>
          <w:szCs w:val="24"/>
        </w:rPr>
        <w:fldChar w:fldCharType="separate"/>
      </w:r>
      <w:r w:rsidRPr="00033EB9">
        <w:rPr>
          <w:rFonts w:eastAsiaTheme="minorEastAsia" w:cstheme="majorBidi"/>
          <w:noProof/>
          <w:szCs w:val="24"/>
        </w:rPr>
        <w:t>Halpern-Manners et al. (2020)</w:t>
      </w:r>
      <w:r w:rsidRPr="00033EB9">
        <w:rPr>
          <w:rFonts w:eastAsiaTheme="minorEastAsia" w:cstheme="majorBidi"/>
          <w:szCs w:val="24"/>
        </w:rPr>
        <w:fldChar w:fldCharType="end"/>
      </w:r>
      <w:r>
        <w:rPr>
          <w:rFonts w:eastAsiaTheme="minorEastAsia" w:cstheme="majorBidi"/>
          <w:szCs w:val="24"/>
        </w:rPr>
        <w:t xml:space="preserve">, column 4 of </w:t>
      </w:r>
      <w:r>
        <w:rPr>
          <w:rFonts w:eastAsiaTheme="minorEastAsia" w:cstheme="majorBidi"/>
          <w:szCs w:val="24"/>
        </w:rPr>
        <w:fldChar w:fldCharType="begin"/>
      </w:r>
      <w:r>
        <w:rPr>
          <w:rFonts w:eastAsiaTheme="minorEastAsia" w:cstheme="majorBidi"/>
          <w:szCs w:val="24"/>
        </w:rPr>
        <w:instrText xml:space="preserve"> REF _Ref111322750 \h </w:instrText>
      </w:r>
      <w:r>
        <w:rPr>
          <w:rFonts w:eastAsiaTheme="minorEastAsia" w:cstheme="majorBidi"/>
          <w:szCs w:val="24"/>
        </w:rPr>
      </w:r>
      <w:r>
        <w:rPr>
          <w:rFonts w:eastAsiaTheme="minorEastAsia" w:cstheme="majorBidi"/>
          <w:szCs w:val="24"/>
        </w:rPr>
        <w:fldChar w:fldCharType="separate"/>
      </w:r>
      <w:r w:rsidR="00CA5B9D">
        <w:t xml:space="preserve">Table </w:t>
      </w:r>
      <w:r w:rsidR="00CA5B9D">
        <w:rPr>
          <w:noProof/>
        </w:rPr>
        <w:t>4</w:t>
      </w:r>
      <w:r>
        <w:rPr>
          <w:rFonts w:eastAsiaTheme="minorEastAsia" w:cstheme="majorBidi"/>
          <w:szCs w:val="24"/>
        </w:rPr>
        <w:fldChar w:fldCharType="end"/>
      </w:r>
      <w:r>
        <w:rPr>
          <w:rFonts w:eastAsiaTheme="minorEastAsia" w:cstheme="majorBidi"/>
          <w:szCs w:val="24"/>
        </w:rPr>
        <w:t xml:space="preserve"> (</w:t>
      </w:r>
      <w:r w:rsidR="00A8609A">
        <w:rPr>
          <w:rFonts w:eastAsiaTheme="minorEastAsia" w:cstheme="majorBidi"/>
          <w:szCs w:val="24"/>
        </w:rPr>
        <w:t>1</w:t>
      </w:r>
      <w:r>
        <w:rPr>
          <w:rFonts w:eastAsiaTheme="minorEastAsia" w:cstheme="majorBidi"/>
          <w:szCs w:val="24"/>
        </w:rPr>
        <w:t xml:space="preserve">.7), and column 1 of </w:t>
      </w:r>
      <w:r>
        <w:rPr>
          <w:rFonts w:eastAsiaTheme="minorEastAsia" w:cstheme="majorBidi"/>
          <w:szCs w:val="24"/>
        </w:rPr>
        <w:fldChar w:fldCharType="begin"/>
      </w:r>
      <w:r>
        <w:rPr>
          <w:rFonts w:eastAsiaTheme="minorEastAsia" w:cstheme="majorBidi"/>
          <w:szCs w:val="24"/>
        </w:rPr>
        <w:instrText xml:space="preserve"> REF _Ref97972499 \h </w:instrText>
      </w:r>
      <w:r>
        <w:rPr>
          <w:rFonts w:eastAsiaTheme="minorEastAsia" w:cstheme="majorBidi"/>
          <w:szCs w:val="24"/>
        </w:rPr>
      </w:r>
      <w:r>
        <w:rPr>
          <w:rFonts w:eastAsiaTheme="minorEastAsia" w:cstheme="majorBidi"/>
          <w:szCs w:val="24"/>
        </w:rPr>
        <w:fldChar w:fldCharType="separate"/>
      </w:r>
      <w:r w:rsidR="00CA5B9D" w:rsidRPr="00033EB9">
        <w:rPr>
          <w:rFonts w:cstheme="majorBidi"/>
        </w:rPr>
        <w:t xml:space="preserve">Table </w:t>
      </w:r>
      <w:r w:rsidR="00CA5B9D">
        <w:rPr>
          <w:rFonts w:cstheme="majorBidi"/>
          <w:noProof/>
        </w:rPr>
        <w:t>11</w:t>
      </w:r>
      <w:r>
        <w:rPr>
          <w:rFonts w:eastAsiaTheme="minorEastAsia" w:cstheme="majorBidi"/>
          <w:szCs w:val="24"/>
        </w:rPr>
        <w:fldChar w:fldCharType="end"/>
      </w:r>
      <w:r>
        <w:rPr>
          <w:rFonts w:eastAsiaTheme="minorEastAsia" w:cstheme="majorBidi"/>
          <w:szCs w:val="24"/>
        </w:rPr>
        <w:t xml:space="preserve"> (0.03</w:t>
      </w:r>
      <w:r w:rsidR="00A8609A">
        <w:rPr>
          <w:rFonts w:eastAsiaTheme="minorEastAsia" w:cstheme="majorBidi"/>
          <w:szCs w:val="24"/>
        </w:rPr>
        <w:t>7</w:t>
      </w:r>
      <w:r>
        <w:rPr>
          <w:rFonts w:eastAsiaTheme="minorEastAsia" w:cstheme="majorBidi"/>
          <w:szCs w:val="24"/>
        </w:rPr>
        <w:t xml:space="preserve">), as follows: </w:t>
      </w:r>
      <m:oMath>
        <m:f>
          <m:fPr>
            <m:ctrlPr>
              <w:rPr>
                <w:rFonts w:ascii="Cambria Math" w:eastAsiaTheme="minorEastAsia" w:hAnsi="Cambria Math" w:cstheme="majorBidi"/>
                <w:i/>
                <w:szCs w:val="24"/>
              </w:rPr>
            </m:ctrlPr>
          </m:fPr>
          <m:num>
            <m:r>
              <w:rPr>
                <w:rFonts w:ascii="Cambria Math" w:eastAsiaTheme="minorEastAsia" w:hAnsi="Cambria Math" w:cstheme="majorBidi"/>
                <w:szCs w:val="24"/>
              </w:rPr>
              <m:t>0.34×12×0.037</m:t>
            </m:r>
          </m:num>
          <m:den>
            <m:r>
              <w:rPr>
                <w:rFonts w:ascii="Cambria Math" w:eastAsiaTheme="minorEastAsia" w:hAnsi="Cambria Math" w:cstheme="majorBidi"/>
                <w:szCs w:val="24"/>
              </w:rPr>
              <m:t>1.7</m:t>
            </m:r>
          </m:den>
        </m:f>
        <m:r>
          <w:rPr>
            <w:rFonts w:ascii="Cambria Math" w:eastAsiaTheme="minorEastAsia" w:hAnsi="Cambria Math" w:cstheme="majorBidi"/>
            <w:szCs w:val="24"/>
          </w:rPr>
          <m:t>×100</m:t>
        </m:r>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7BA"/>
    <w:multiLevelType w:val="hybridMultilevel"/>
    <w:tmpl w:val="514A0DF0"/>
    <w:lvl w:ilvl="0" w:tplc="30BAAE76">
      <w:start w:val="1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12E"/>
    <w:multiLevelType w:val="hybridMultilevel"/>
    <w:tmpl w:val="FBB285EE"/>
    <w:lvl w:ilvl="0" w:tplc="B4747C4C">
      <w:start w:val="1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4638E"/>
    <w:multiLevelType w:val="hybridMultilevel"/>
    <w:tmpl w:val="DC76319A"/>
    <w:lvl w:ilvl="0" w:tplc="9244A87E">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9390E"/>
    <w:multiLevelType w:val="hybridMultilevel"/>
    <w:tmpl w:val="7E064350"/>
    <w:lvl w:ilvl="0" w:tplc="8982C3C8">
      <w:start w:val="1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36E13"/>
    <w:multiLevelType w:val="multilevel"/>
    <w:tmpl w:val="C2BE7C52"/>
    <w:lvl w:ilvl="0">
      <w:start w:val="1"/>
      <w:numFmt w:val="decimal"/>
      <w:pStyle w:val="Heading1"/>
      <w:lvlText w:val="%1."/>
      <w:lvlJc w:val="left"/>
      <w:pPr>
        <w:ind w:left="720" w:hanging="360"/>
      </w:pPr>
      <w:rPr>
        <w:rFonts w:hint="default"/>
      </w:rPr>
    </w:lvl>
    <w:lvl w:ilvl="1">
      <w:start w:val="1"/>
      <w:numFmt w:val="decimal"/>
      <w:pStyle w:val="Heading2"/>
      <w:suff w:val="space"/>
      <w:lvlText w:val="%1.%2."/>
      <w:lvlJc w:val="left"/>
      <w:pPr>
        <w:ind w:left="144" w:firstLine="21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42E73C4"/>
    <w:multiLevelType w:val="multilevel"/>
    <w:tmpl w:val="22346F14"/>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82519E3"/>
    <w:multiLevelType w:val="multilevel"/>
    <w:tmpl w:val="3F10B0DC"/>
    <w:lvl w:ilvl="0">
      <w:start w:val="1"/>
      <w:numFmt w:val="upperLetter"/>
      <w:pStyle w:val="Heading3"/>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29813904">
    <w:abstractNumId w:val="2"/>
  </w:num>
  <w:num w:numId="2" w16cid:durableId="968241007">
    <w:abstractNumId w:val="6"/>
  </w:num>
  <w:num w:numId="3" w16cid:durableId="200173495">
    <w:abstractNumId w:val="4"/>
  </w:num>
  <w:num w:numId="4" w16cid:durableId="791170873">
    <w:abstractNumId w:val="5"/>
  </w:num>
  <w:num w:numId="5" w16cid:durableId="1019354319">
    <w:abstractNumId w:val="1"/>
  </w:num>
  <w:num w:numId="6" w16cid:durableId="560872155">
    <w:abstractNumId w:val="0"/>
  </w:num>
  <w:num w:numId="7" w16cid:durableId="1927880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oNotTrackMoves/>
  <w:doNotTrackFormatting/>
  <w:documentProtection w:edit="trackedChanges" w:enforcement="0"/>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NQBCMwNDSyMDAyUdpeDU4uLM/DyQAkNjw1oAeqRypy4AAAA="/>
  </w:docVars>
  <w:rsids>
    <w:rsidRoot w:val="00A71878"/>
    <w:rsid w:val="000010EF"/>
    <w:rsid w:val="00001969"/>
    <w:rsid w:val="00002382"/>
    <w:rsid w:val="0000267C"/>
    <w:rsid w:val="000028DD"/>
    <w:rsid w:val="00002984"/>
    <w:rsid w:val="00003315"/>
    <w:rsid w:val="000039DC"/>
    <w:rsid w:val="000044EE"/>
    <w:rsid w:val="0000465A"/>
    <w:rsid w:val="00004AAA"/>
    <w:rsid w:val="00005178"/>
    <w:rsid w:val="000054EB"/>
    <w:rsid w:val="0000561A"/>
    <w:rsid w:val="000062BA"/>
    <w:rsid w:val="0000727D"/>
    <w:rsid w:val="00007651"/>
    <w:rsid w:val="00007790"/>
    <w:rsid w:val="00010462"/>
    <w:rsid w:val="0001064D"/>
    <w:rsid w:val="00010E2D"/>
    <w:rsid w:val="00011356"/>
    <w:rsid w:val="00011A95"/>
    <w:rsid w:val="00013870"/>
    <w:rsid w:val="000141FE"/>
    <w:rsid w:val="00014B20"/>
    <w:rsid w:val="0001506E"/>
    <w:rsid w:val="00015CEF"/>
    <w:rsid w:val="00016451"/>
    <w:rsid w:val="00016CB7"/>
    <w:rsid w:val="0001723A"/>
    <w:rsid w:val="000173D6"/>
    <w:rsid w:val="00017A7C"/>
    <w:rsid w:val="00020046"/>
    <w:rsid w:val="00020A32"/>
    <w:rsid w:val="00021667"/>
    <w:rsid w:val="00021E25"/>
    <w:rsid w:val="000227E5"/>
    <w:rsid w:val="00022F29"/>
    <w:rsid w:val="000230B3"/>
    <w:rsid w:val="00023BA2"/>
    <w:rsid w:val="0002411F"/>
    <w:rsid w:val="00025240"/>
    <w:rsid w:val="000253D8"/>
    <w:rsid w:val="000259D4"/>
    <w:rsid w:val="00026AD5"/>
    <w:rsid w:val="00027D0B"/>
    <w:rsid w:val="00030A6E"/>
    <w:rsid w:val="00031532"/>
    <w:rsid w:val="00031E0D"/>
    <w:rsid w:val="0003203E"/>
    <w:rsid w:val="00032101"/>
    <w:rsid w:val="0003288E"/>
    <w:rsid w:val="000335FB"/>
    <w:rsid w:val="00033EB9"/>
    <w:rsid w:val="00033F9B"/>
    <w:rsid w:val="00034319"/>
    <w:rsid w:val="00034AF7"/>
    <w:rsid w:val="000353DC"/>
    <w:rsid w:val="00035FD6"/>
    <w:rsid w:val="00037BAD"/>
    <w:rsid w:val="00037C14"/>
    <w:rsid w:val="00037D14"/>
    <w:rsid w:val="0004093B"/>
    <w:rsid w:val="000414F6"/>
    <w:rsid w:val="000418D2"/>
    <w:rsid w:val="000420DF"/>
    <w:rsid w:val="000421F2"/>
    <w:rsid w:val="0004264F"/>
    <w:rsid w:val="00042E4F"/>
    <w:rsid w:val="00043A3C"/>
    <w:rsid w:val="00044604"/>
    <w:rsid w:val="00044E57"/>
    <w:rsid w:val="00045995"/>
    <w:rsid w:val="00045D7B"/>
    <w:rsid w:val="000465A9"/>
    <w:rsid w:val="00046894"/>
    <w:rsid w:val="000473C0"/>
    <w:rsid w:val="00047F96"/>
    <w:rsid w:val="000502AB"/>
    <w:rsid w:val="00051515"/>
    <w:rsid w:val="0005181C"/>
    <w:rsid w:val="000522B5"/>
    <w:rsid w:val="0005284E"/>
    <w:rsid w:val="0005317E"/>
    <w:rsid w:val="00054B4A"/>
    <w:rsid w:val="00055558"/>
    <w:rsid w:val="00055AD2"/>
    <w:rsid w:val="00055FB4"/>
    <w:rsid w:val="0005604C"/>
    <w:rsid w:val="0005702A"/>
    <w:rsid w:val="00057269"/>
    <w:rsid w:val="00057959"/>
    <w:rsid w:val="000606D2"/>
    <w:rsid w:val="00060936"/>
    <w:rsid w:val="00061AFD"/>
    <w:rsid w:val="000627F0"/>
    <w:rsid w:val="00062811"/>
    <w:rsid w:val="00062A2E"/>
    <w:rsid w:val="00062C31"/>
    <w:rsid w:val="00063464"/>
    <w:rsid w:val="00063D51"/>
    <w:rsid w:val="0006473F"/>
    <w:rsid w:val="000647CF"/>
    <w:rsid w:val="00065085"/>
    <w:rsid w:val="000653C1"/>
    <w:rsid w:val="00065532"/>
    <w:rsid w:val="00065986"/>
    <w:rsid w:val="00066610"/>
    <w:rsid w:val="00067BD4"/>
    <w:rsid w:val="00070250"/>
    <w:rsid w:val="000715E1"/>
    <w:rsid w:val="000719EA"/>
    <w:rsid w:val="000721EA"/>
    <w:rsid w:val="000724B8"/>
    <w:rsid w:val="00072855"/>
    <w:rsid w:val="00073A3F"/>
    <w:rsid w:val="0007421D"/>
    <w:rsid w:val="00075E74"/>
    <w:rsid w:val="00076593"/>
    <w:rsid w:val="00076B72"/>
    <w:rsid w:val="00076CAE"/>
    <w:rsid w:val="00077CDD"/>
    <w:rsid w:val="00080075"/>
    <w:rsid w:val="00081468"/>
    <w:rsid w:val="0008147B"/>
    <w:rsid w:val="00081722"/>
    <w:rsid w:val="000829C0"/>
    <w:rsid w:val="00082F74"/>
    <w:rsid w:val="00082FAC"/>
    <w:rsid w:val="00083479"/>
    <w:rsid w:val="00084653"/>
    <w:rsid w:val="00084D32"/>
    <w:rsid w:val="0008544A"/>
    <w:rsid w:val="00085DB3"/>
    <w:rsid w:val="00085FCB"/>
    <w:rsid w:val="0008744A"/>
    <w:rsid w:val="00087A54"/>
    <w:rsid w:val="00087C22"/>
    <w:rsid w:val="00090620"/>
    <w:rsid w:val="000909BD"/>
    <w:rsid w:val="00090BEA"/>
    <w:rsid w:val="0009137B"/>
    <w:rsid w:val="000914E9"/>
    <w:rsid w:val="00092B1E"/>
    <w:rsid w:val="00092F43"/>
    <w:rsid w:val="00093232"/>
    <w:rsid w:val="000944C8"/>
    <w:rsid w:val="00094CF9"/>
    <w:rsid w:val="000956F8"/>
    <w:rsid w:val="00095ABB"/>
    <w:rsid w:val="000965F6"/>
    <w:rsid w:val="000969E3"/>
    <w:rsid w:val="00096C80"/>
    <w:rsid w:val="0009784A"/>
    <w:rsid w:val="000A022B"/>
    <w:rsid w:val="000A123C"/>
    <w:rsid w:val="000A16BE"/>
    <w:rsid w:val="000A1E02"/>
    <w:rsid w:val="000A1E1A"/>
    <w:rsid w:val="000A2E84"/>
    <w:rsid w:val="000A32BF"/>
    <w:rsid w:val="000A34CF"/>
    <w:rsid w:val="000A3C37"/>
    <w:rsid w:val="000A491B"/>
    <w:rsid w:val="000A4C41"/>
    <w:rsid w:val="000A609C"/>
    <w:rsid w:val="000A6398"/>
    <w:rsid w:val="000A6729"/>
    <w:rsid w:val="000A67ED"/>
    <w:rsid w:val="000A6895"/>
    <w:rsid w:val="000A6F62"/>
    <w:rsid w:val="000A7C1D"/>
    <w:rsid w:val="000A7D0E"/>
    <w:rsid w:val="000B00C4"/>
    <w:rsid w:val="000B0B1C"/>
    <w:rsid w:val="000B0F26"/>
    <w:rsid w:val="000B1356"/>
    <w:rsid w:val="000B22E6"/>
    <w:rsid w:val="000B2D15"/>
    <w:rsid w:val="000B319A"/>
    <w:rsid w:val="000B3B64"/>
    <w:rsid w:val="000B3F3F"/>
    <w:rsid w:val="000B549C"/>
    <w:rsid w:val="000B57A3"/>
    <w:rsid w:val="000B5D4B"/>
    <w:rsid w:val="000B65E4"/>
    <w:rsid w:val="000C046C"/>
    <w:rsid w:val="000C0B8C"/>
    <w:rsid w:val="000C113A"/>
    <w:rsid w:val="000C1E2D"/>
    <w:rsid w:val="000C2821"/>
    <w:rsid w:val="000C3630"/>
    <w:rsid w:val="000C46C7"/>
    <w:rsid w:val="000C4F21"/>
    <w:rsid w:val="000C5776"/>
    <w:rsid w:val="000C5F33"/>
    <w:rsid w:val="000C672F"/>
    <w:rsid w:val="000C6881"/>
    <w:rsid w:val="000C6C16"/>
    <w:rsid w:val="000C7690"/>
    <w:rsid w:val="000C77D9"/>
    <w:rsid w:val="000C7BE4"/>
    <w:rsid w:val="000D05E5"/>
    <w:rsid w:val="000D0E46"/>
    <w:rsid w:val="000D1780"/>
    <w:rsid w:val="000D1FD2"/>
    <w:rsid w:val="000D2212"/>
    <w:rsid w:val="000D2760"/>
    <w:rsid w:val="000D28C9"/>
    <w:rsid w:val="000D29A1"/>
    <w:rsid w:val="000D2DE4"/>
    <w:rsid w:val="000D30C6"/>
    <w:rsid w:val="000D3591"/>
    <w:rsid w:val="000D3684"/>
    <w:rsid w:val="000D3735"/>
    <w:rsid w:val="000D43D7"/>
    <w:rsid w:val="000D4791"/>
    <w:rsid w:val="000D49DE"/>
    <w:rsid w:val="000D4CE9"/>
    <w:rsid w:val="000D5159"/>
    <w:rsid w:val="000D53EE"/>
    <w:rsid w:val="000D5A37"/>
    <w:rsid w:val="000D5DB3"/>
    <w:rsid w:val="000D5F66"/>
    <w:rsid w:val="000D5FA1"/>
    <w:rsid w:val="000D6819"/>
    <w:rsid w:val="000D6C15"/>
    <w:rsid w:val="000D71C9"/>
    <w:rsid w:val="000D73F1"/>
    <w:rsid w:val="000D7C13"/>
    <w:rsid w:val="000E05F7"/>
    <w:rsid w:val="000E0A4E"/>
    <w:rsid w:val="000E0B99"/>
    <w:rsid w:val="000E15A1"/>
    <w:rsid w:val="000E16D8"/>
    <w:rsid w:val="000E1855"/>
    <w:rsid w:val="000E2A76"/>
    <w:rsid w:val="000E3229"/>
    <w:rsid w:val="000E46F5"/>
    <w:rsid w:val="000E4C87"/>
    <w:rsid w:val="000E58A3"/>
    <w:rsid w:val="000E6A44"/>
    <w:rsid w:val="000E737E"/>
    <w:rsid w:val="000F0175"/>
    <w:rsid w:val="000F02A9"/>
    <w:rsid w:val="000F04AF"/>
    <w:rsid w:val="000F05FC"/>
    <w:rsid w:val="000F1108"/>
    <w:rsid w:val="000F127C"/>
    <w:rsid w:val="000F1AF0"/>
    <w:rsid w:val="000F24C3"/>
    <w:rsid w:val="000F2B38"/>
    <w:rsid w:val="000F3053"/>
    <w:rsid w:val="000F3945"/>
    <w:rsid w:val="000F3CB3"/>
    <w:rsid w:val="000F3EC0"/>
    <w:rsid w:val="000F49CB"/>
    <w:rsid w:val="000F5CE9"/>
    <w:rsid w:val="000F66E4"/>
    <w:rsid w:val="000F7655"/>
    <w:rsid w:val="000F7C59"/>
    <w:rsid w:val="00100343"/>
    <w:rsid w:val="001003B7"/>
    <w:rsid w:val="00101082"/>
    <w:rsid w:val="001014EF"/>
    <w:rsid w:val="001018F5"/>
    <w:rsid w:val="00101D8E"/>
    <w:rsid w:val="001029D7"/>
    <w:rsid w:val="00102A9C"/>
    <w:rsid w:val="0010307C"/>
    <w:rsid w:val="00103FDC"/>
    <w:rsid w:val="0010448F"/>
    <w:rsid w:val="00104D13"/>
    <w:rsid w:val="001054CE"/>
    <w:rsid w:val="001056F6"/>
    <w:rsid w:val="0010669A"/>
    <w:rsid w:val="0010669D"/>
    <w:rsid w:val="001074EB"/>
    <w:rsid w:val="001074F8"/>
    <w:rsid w:val="00107775"/>
    <w:rsid w:val="0010788C"/>
    <w:rsid w:val="00107EEB"/>
    <w:rsid w:val="00107F23"/>
    <w:rsid w:val="001103F0"/>
    <w:rsid w:val="0011134C"/>
    <w:rsid w:val="00111714"/>
    <w:rsid w:val="00111E5A"/>
    <w:rsid w:val="00111F1C"/>
    <w:rsid w:val="001123AC"/>
    <w:rsid w:val="00112711"/>
    <w:rsid w:val="00112D10"/>
    <w:rsid w:val="0011328C"/>
    <w:rsid w:val="001136C5"/>
    <w:rsid w:val="00113954"/>
    <w:rsid w:val="00113C36"/>
    <w:rsid w:val="00114AF3"/>
    <w:rsid w:val="0011560E"/>
    <w:rsid w:val="00115752"/>
    <w:rsid w:val="00115879"/>
    <w:rsid w:val="001160E3"/>
    <w:rsid w:val="0011695D"/>
    <w:rsid w:val="00116AB7"/>
    <w:rsid w:val="00116E3D"/>
    <w:rsid w:val="00117231"/>
    <w:rsid w:val="00117424"/>
    <w:rsid w:val="001174E2"/>
    <w:rsid w:val="00117B7C"/>
    <w:rsid w:val="00120FB7"/>
    <w:rsid w:val="00121280"/>
    <w:rsid w:val="00121D1A"/>
    <w:rsid w:val="00121DCE"/>
    <w:rsid w:val="001238F2"/>
    <w:rsid w:val="00123FAD"/>
    <w:rsid w:val="00124AC0"/>
    <w:rsid w:val="00124BC2"/>
    <w:rsid w:val="00125845"/>
    <w:rsid w:val="00130395"/>
    <w:rsid w:val="0013050C"/>
    <w:rsid w:val="001311C0"/>
    <w:rsid w:val="00133049"/>
    <w:rsid w:val="00133BE5"/>
    <w:rsid w:val="0013478E"/>
    <w:rsid w:val="001354AB"/>
    <w:rsid w:val="00135739"/>
    <w:rsid w:val="001366F6"/>
    <w:rsid w:val="00136C78"/>
    <w:rsid w:val="0013733D"/>
    <w:rsid w:val="00137789"/>
    <w:rsid w:val="001378DC"/>
    <w:rsid w:val="00137C46"/>
    <w:rsid w:val="001400EC"/>
    <w:rsid w:val="00140682"/>
    <w:rsid w:val="00140B55"/>
    <w:rsid w:val="00140B7F"/>
    <w:rsid w:val="001417F0"/>
    <w:rsid w:val="00141BB8"/>
    <w:rsid w:val="0014205A"/>
    <w:rsid w:val="001424B1"/>
    <w:rsid w:val="0014257A"/>
    <w:rsid w:val="0014283A"/>
    <w:rsid w:val="00142BC8"/>
    <w:rsid w:val="00143204"/>
    <w:rsid w:val="0014348D"/>
    <w:rsid w:val="001438A4"/>
    <w:rsid w:val="00144506"/>
    <w:rsid w:val="0014490F"/>
    <w:rsid w:val="00144A54"/>
    <w:rsid w:val="00145063"/>
    <w:rsid w:val="00145F27"/>
    <w:rsid w:val="0014668F"/>
    <w:rsid w:val="001467BC"/>
    <w:rsid w:val="0014706C"/>
    <w:rsid w:val="001470F5"/>
    <w:rsid w:val="00147356"/>
    <w:rsid w:val="0015001E"/>
    <w:rsid w:val="001504E7"/>
    <w:rsid w:val="00150774"/>
    <w:rsid w:val="001507E4"/>
    <w:rsid w:val="0015189F"/>
    <w:rsid w:val="00151FE6"/>
    <w:rsid w:val="0015252F"/>
    <w:rsid w:val="0015291A"/>
    <w:rsid w:val="00152F12"/>
    <w:rsid w:val="00153801"/>
    <w:rsid w:val="00154173"/>
    <w:rsid w:val="0015566E"/>
    <w:rsid w:val="00155798"/>
    <w:rsid w:val="00155E03"/>
    <w:rsid w:val="00155F76"/>
    <w:rsid w:val="00156726"/>
    <w:rsid w:val="00160628"/>
    <w:rsid w:val="00160FB8"/>
    <w:rsid w:val="00161739"/>
    <w:rsid w:val="001626DA"/>
    <w:rsid w:val="001628DE"/>
    <w:rsid w:val="001633B5"/>
    <w:rsid w:val="001635EF"/>
    <w:rsid w:val="001638E2"/>
    <w:rsid w:val="0016481C"/>
    <w:rsid w:val="00165620"/>
    <w:rsid w:val="00165D69"/>
    <w:rsid w:val="00165DB8"/>
    <w:rsid w:val="00165ECD"/>
    <w:rsid w:val="00166685"/>
    <w:rsid w:val="00166733"/>
    <w:rsid w:val="00170A73"/>
    <w:rsid w:val="00170E98"/>
    <w:rsid w:val="0017127F"/>
    <w:rsid w:val="00171773"/>
    <w:rsid w:val="00171895"/>
    <w:rsid w:val="00172508"/>
    <w:rsid w:val="00172514"/>
    <w:rsid w:val="00172C51"/>
    <w:rsid w:val="00173074"/>
    <w:rsid w:val="00173757"/>
    <w:rsid w:val="00173DC2"/>
    <w:rsid w:val="001744DD"/>
    <w:rsid w:val="001749C1"/>
    <w:rsid w:val="00175075"/>
    <w:rsid w:val="0017559F"/>
    <w:rsid w:val="00175982"/>
    <w:rsid w:val="00175F81"/>
    <w:rsid w:val="00176A6A"/>
    <w:rsid w:val="00176BBB"/>
    <w:rsid w:val="00176E64"/>
    <w:rsid w:val="00177983"/>
    <w:rsid w:val="001800F2"/>
    <w:rsid w:val="001804B0"/>
    <w:rsid w:val="00180D7D"/>
    <w:rsid w:val="00181963"/>
    <w:rsid w:val="00181A58"/>
    <w:rsid w:val="00181D3B"/>
    <w:rsid w:val="00181E5E"/>
    <w:rsid w:val="00182365"/>
    <w:rsid w:val="001823A9"/>
    <w:rsid w:val="001828B3"/>
    <w:rsid w:val="00182CBA"/>
    <w:rsid w:val="00183928"/>
    <w:rsid w:val="00183FE2"/>
    <w:rsid w:val="0018442C"/>
    <w:rsid w:val="00184E59"/>
    <w:rsid w:val="00185238"/>
    <w:rsid w:val="0018532F"/>
    <w:rsid w:val="00185ABE"/>
    <w:rsid w:val="00185FF3"/>
    <w:rsid w:val="001862EE"/>
    <w:rsid w:val="00186B76"/>
    <w:rsid w:val="00186C88"/>
    <w:rsid w:val="00186D1D"/>
    <w:rsid w:val="00187C6E"/>
    <w:rsid w:val="00187D47"/>
    <w:rsid w:val="001901B1"/>
    <w:rsid w:val="00190B41"/>
    <w:rsid w:val="0019238C"/>
    <w:rsid w:val="00192668"/>
    <w:rsid w:val="00192A5C"/>
    <w:rsid w:val="00192FF8"/>
    <w:rsid w:val="0019386D"/>
    <w:rsid w:val="00193B32"/>
    <w:rsid w:val="00194424"/>
    <w:rsid w:val="00194A22"/>
    <w:rsid w:val="00194E8B"/>
    <w:rsid w:val="001954EF"/>
    <w:rsid w:val="00195DD7"/>
    <w:rsid w:val="001963F0"/>
    <w:rsid w:val="00196FF2"/>
    <w:rsid w:val="0019732F"/>
    <w:rsid w:val="0019776E"/>
    <w:rsid w:val="001A00A5"/>
    <w:rsid w:val="001A0AE6"/>
    <w:rsid w:val="001A13FD"/>
    <w:rsid w:val="001A1D50"/>
    <w:rsid w:val="001A21B6"/>
    <w:rsid w:val="001A22E7"/>
    <w:rsid w:val="001A2EAD"/>
    <w:rsid w:val="001A3FD3"/>
    <w:rsid w:val="001A453F"/>
    <w:rsid w:val="001A4A49"/>
    <w:rsid w:val="001A4D4E"/>
    <w:rsid w:val="001A54D5"/>
    <w:rsid w:val="001A5A75"/>
    <w:rsid w:val="001A5F30"/>
    <w:rsid w:val="001A71C1"/>
    <w:rsid w:val="001A728B"/>
    <w:rsid w:val="001B0D40"/>
    <w:rsid w:val="001B11FD"/>
    <w:rsid w:val="001B15D0"/>
    <w:rsid w:val="001B31DC"/>
    <w:rsid w:val="001B36BD"/>
    <w:rsid w:val="001B3E16"/>
    <w:rsid w:val="001B4BC2"/>
    <w:rsid w:val="001B56E2"/>
    <w:rsid w:val="001B6029"/>
    <w:rsid w:val="001B6F25"/>
    <w:rsid w:val="001B7176"/>
    <w:rsid w:val="001B73D9"/>
    <w:rsid w:val="001B7533"/>
    <w:rsid w:val="001B7887"/>
    <w:rsid w:val="001B78BB"/>
    <w:rsid w:val="001B7B4A"/>
    <w:rsid w:val="001B7E61"/>
    <w:rsid w:val="001C09CF"/>
    <w:rsid w:val="001C0F12"/>
    <w:rsid w:val="001C12B7"/>
    <w:rsid w:val="001C2D66"/>
    <w:rsid w:val="001C5047"/>
    <w:rsid w:val="001C53F9"/>
    <w:rsid w:val="001C5F17"/>
    <w:rsid w:val="001C6514"/>
    <w:rsid w:val="001C6770"/>
    <w:rsid w:val="001C7AFD"/>
    <w:rsid w:val="001D053E"/>
    <w:rsid w:val="001D0CC5"/>
    <w:rsid w:val="001D3711"/>
    <w:rsid w:val="001D37BA"/>
    <w:rsid w:val="001D4907"/>
    <w:rsid w:val="001D4B05"/>
    <w:rsid w:val="001D4E14"/>
    <w:rsid w:val="001D4E8E"/>
    <w:rsid w:val="001D5A49"/>
    <w:rsid w:val="001D5B9E"/>
    <w:rsid w:val="001D6DFC"/>
    <w:rsid w:val="001E0783"/>
    <w:rsid w:val="001E1272"/>
    <w:rsid w:val="001E2756"/>
    <w:rsid w:val="001E33E7"/>
    <w:rsid w:val="001E34C2"/>
    <w:rsid w:val="001E3718"/>
    <w:rsid w:val="001E6E32"/>
    <w:rsid w:val="001F0CBF"/>
    <w:rsid w:val="001F1284"/>
    <w:rsid w:val="001F1F60"/>
    <w:rsid w:val="001F2710"/>
    <w:rsid w:val="001F3F4C"/>
    <w:rsid w:val="001F4A2E"/>
    <w:rsid w:val="001F55E9"/>
    <w:rsid w:val="001F591A"/>
    <w:rsid w:val="001F5E25"/>
    <w:rsid w:val="001F633D"/>
    <w:rsid w:val="001F6A9A"/>
    <w:rsid w:val="001F7121"/>
    <w:rsid w:val="001F7523"/>
    <w:rsid w:val="001F7EF1"/>
    <w:rsid w:val="002015EC"/>
    <w:rsid w:val="0020174C"/>
    <w:rsid w:val="00201B00"/>
    <w:rsid w:val="00202527"/>
    <w:rsid w:val="00203548"/>
    <w:rsid w:val="002037FC"/>
    <w:rsid w:val="00204C5C"/>
    <w:rsid w:val="0020545F"/>
    <w:rsid w:val="00205667"/>
    <w:rsid w:val="002065BC"/>
    <w:rsid w:val="00206A33"/>
    <w:rsid w:val="00206BE1"/>
    <w:rsid w:val="00207302"/>
    <w:rsid w:val="002073D7"/>
    <w:rsid w:val="00210612"/>
    <w:rsid w:val="002110FF"/>
    <w:rsid w:val="00211228"/>
    <w:rsid w:val="002119AA"/>
    <w:rsid w:val="00211D16"/>
    <w:rsid w:val="00211D9D"/>
    <w:rsid w:val="00212325"/>
    <w:rsid w:val="00212641"/>
    <w:rsid w:val="00212882"/>
    <w:rsid w:val="0021296B"/>
    <w:rsid w:val="00212DCF"/>
    <w:rsid w:val="0021531D"/>
    <w:rsid w:val="00216408"/>
    <w:rsid w:val="00216E1D"/>
    <w:rsid w:val="00217B7A"/>
    <w:rsid w:val="00217B93"/>
    <w:rsid w:val="00217C26"/>
    <w:rsid w:val="00220C38"/>
    <w:rsid w:val="00220ED9"/>
    <w:rsid w:val="0022218C"/>
    <w:rsid w:val="00222302"/>
    <w:rsid w:val="00222309"/>
    <w:rsid w:val="0022361E"/>
    <w:rsid w:val="00223B10"/>
    <w:rsid w:val="00224804"/>
    <w:rsid w:val="00224AEF"/>
    <w:rsid w:val="002257BB"/>
    <w:rsid w:val="00225AB7"/>
    <w:rsid w:val="00226D33"/>
    <w:rsid w:val="002276E1"/>
    <w:rsid w:val="002278F8"/>
    <w:rsid w:val="002301F9"/>
    <w:rsid w:val="00230DDA"/>
    <w:rsid w:val="00231BE6"/>
    <w:rsid w:val="00231F6A"/>
    <w:rsid w:val="002327A0"/>
    <w:rsid w:val="00232950"/>
    <w:rsid w:val="002334FE"/>
    <w:rsid w:val="00234402"/>
    <w:rsid w:val="002346F7"/>
    <w:rsid w:val="0023497C"/>
    <w:rsid w:val="00235510"/>
    <w:rsid w:val="00235BD9"/>
    <w:rsid w:val="00235D1E"/>
    <w:rsid w:val="00235F06"/>
    <w:rsid w:val="00236491"/>
    <w:rsid w:val="00236928"/>
    <w:rsid w:val="00237F36"/>
    <w:rsid w:val="00240F4F"/>
    <w:rsid w:val="00241A54"/>
    <w:rsid w:val="0024239C"/>
    <w:rsid w:val="002427EA"/>
    <w:rsid w:val="00242BAD"/>
    <w:rsid w:val="00242CD6"/>
    <w:rsid w:val="00242F73"/>
    <w:rsid w:val="002435A0"/>
    <w:rsid w:val="002444A1"/>
    <w:rsid w:val="0024513B"/>
    <w:rsid w:val="0024545F"/>
    <w:rsid w:val="0024646E"/>
    <w:rsid w:val="00246E00"/>
    <w:rsid w:val="002478AC"/>
    <w:rsid w:val="0025104D"/>
    <w:rsid w:val="002515FB"/>
    <w:rsid w:val="002519CC"/>
    <w:rsid w:val="002525EC"/>
    <w:rsid w:val="00252845"/>
    <w:rsid w:val="002530BD"/>
    <w:rsid w:val="00253BC4"/>
    <w:rsid w:val="002548CA"/>
    <w:rsid w:val="00254FE2"/>
    <w:rsid w:val="00255143"/>
    <w:rsid w:val="00255183"/>
    <w:rsid w:val="002552A6"/>
    <w:rsid w:val="002553C2"/>
    <w:rsid w:val="00255E07"/>
    <w:rsid w:val="00255EC5"/>
    <w:rsid w:val="00256171"/>
    <w:rsid w:val="002561ED"/>
    <w:rsid w:val="00257395"/>
    <w:rsid w:val="00257790"/>
    <w:rsid w:val="00257F16"/>
    <w:rsid w:val="00260AEF"/>
    <w:rsid w:val="00260DAF"/>
    <w:rsid w:val="00260F3C"/>
    <w:rsid w:val="00261D28"/>
    <w:rsid w:val="00261F85"/>
    <w:rsid w:val="00262848"/>
    <w:rsid w:val="00263987"/>
    <w:rsid w:val="0026471B"/>
    <w:rsid w:val="00264A13"/>
    <w:rsid w:val="00264F0B"/>
    <w:rsid w:val="00265A9F"/>
    <w:rsid w:val="002663A1"/>
    <w:rsid w:val="00266DE1"/>
    <w:rsid w:val="00266FA5"/>
    <w:rsid w:val="0027011F"/>
    <w:rsid w:val="00270A69"/>
    <w:rsid w:val="00270C06"/>
    <w:rsid w:val="00271A3A"/>
    <w:rsid w:val="0027274B"/>
    <w:rsid w:val="00272B29"/>
    <w:rsid w:val="00273E50"/>
    <w:rsid w:val="00274289"/>
    <w:rsid w:val="00274D1D"/>
    <w:rsid w:val="00275238"/>
    <w:rsid w:val="0027552F"/>
    <w:rsid w:val="0027687A"/>
    <w:rsid w:val="002769D8"/>
    <w:rsid w:val="00280060"/>
    <w:rsid w:val="00280B39"/>
    <w:rsid w:val="0028138C"/>
    <w:rsid w:val="002813BF"/>
    <w:rsid w:val="00281734"/>
    <w:rsid w:val="00282195"/>
    <w:rsid w:val="00282A4B"/>
    <w:rsid w:val="00282BF8"/>
    <w:rsid w:val="002830C6"/>
    <w:rsid w:val="00284C06"/>
    <w:rsid w:val="00284CD4"/>
    <w:rsid w:val="002864F5"/>
    <w:rsid w:val="0028660B"/>
    <w:rsid w:val="002873DC"/>
    <w:rsid w:val="00287770"/>
    <w:rsid w:val="00287C87"/>
    <w:rsid w:val="00290003"/>
    <w:rsid w:val="00290378"/>
    <w:rsid w:val="00290AF9"/>
    <w:rsid w:val="00292C5D"/>
    <w:rsid w:val="00292C83"/>
    <w:rsid w:val="002933A1"/>
    <w:rsid w:val="002935E0"/>
    <w:rsid w:val="00293754"/>
    <w:rsid w:val="00294BB2"/>
    <w:rsid w:val="002959C8"/>
    <w:rsid w:val="00295CDF"/>
    <w:rsid w:val="00296BAB"/>
    <w:rsid w:val="002972B2"/>
    <w:rsid w:val="00297519"/>
    <w:rsid w:val="002976CB"/>
    <w:rsid w:val="00297D76"/>
    <w:rsid w:val="002A17D7"/>
    <w:rsid w:val="002A2103"/>
    <w:rsid w:val="002A2BB0"/>
    <w:rsid w:val="002A3175"/>
    <w:rsid w:val="002A324A"/>
    <w:rsid w:val="002A3549"/>
    <w:rsid w:val="002A3F80"/>
    <w:rsid w:val="002A43E0"/>
    <w:rsid w:val="002A4651"/>
    <w:rsid w:val="002A4A1B"/>
    <w:rsid w:val="002A4AA5"/>
    <w:rsid w:val="002A5618"/>
    <w:rsid w:val="002A6678"/>
    <w:rsid w:val="002A6AD8"/>
    <w:rsid w:val="002A6CF3"/>
    <w:rsid w:val="002A7A3A"/>
    <w:rsid w:val="002B1472"/>
    <w:rsid w:val="002B28C3"/>
    <w:rsid w:val="002B313C"/>
    <w:rsid w:val="002B36B7"/>
    <w:rsid w:val="002B3EC7"/>
    <w:rsid w:val="002B423F"/>
    <w:rsid w:val="002B4AEE"/>
    <w:rsid w:val="002B5298"/>
    <w:rsid w:val="002B58F8"/>
    <w:rsid w:val="002B6244"/>
    <w:rsid w:val="002B71CC"/>
    <w:rsid w:val="002B755E"/>
    <w:rsid w:val="002B7EF8"/>
    <w:rsid w:val="002C0168"/>
    <w:rsid w:val="002C106C"/>
    <w:rsid w:val="002C1AE9"/>
    <w:rsid w:val="002C1C41"/>
    <w:rsid w:val="002C2733"/>
    <w:rsid w:val="002C2C9F"/>
    <w:rsid w:val="002C4243"/>
    <w:rsid w:val="002C44D6"/>
    <w:rsid w:val="002C57D5"/>
    <w:rsid w:val="002C5850"/>
    <w:rsid w:val="002C5909"/>
    <w:rsid w:val="002C5F51"/>
    <w:rsid w:val="002C6141"/>
    <w:rsid w:val="002C63AF"/>
    <w:rsid w:val="002C6600"/>
    <w:rsid w:val="002C684E"/>
    <w:rsid w:val="002C6A2E"/>
    <w:rsid w:val="002C75B8"/>
    <w:rsid w:val="002D04D4"/>
    <w:rsid w:val="002D0C07"/>
    <w:rsid w:val="002D0C9D"/>
    <w:rsid w:val="002D11C3"/>
    <w:rsid w:val="002D23AD"/>
    <w:rsid w:val="002D2BB1"/>
    <w:rsid w:val="002D311C"/>
    <w:rsid w:val="002D3C2A"/>
    <w:rsid w:val="002D4ED2"/>
    <w:rsid w:val="002D5FD3"/>
    <w:rsid w:val="002D5FF4"/>
    <w:rsid w:val="002D63B2"/>
    <w:rsid w:val="002D6839"/>
    <w:rsid w:val="002D6A87"/>
    <w:rsid w:val="002D6E38"/>
    <w:rsid w:val="002D6EF3"/>
    <w:rsid w:val="002D7237"/>
    <w:rsid w:val="002D7617"/>
    <w:rsid w:val="002E0141"/>
    <w:rsid w:val="002E0664"/>
    <w:rsid w:val="002E0A13"/>
    <w:rsid w:val="002E0B20"/>
    <w:rsid w:val="002E0C71"/>
    <w:rsid w:val="002E1858"/>
    <w:rsid w:val="002E1ABC"/>
    <w:rsid w:val="002E2DEF"/>
    <w:rsid w:val="002E3B4F"/>
    <w:rsid w:val="002E3FF0"/>
    <w:rsid w:val="002E4199"/>
    <w:rsid w:val="002E4CAE"/>
    <w:rsid w:val="002E58DE"/>
    <w:rsid w:val="002E5A0A"/>
    <w:rsid w:val="002E5BD2"/>
    <w:rsid w:val="002E5CE9"/>
    <w:rsid w:val="002F0775"/>
    <w:rsid w:val="002F0E61"/>
    <w:rsid w:val="002F0FA4"/>
    <w:rsid w:val="002F1A05"/>
    <w:rsid w:val="002F2146"/>
    <w:rsid w:val="002F2C56"/>
    <w:rsid w:val="002F3160"/>
    <w:rsid w:val="002F3D4E"/>
    <w:rsid w:val="002F45AD"/>
    <w:rsid w:val="002F4B5A"/>
    <w:rsid w:val="002F4BE6"/>
    <w:rsid w:val="002F67E5"/>
    <w:rsid w:val="002F6DE3"/>
    <w:rsid w:val="002F73FA"/>
    <w:rsid w:val="002F786D"/>
    <w:rsid w:val="002F7C1D"/>
    <w:rsid w:val="00300CAF"/>
    <w:rsid w:val="00300D8F"/>
    <w:rsid w:val="003010D7"/>
    <w:rsid w:val="0030189D"/>
    <w:rsid w:val="00301A00"/>
    <w:rsid w:val="00301EEA"/>
    <w:rsid w:val="00301F0C"/>
    <w:rsid w:val="00301FD2"/>
    <w:rsid w:val="0030234A"/>
    <w:rsid w:val="00302465"/>
    <w:rsid w:val="00303253"/>
    <w:rsid w:val="00303BF9"/>
    <w:rsid w:val="00304410"/>
    <w:rsid w:val="00304AB7"/>
    <w:rsid w:val="00304DFF"/>
    <w:rsid w:val="00304E2E"/>
    <w:rsid w:val="00305116"/>
    <w:rsid w:val="003058DA"/>
    <w:rsid w:val="00306A15"/>
    <w:rsid w:val="00306DD1"/>
    <w:rsid w:val="00307DC9"/>
    <w:rsid w:val="00307F20"/>
    <w:rsid w:val="00307FF2"/>
    <w:rsid w:val="00310940"/>
    <w:rsid w:val="00310D0E"/>
    <w:rsid w:val="00311EA8"/>
    <w:rsid w:val="00312780"/>
    <w:rsid w:val="003135A2"/>
    <w:rsid w:val="0031380D"/>
    <w:rsid w:val="00313AB1"/>
    <w:rsid w:val="00313FEB"/>
    <w:rsid w:val="003140B2"/>
    <w:rsid w:val="00314766"/>
    <w:rsid w:val="00314FB3"/>
    <w:rsid w:val="003162A5"/>
    <w:rsid w:val="00317791"/>
    <w:rsid w:val="003177BC"/>
    <w:rsid w:val="00317879"/>
    <w:rsid w:val="00317C29"/>
    <w:rsid w:val="00317CE9"/>
    <w:rsid w:val="00317E63"/>
    <w:rsid w:val="00321330"/>
    <w:rsid w:val="003219AA"/>
    <w:rsid w:val="00321A2B"/>
    <w:rsid w:val="00321C15"/>
    <w:rsid w:val="00322AEB"/>
    <w:rsid w:val="00322CD8"/>
    <w:rsid w:val="00323563"/>
    <w:rsid w:val="00323952"/>
    <w:rsid w:val="00323D52"/>
    <w:rsid w:val="00323D5B"/>
    <w:rsid w:val="00323F78"/>
    <w:rsid w:val="00323FB2"/>
    <w:rsid w:val="00324455"/>
    <w:rsid w:val="00324669"/>
    <w:rsid w:val="003249CF"/>
    <w:rsid w:val="00324B27"/>
    <w:rsid w:val="00324B6B"/>
    <w:rsid w:val="0032595D"/>
    <w:rsid w:val="00325D8E"/>
    <w:rsid w:val="0032760A"/>
    <w:rsid w:val="00327750"/>
    <w:rsid w:val="00327CD5"/>
    <w:rsid w:val="003318E8"/>
    <w:rsid w:val="00331E45"/>
    <w:rsid w:val="0033275F"/>
    <w:rsid w:val="00332F49"/>
    <w:rsid w:val="00332F7B"/>
    <w:rsid w:val="00333C7B"/>
    <w:rsid w:val="003340F1"/>
    <w:rsid w:val="003341A3"/>
    <w:rsid w:val="0033438B"/>
    <w:rsid w:val="003348A4"/>
    <w:rsid w:val="00334CFA"/>
    <w:rsid w:val="00335056"/>
    <w:rsid w:val="00335AD3"/>
    <w:rsid w:val="00335B61"/>
    <w:rsid w:val="003362AD"/>
    <w:rsid w:val="00336768"/>
    <w:rsid w:val="00336F91"/>
    <w:rsid w:val="003370C2"/>
    <w:rsid w:val="003373D3"/>
    <w:rsid w:val="00337A5F"/>
    <w:rsid w:val="003405B8"/>
    <w:rsid w:val="003408E4"/>
    <w:rsid w:val="00340A50"/>
    <w:rsid w:val="00340B22"/>
    <w:rsid w:val="003420BB"/>
    <w:rsid w:val="003421A1"/>
    <w:rsid w:val="00342D5C"/>
    <w:rsid w:val="00342ED0"/>
    <w:rsid w:val="0034425E"/>
    <w:rsid w:val="00344DD0"/>
    <w:rsid w:val="00345397"/>
    <w:rsid w:val="003458EF"/>
    <w:rsid w:val="00345BD5"/>
    <w:rsid w:val="0034648B"/>
    <w:rsid w:val="0035120E"/>
    <w:rsid w:val="00351270"/>
    <w:rsid w:val="00351E13"/>
    <w:rsid w:val="0035285C"/>
    <w:rsid w:val="003532A6"/>
    <w:rsid w:val="003535BB"/>
    <w:rsid w:val="003537A7"/>
    <w:rsid w:val="0035420D"/>
    <w:rsid w:val="00354836"/>
    <w:rsid w:val="003548F1"/>
    <w:rsid w:val="00354E43"/>
    <w:rsid w:val="00355C9E"/>
    <w:rsid w:val="0035676D"/>
    <w:rsid w:val="00356CED"/>
    <w:rsid w:val="003577F1"/>
    <w:rsid w:val="00357F62"/>
    <w:rsid w:val="003602ED"/>
    <w:rsid w:val="00360792"/>
    <w:rsid w:val="00360A5D"/>
    <w:rsid w:val="00360ABA"/>
    <w:rsid w:val="00360AF0"/>
    <w:rsid w:val="003613FD"/>
    <w:rsid w:val="00362F68"/>
    <w:rsid w:val="0036305A"/>
    <w:rsid w:val="0036331D"/>
    <w:rsid w:val="00363E91"/>
    <w:rsid w:val="003644FE"/>
    <w:rsid w:val="0036497D"/>
    <w:rsid w:val="003670BF"/>
    <w:rsid w:val="003671AA"/>
    <w:rsid w:val="0037023A"/>
    <w:rsid w:val="00370311"/>
    <w:rsid w:val="003707BA"/>
    <w:rsid w:val="00371264"/>
    <w:rsid w:val="0037133B"/>
    <w:rsid w:val="0037149F"/>
    <w:rsid w:val="00371C51"/>
    <w:rsid w:val="003723A2"/>
    <w:rsid w:val="00372B0F"/>
    <w:rsid w:val="003730BC"/>
    <w:rsid w:val="00373236"/>
    <w:rsid w:val="0037336D"/>
    <w:rsid w:val="003736FB"/>
    <w:rsid w:val="003761B4"/>
    <w:rsid w:val="00376217"/>
    <w:rsid w:val="00376357"/>
    <w:rsid w:val="00376F1F"/>
    <w:rsid w:val="00377330"/>
    <w:rsid w:val="00377787"/>
    <w:rsid w:val="0038131D"/>
    <w:rsid w:val="003814E8"/>
    <w:rsid w:val="003815A9"/>
    <w:rsid w:val="00382016"/>
    <w:rsid w:val="003827B9"/>
    <w:rsid w:val="0038356D"/>
    <w:rsid w:val="00383DAC"/>
    <w:rsid w:val="003840E1"/>
    <w:rsid w:val="00384380"/>
    <w:rsid w:val="00384A50"/>
    <w:rsid w:val="00384B08"/>
    <w:rsid w:val="00384B3C"/>
    <w:rsid w:val="00384FD5"/>
    <w:rsid w:val="00385EEC"/>
    <w:rsid w:val="00390457"/>
    <w:rsid w:val="003905F2"/>
    <w:rsid w:val="0039092B"/>
    <w:rsid w:val="00390C0C"/>
    <w:rsid w:val="00390E9B"/>
    <w:rsid w:val="0039105E"/>
    <w:rsid w:val="0039144C"/>
    <w:rsid w:val="0039358D"/>
    <w:rsid w:val="00393B7F"/>
    <w:rsid w:val="00394046"/>
    <w:rsid w:val="003944A7"/>
    <w:rsid w:val="003947AC"/>
    <w:rsid w:val="00395C56"/>
    <w:rsid w:val="00396611"/>
    <w:rsid w:val="00396813"/>
    <w:rsid w:val="00397A47"/>
    <w:rsid w:val="00397B3A"/>
    <w:rsid w:val="00397DFE"/>
    <w:rsid w:val="003A0A2E"/>
    <w:rsid w:val="003A0DCF"/>
    <w:rsid w:val="003A12A0"/>
    <w:rsid w:val="003A1428"/>
    <w:rsid w:val="003A14C4"/>
    <w:rsid w:val="003A176D"/>
    <w:rsid w:val="003A1D52"/>
    <w:rsid w:val="003A230B"/>
    <w:rsid w:val="003A2481"/>
    <w:rsid w:val="003A3D2C"/>
    <w:rsid w:val="003A41EB"/>
    <w:rsid w:val="003A4213"/>
    <w:rsid w:val="003A4AFA"/>
    <w:rsid w:val="003A5BB9"/>
    <w:rsid w:val="003A5C3F"/>
    <w:rsid w:val="003A6034"/>
    <w:rsid w:val="003A6189"/>
    <w:rsid w:val="003A641A"/>
    <w:rsid w:val="003A6496"/>
    <w:rsid w:val="003A6C04"/>
    <w:rsid w:val="003A6E32"/>
    <w:rsid w:val="003A711B"/>
    <w:rsid w:val="003A73E6"/>
    <w:rsid w:val="003B0635"/>
    <w:rsid w:val="003B1219"/>
    <w:rsid w:val="003B1D73"/>
    <w:rsid w:val="003B2F72"/>
    <w:rsid w:val="003B30AD"/>
    <w:rsid w:val="003B3447"/>
    <w:rsid w:val="003B34E1"/>
    <w:rsid w:val="003B355C"/>
    <w:rsid w:val="003B3E58"/>
    <w:rsid w:val="003B4406"/>
    <w:rsid w:val="003B4625"/>
    <w:rsid w:val="003B48F3"/>
    <w:rsid w:val="003B4A7F"/>
    <w:rsid w:val="003B573B"/>
    <w:rsid w:val="003B5770"/>
    <w:rsid w:val="003B5D89"/>
    <w:rsid w:val="003B7322"/>
    <w:rsid w:val="003B7430"/>
    <w:rsid w:val="003B7716"/>
    <w:rsid w:val="003B7D0E"/>
    <w:rsid w:val="003C1654"/>
    <w:rsid w:val="003C18C8"/>
    <w:rsid w:val="003C2927"/>
    <w:rsid w:val="003C2A9D"/>
    <w:rsid w:val="003C38DE"/>
    <w:rsid w:val="003C3E1C"/>
    <w:rsid w:val="003C3F1B"/>
    <w:rsid w:val="003C4266"/>
    <w:rsid w:val="003C45D0"/>
    <w:rsid w:val="003C49F2"/>
    <w:rsid w:val="003C5889"/>
    <w:rsid w:val="003C589B"/>
    <w:rsid w:val="003C60B6"/>
    <w:rsid w:val="003C6CC5"/>
    <w:rsid w:val="003C70E5"/>
    <w:rsid w:val="003C76FB"/>
    <w:rsid w:val="003D03BD"/>
    <w:rsid w:val="003D079B"/>
    <w:rsid w:val="003D1223"/>
    <w:rsid w:val="003D1984"/>
    <w:rsid w:val="003D19B5"/>
    <w:rsid w:val="003D1FA4"/>
    <w:rsid w:val="003D31CF"/>
    <w:rsid w:val="003D350A"/>
    <w:rsid w:val="003D3C7E"/>
    <w:rsid w:val="003D4B6D"/>
    <w:rsid w:val="003D4BBA"/>
    <w:rsid w:val="003D592B"/>
    <w:rsid w:val="003D5AC1"/>
    <w:rsid w:val="003D60D9"/>
    <w:rsid w:val="003D6494"/>
    <w:rsid w:val="003D6651"/>
    <w:rsid w:val="003D6F0B"/>
    <w:rsid w:val="003D714D"/>
    <w:rsid w:val="003D71EF"/>
    <w:rsid w:val="003D725A"/>
    <w:rsid w:val="003E07A4"/>
    <w:rsid w:val="003E0B00"/>
    <w:rsid w:val="003E0F9A"/>
    <w:rsid w:val="003E3FFF"/>
    <w:rsid w:val="003E47CF"/>
    <w:rsid w:val="003E4936"/>
    <w:rsid w:val="003E4992"/>
    <w:rsid w:val="003E5666"/>
    <w:rsid w:val="003E5780"/>
    <w:rsid w:val="003E59C8"/>
    <w:rsid w:val="003E5F43"/>
    <w:rsid w:val="003E688E"/>
    <w:rsid w:val="003E7D8C"/>
    <w:rsid w:val="003F1409"/>
    <w:rsid w:val="003F148B"/>
    <w:rsid w:val="003F26D8"/>
    <w:rsid w:val="003F27AC"/>
    <w:rsid w:val="003F2BFE"/>
    <w:rsid w:val="003F3088"/>
    <w:rsid w:val="003F377B"/>
    <w:rsid w:val="003F38BA"/>
    <w:rsid w:val="003F38C4"/>
    <w:rsid w:val="003F4F6B"/>
    <w:rsid w:val="003F5975"/>
    <w:rsid w:val="003F5C03"/>
    <w:rsid w:val="003F5D28"/>
    <w:rsid w:val="003F5D93"/>
    <w:rsid w:val="003F6741"/>
    <w:rsid w:val="00400412"/>
    <w:rsid w:val="00400982"/>
    <w:rsid w:val="0040219F"/>
    <w:rsid w:val="004030B4"/>
    <w:rsid w:val="0040318D"/>
    <w:rsid w:val="004038DF"/>
    <w:rsid w:val="0040504A"/>
    <w:rsid w:val="0040530F"/>
    <w:rsid w:val="00405891"/>
    <w:rsid w:val="00406249"/>
    <w:rsid w:val="0041192F"/>
    <w:rsid w:val="004123D1"/>
    <w:rsid w:val="0041267D"/>
    <w:rsid w:val="004128E2"/>
    <w:rsid w:val="00412AAF"/>
    <w:rsid w:val="00412C39"/>
    <w:rsid w:val="00413C48"/>
    <w:rsid w:val="00413CCD"/>
    <w:rsid w:val="004147E1"/>
    <w:rsid w:val="00414FC8"/>
    <w:rsid w:val="004150AB"/>
    <w:rsid w:val="0041684F"/>
    <w:rsid w:val="00416B49"/>
    <w:rsid w:val="004175F7"/>
    <w:rsid w:val="00417678"/>
    <w:rsid w:val="00420191"/>
    <w:rsid w:val="00420457"/>
    <w:rsid w:val="0042096B"/>
    <w:rsid w:val="00420F85"/>
    <w:rsid w:val="004215FF"/>
    <w:rsid w:val="004221E3"/>
    <w:rsid w:val="0042246A"/>
    <w:rsid w:val="00424088"/>
    <w:rsid w:val="00425C14"/>
    <w:rsid w:val="00425DD1"/>
    <w:rsid w:val="0042616F"/>
    <w:rsid w:val="004262AD"/>
    <w:rsid w:val="004263D8"/>
    <w:rsid w:val="00426993"/>
    <w:rsid w:val="00427A46"/>
    <w:rsid w:val="00427CF2"/>
    <w:rsid w:val="004307C3"/>
    <w:rsid w:val="00432223"/>
    <w:rsid w:val="00432520"/>
    <w:rsid w:val="004334DB"/>
    <w:rsid w:val="00433693"/>
    <w:rsid w:val="00433FCB"/>
    <w:rsid w:val="00434B7B"/>
    <w:rsid w:val="00435856"/>
    <w:rsid w:val="00435B4C"/>
    <w:rsid w:val="00435B77"/>
    <w:rsid w:val="0043655B"/>
    <w:rsid w:val="00436FE4"/>
    <w:rsid w:val="004377BD"/>
    <w:rsid w:val="00437BEC"/>
    <w:rsid w:val="00437DB1"/>
    <w:rsid w:val="0044091A"/>
    <w:rsid w:val="0044116D"/>
    <w:rsid w:val="0044155C"/>
    <w:rsid w:val="0044166E"/>
    <w:rsid w:val="00441D9D"/>
    <w:rsid w:val="00442267"/>
    <w:rsid w:val="004429C5"/>
    <w:rsid w:val="004435B0"/>
    <w:rsid w:val="00444294"/>
    <w:rsid w:val="00444595"/>
    <w:rsid w:val="0044562B"/>
    <w:rsid w:val="00445663"/>
    <w:rsid w:val="00446244"/>
    <w:rsid w:val="004463FA"/>
    <w:rsid w:val="00446F44"/>
    <w:rsid w:val="00447778"/>
    <w:rsid w:val="0044784D"/>
    <w:rsid w:val="00450289"/>
    <w:rsid w:val="0045061E"/>
    <w:rsid w:val="00450BAA"/>
    <w:rsid w:val="00451C95"/>
    <w:rsid w:val="00451F5B"/>
    <w:rsid w:val="00452631"/>
    <w:rsid w:val="00452E8C"/>
    <w:rsid w:val="00452F7E"/>
    <w:rsid w:val="00453792"/>
    <w:rsid w:val="00453B16"/>
    <w:rsid w:val="00453E57"/>
    <w:rsid w:val="00454A67"/>
    <w:rsid w:val="00454DEB"/>
    <w:rsid w:val="00455EA3"/>
    <w:rsid w:val="00456878"/>
    <w:rsid w:val="004569E9"/>
    <w:rsid w:val="00456C6B"/>
    <w:rsid w:val="00457056"/>
    <w:rsid w:val="004578AB"/>
    <w:rsid w:val="004606AD"/>
    <w:rsid w:val="0046141A"/>
    <w:rsid w:val="00461E4A"/>
    <w:rsid w:val="00462A7F"/>
    <w:rsid w:val="00462DE4"/>
    <w:rsid w:val="004631A8"/>
    <w:rsid w:val="004648A1"/>
    <w:rsid w:val="00464B63"/>
    <w:rsid w:val="004656F0"/>
    <w:rsid w:val="004658E4"/>
    <w:rsid w:val="0046618E"/>
    <w:rsid w:val="004662D7"/>
    <w:rsid w:val="0046694A"/>
    <w:rsid w:val="00467C0F"/>
    <w:rsid w:val="004701F7"/>
    <w:rsid w:val="00470A79"/>
    <w:rsid w:val="00471197"/>
    <w:rsid w:val="00471DF6"/>
    <w:rsid w:val="00472923"/>
    <w:rsid w:val="00472D4A"/>
    <w:rsid w:val="00472E0B"/>
    <w:rsid w:val="0047312E"/>
    <w:rsid w:val="00473BBD"/>
    <w:rsid w:val="004759D4"/>
    <w:rsid w:val="00475CDA"/>
    <w:rsid w:val="00475DDA"/>
    <w:rsid w:val="00475F76"/>
    <w:rsid w:val="00476A7F"/>
    <w:rsid w:val="00476FB1"/>
    <w:rsid w:val="0048092D"/>
    <w:rsid w:val="0048096D"/>
    <w:rsid w:val="004820D2"/>
    <w:rsid w:val="0048308E"/>
    <w:rsid w:val="00483FD1"/>
    <w:rsid w:val="004844ED"/>
    <w:rsid w:val="00485979"/>
    <w:rsid w:val="00486299"/>
    <w:rsid w:val="00486353"/>
    <w:rsid w:val="004870BE"/>
    <w:rsid w:val="00487C7A"/>
    <w:rsid w:val="00487EC1"/>
    <w:rsid w:val="00487F06"/>
    <w:rsid w:val="00490018"/>
    <w:rsid w:val="00490390"/>
    <w:rsid w:val="00490697"/>
    <w:rsid w:val="004917B0"/>
    <w:rsid w:val="00491F4C"/>
    <w:rsid w:val="00492702"/>
    <w:rsid w:val="0049395A"/>
    <w:rsid w:val="00495C8F"/>
    <w:rsid w:val="00495D97"/>
    <w:rsid w:val="00496B24"/>
    <w:rsid w:val="00497114"/>
    <w:rsid w:val="0049719E"/>
    <w:rsid w:val="0049738E"/>
    <w:rsid w:val="0049746A"/>
    <w:rsid w:val="00497BE9"/>
    <w:rsid w:val="00497BF0"/>
    <w:rsid w:val="00497CB2"/>
    <w:rsid w:val="00497E11"/>
    <w:rsid w:val="00497E28"/>
    <w:rsid w:val="00497FC7"/>
    <w:rsid w:val="004A016A"/>
    <w:rsid w:val="004A049F"/>
    <w:rsid w:val="004A0DEB"/>
    <w:rsid w:val="004A0F97"/>
    <w:rsid w:val="004A2942"/>
    <w:rsid w:val="004A2D67"/>
    <w:rsid w:val="004A37E8"/>
    <w:rsid w:val="004A4956"/>
    <w:rsid w:val="004A4CFD"/>
    <w:rsid w:val="004A5A29"/>
    <w:rsid w:val="004A62F0"/>
    <w:rsid w:val="004A6CA8"/>
    <w:rsid w:val="004A7136"/>
    <w:rsid w:val="004A7ABF"/>
    <w:rsid w:val="004A7C85"/>
    <w:rsid w:val="004A7CD8"/>
    <w:rsid w:val="004B026C"/>
    <w:rsid w:val="004B07CE"/>
    <w:rsid w:val="004B0A48"/>
    <w:rsid w:val="004B0C26"/>
    <w:rsid w:val="004B1216"/>
    <w:rsid w:val="004B1573"/>
    <w:rsid w:val="004B1756"/>
    <w:rsid w:val="004B3056"/>
    <w:rsid w:val="004B3F26"/>
    <w:rsid w:val="004B51E2"/>
    <w:rsid w:val="004B6C16"/>
    <w:rsid w:val="004B7424"/>
    <w:rsid w:val="004C0081"/>
    <w:rsid w:val="004C03D1"/>
    <w:rsid w:val="004C0B85"/>
    <w:rsid w:val="004C1B2B"/>
    <w:rsid w:val="004C241E"/>
    <w:rsid w:val="004C2CB8"/>
    <w:rsid w:val="004C3252"/>
    <w:rsid w:val="004C351E"/>
    <w:rsid w:val="004C3727"/>
    <w:rsid w:val="004C385D"/>
    <w:rsid w:val="004C3C81"/>
    <w:rsid w:val="004C49A2"/>
    <w:rsid w:val="004C5228"/>
    <w:rsid w:val="004C544B"/>
    <w:rsid w:val="004C5C3D"/>
    <w:rsid w:val="004C5F36"/>
    <w:rsid w:val="004C649A"/>
    <w:rsid w:val="004D0796"/>
    <w:rsid w:val="004D10D6"/>
    <w:rsid w:val="004D13B4"/>
    <w:rsid w:val="004D1C3B"/>
    <w:rsid w:val="004D1FC0"/>
    <w:rsid w:val="004D2179"/>
    <w:rsid w:val="004D2AF4"/>
    <w:rsid w:val="004D5CD3"/>
    <w:rsid w:val="004D63CD"/>
    <w:rsid w:val="004D66D0"/>
    <w:rsid w:val="004D70C7"/>
    <w:rsid w:val="004D7C6C"/>
    <w:rsid w:val="004E00AF"/>
    <w:rsid w:val="004E0211"/>
    <w:rsid w:val="004E0EFB"/>
    <w:rsid w:val="004E1DF1"/>
    <w:rsid w:val="004E2363"/>
    <w:rsid w:val="004E2CE5"/>
    <w:rsid w:val="004E3295"/>
    <w:rsid w:val="004E4773"/>
    <w:rsid w:val="004E48AD"/>
    <w:rsid w:val="004E5025"/>
    <w:rsid w:val="004E5591"/>
    <w:rsid w:val="004E5D71"/>
    <w:rsid w:val="004E6E14"/>
    <w:rsid w:val="004E7BDB"/>
    <w:rsid w:val="004E7C7B"/>
    <w:rsid w:val="004E7F5F"/>
    <w:rsid w:val="004F044A"/>
    <w:rsid w:val="004F0B6D"/>
    <w:rsid w:val="004F1011"/>
    <w:rsid w:val="004F1213"/>
    <w:rsid w:val="004F33B3"/>
    <w:rsid w:val="004F364C"/>
    <w:rsid w:val="004F3BA8"/>
    <w:rsid w:val="004F408D"/>
    <w:rsid w:val="004F6216"/>
    <w:rsid w:val="004F6619"/>
    <w:rsid w:val="004F6784"/>
    <w:rsid w:val="004F71E0"/>
    <w:rsid w:val="004F79B7"/>
    <w:rsid w:val="004F7E44"/>
    <w:rsid w:val="00500272"/>
    <w:rsid w:val="00500E54"/>
    <w:rsid w:val="00500ED4"/>
    <w:rsid w:val="00501130"/>
    <w:rsid w:val="005015E9"/>
    <w:rsid w:val="00501AB8"/>
    <w:rsid w:val="00501ED6"/>
    <w:rsid w:val="005037DC"/>
    <w:rsid w:val="00503D15"/>
    <w:rsid w:val="005040E2"/>
    <w:rsid w:val="0050456E"/>
    <w:rsid w:val="005045B0"/>
    <w:rsid w:val="00504887"/>
    <w:rsid w:val="00506BB6"/>
    <w:rsid w:val="00507118"/>
    <w:rsid w:val="0050760A"/>
    <w:rsid w:val="00507830"/>
    <w:rsid w:val="00507D55"/>
    <w:rsid w:val="00510027"/>
    <w:rsid w:val="0051013E"/>
    <w:rsid w:val="005103E7"/>
    <w:rsid w:val="00510BC3"/>
    <w:rsid w:val="00510E59"/>
    <w:rsid w:val="00511DD7"/>
    <w:rsid w:val="005131FA"/>
    <w:rsid w:val="005134E2"/>
    <w:rsid w:val="00513A1F"/>
    <w:rsid w:val="005143E6"/>
    <w:rsid w:val="00514E99"/>
    <w:rsid w:val="00514F2A"/>
    <w:rsid w:val="005152F8"/>
    <w:rsid w:val="00515899"/>
    <w:rsid w:val="005159E0"/>
    <w:rsid w:val="005160A5"/>
    <w:rsid w:val="005160EF"/>
    <w:rsid w:val="00516452"/>
    <w:rsid w:val="005173A6"/>
    <w:rsid w:val="0051750C"/>
    <w:rsid w:val="005176BF"/>
    <w:rsid w:val="00517939"/>
    <w:rsid w:val="0051798A"/>
    <w:rsid w:val="00517D0D"/>
    <w:rsid w:val="00517DD8"/>
    <w:rsid w:val="00517E54"/>
    <w:rsid w:val="00520151"/>
    <w:rsid w:val="0052060E"/>
    <w:rsid w:val="00522E61"/>
    <w:rsid w:val="00522FD3"/>
    <w:rsid w:val="0052321A"/>
    <w:rsid w:val="005238C7"/>
    <w:rsid w:val="0052502B"/>
    <w:rsid w:val="0052509F"/>
    <w:rsid w:val="00525CE2"/>
    <w:rsid w:val="0052676D"/>
    <w:rsid w:val="0052767D"/>
    <w:rsid w:val="00530FFD"/>
    <w:rsid w:val="005318FC"/>
    <w:rsid w:val="00531A5B"/>
    <w:rsid w:val="00531C60"/>
    <w:rsid w:val="00532339"/>
    <w:rsid w:val="005325A8"/>
    <w:rsid w:val="00533945"/>
    <w:rsid w:val="00533D3A"/>
    <w:rsid w:val="005343BB"/>
    <w:rsid w:val="005348E7"/>
    <w:rsid w:val="00534E7D"/>
    <w:rsid w:val="005357FC"/>
    <w:rsid w:val="00535911"/>
    <w:rsid w:val="005361AB"/>
    <w:rsid w:val="0053621C"/>
    <w:rsid w:val="00536A9D"/>
    <w:rsid w:val="00536C2C"/>
    <w:rsid w:val="00537129"/>
    <w:rsid w:val="005375BC"/>
    <w:rsid w:val="0054025D"/>
    <w:rsid w:val="00540A05"/>
    <w:rsid w:val="00540A5D"/>
    <w:rsid w:val="00541C89"/>
    <w:rsid w:val="00542990"/>
    <w:rsid w:val="00542CE5"/>
    <w:rsid w:val="00542F86"/>
    <w:rsid w:val="005430B8"/>
    <w:rsid w:val="00544023"/>
    <w:rsid w:val="005451C5"/>
    <w:rsid w:val="005454B9"/>
    <w:rsid w:val="0054598E"/>
    <w:rsid w:val="00546C80"/>
    <w:rsid w:val="00546CD5"/>
    <w:rsid w:val="005477DB"/>
    <w:rsid w:val="0055132B"/>
    <w:rsid w:val="00551508"/>
    <w:rsid w:val="00551F67"/>
    <w:rsid w:val="00552106"/>
    <w:rsid w:val="00553221"/>
    <w:rsid w:val="00553E06"/>
    <w:rsid w:val="00556CCC"/>
    <w:rsid w:val="00556D73"/>
    <w:rsid w:val="00557365"/>
    <w:rsid w:val="00557796"/>
    <w:rsid w:val="00557D81"/>
    <w:rsid w:val="00557E4D"/>
    <w:rsid w:val="0056029E"/>
    <w:rsid w:val="00561ED6"/>
    <w:rsid w:val="00562CCF"/>
    <w:rsid w:val="0056393F"/>
    <w:rsid w:val="00564220"/>
    <w:rsid w:val="0056493B"/>
    <w:rsid w:val="00564A58"/>
    <w:rsid w:val="005655E7"/>
    <w:rsid w:val="00566336"/>
    <w:rsid w:val="00567022"/>
    <w:rsid w:val="005670A1"/>
    <w:rsid w:val="00567B57"/>
    <w:rsid w:val="00567D71"/>
    <w:rsid w:val="005704BD"/>
    <w:rsid w:val="0057097B"/>
    <w:rsid w:val="00570CC9"/>
    <w:rsid w:val="00571743"/>
    <w:rsid w:val="00571BFA"/>
    <w:rsid w:val="00571C65"/>
    <w:rsid w:val="0057287A"/>
    <w:rsid w:val="00572C8C"/>
    <w:rsid w:val="00573B13"/>
    <w:rsid w:val="005744C0"/>
    <w:rsid w:val="00574B57"/>
    <w:rsid w:val="00574C57"/>
    <w:rsid w:val="00575097"/>
    <w:rsid w:val="00576127"/>
    <w:rsid w:val="00576959"/>
    <w:rsid w:val="00576C37"/>
    <w:rsid w:val="00576F62"/>
    <w:rsid w:val="00577409"/>
    <w:rsid w:val="00577469"/>
    <w:rsid w:val="005776F4"/>
    <w:rsid w:val="00577BEA"/>
    <w:rsid w:val="005809E0"/>
    <w:rsid w:val="00580DD8"/>
    <w:rsid w:val="00580E86"/>
    <w:rsid w:val="00580FD3"/>
    <w:rsid w:val="0058158A"/>
    <w:rsid w:val="00581993"/>
    <w:rsid w:val="00583A4D"/>
    <w:rsid w:val="0058454D"/>
    <w:rsid w:val="00584770"/>
    <w:rsid w:val="00584B8F"/>
    <w:rsid w:val="00584C85"/>
    <w:rsid w:val="005855C5"/>
    <w:rsid w:val="00585695"/>
    <w:rsid w:val="00585C37"/>
    <w:rsid w:val="00586E76"/>
    <w:rsid w:val="00587276"/>
    <w:rsid w:val="00587389"/>
    <w:rsid w:val="0058778F"/>
    <w:rsid w:val="0058782D"/>
    <w:rsid w:val="00590193"/>
    <w:rsid w:val="005905D5"/>
    <w:rsid w:val="0059076B"/>
    <w:rsid w:val="00591735"/>
    <w:rsid w:val="00591FB3"/>
    <w:rsid w:val="00592469"/>
    <w:rsid w:val="005925A7"/>
    <w:rsid w:val="00592865"/>
    <w:rsid w:val="00592AFF"/>
    <w:rsid w:val="005930C8"/>
    <w:rsid w:val="005930DF"/>
    <w:rsid w:val="005935C4"/>
    <w:rsid w:val="00593F3D"/>
    <w:rsid w:val="00594835"/>
    <w:rsid w:val="00595521"/>
    <w:rsid w:val="0059561B"/>
    <w:rsid w:val="005A0298"/>
    <w:rsid w:val="005A0712"/>
    <w:rsid w:val="005A0F29"/>
    <w:rsid w:val="005A312E"/>
    <w:rsid w:val="005A3286"/>
    <w:rsid w:val="005A4179"/>
    <w:rsid w:val="005A4808"/>
    <w:rsid w:val="005A490E"/>
    <w:rsid w:val="005A4A46"/>
    <w:rsid w:val="005A5561"/>
    <w:rsid w:val="005A61C6"/>
    <w:rsid w:val="005A6F14"/>
    <w:rsid w:val="005B0EB9"/>
    <w:rsid w:val="005B32DB"/>
    <w:rsid w:val="005B3449"/>
    <w:rsid w:val="005B3858"/>
    <w:rsid w:val="005B4107"/>
    <w:rsid w:val="005B41B6"/>
    <w:rsid w:val="005B5C60"/>
    <w:rsid w:val="005B5D55"/>
    <w:rsid w:val="005B5DB4"/>
    <w:rsid w:val="005B60B1"/>
    <w:rsid w:val="005B64B9"/>
    <w:rsid w:val="005B69E6"/>
    <w:rsid w:val="005B7579"/>
    <w:rsid w:val="005C0680"/>
    <w:rsid w:val="005C0905"/>
    <w:rsid w:val="005C1238"/>
    <w:rsid w:val="005C14B0"/>
    <w:rsid w:val="005C1A78"/>
    <w:rsid w:val="005C1B77"/>
    <w:rsid w:val="005C2332"/>
    <w:rsid w:val="005C2D31"/>
    <w:rsid w:val="005C2E73"/>
    <w:rsid w:val="005C30B9"/>
    <w:rsid w:val="005C4C8D"/>
    <w:rsid w:val="005C522F"/>
    <w:rsid w:val="005C589C"/>
    <w:rsid w:val="005C6659"/>
    <w:rsid w:val="005C678F"/>
    <w:rsid w:val="005C702D"/>
    <w:rsid w:val="005C7228"/>
    <w:rsid w:val="005C73CF"/>
    <w:rsid w:val="005C7ABE"/>
    <w:rsid w:val="005D0562"/>
    <w:rsid w:val="005D1606"/>
    <w:rsid w:val="005D19D2"/>
    <w:rsid w:val="005D35EE"/>
    <w:rsid w:val="005D4DBA"/>
    <w:rsid w:val="005D5B2F"/>
    <w:rsid w:val="005D5DC9"/>
    <w:rsid w:val="005D7A30"/>
    <w:rsid w:val="005D7DDD"/>
    <w:rsid w:val="005D7FC6"/>
    <w:rsid w:val="005E0034"/>
    <w:rsid w:val="005E0707"/>
    <w:rsid w:val="005E11B5"/>
    <w:rsid w:val="005E13A2"/>
    <w:rsid w:val="005E1D51"/>
    <w:rsid w:val="005E2283"/>
    <w:rsid w:val="005E2430"/>
    <w:rsid w:val="005E25E1"/>
    <w:rsid w:val="005E2A35"/>
    <w:rsid w:val="005E32A0"/>
    <w:rsid w:val="005E3814"/>
    <w:rsid w:val="005E3F39"/>
    <w:rsid w:val="005E468D"/>
    <w:rsid w:val="005E4B68"/>
    <w:rsid w:val="005E600E"/>
    <w:rsid w:val="005E73C4"/>
    <w:rsid w:val="005E7D79"/>
    <w:rsid w:val="005E7FCB"/>
    <w:rsid w:val="005F0350"/>
    <w:rsid w:val="005F09C9"/>
    <w:rsid w:val="005F15AF"/>
    <w:rsid w:val="005F1D94"/>
    <w:rsid w:val="005F245D"/>
    <w:rsid w:val="005F4136"/>
    <w:rsid w:val="005F4CDF"/>
    <w:rsid w:val="005F4E3A"/>
    <w:rsid w:val="005F583E"/>
    <w:rsid w:val="005F587A"/>
    <w:rsid w:val="005F5C1D"/>
    <w:rsid w:val="005F5FC3"/>
    <w:rsid w:val="005F5FE3"/>
    <w:rsid w:val="005F6757"/>
    <w:rsid w:val="005F690F"/>
    <w:rsid w:val="005F6A80"/>
    <w:rsid w:val="005F6F62"/>
    <w:rsid w:val="005F746F"/>
    <w:rsid w:val="005F794E"/>
    <w:rsid w:val="005F795F"/>
    <w:rsid w:val="00600943"/>
    <w:rsid w:val="00600DB6"/>
    <w:rsid w:val="00601825"/>
    <w:rsid w:val="00601DE9"/>
    <w:rsid w:val="00603A0F"/>
    <w:rsid w:val="00603CB4"/>
    <w:rsid w:val="0060418F"/>
    <w:rsid w:val="00604A8E"/>
    <w:rsid w:val="0060518B"/>
    <w:rsid w:val="00605257"/>
    <w:rsid w:val="00605A09"/>
    <w:rsid w:val="006074A0"/>
    <w:rsid w:val="00610562"/>
    <w:rsid w:val="00610DB2"/>
    <w:rsid w:val="00611927"/>
    <w:rsid w:val="0061254C"/>
    <w:rsid w:val="00612C6E"/>
    <w:rsid w:val="00613A1A"/>
    <w:rsid w:val="006144F2"/>
    <w:rsid w:val="00614BC4"/>
    <w:rsid w:val="00614CA5"/>
    <w:rsid w:val="006157E5"/>
    <w:rsid w:val="00615921"/>
    <w:rsid w:val="00616CB6"/>
    <w:rsid w:val="00620430"/>
    <w:rsid w:val="00620B2A"/>
    <w:rsid w:val="00620C57"/>
    <w:rsid w:val="00621D80"/>
    <w:rsid w:val="0062316F"/>
    <w:rsid w:val="00623E7A"/>
    <w:rsid w:val="006242A9"/>
    <w:rsid w:val="006244BB"/>
    <w:rsid w:val="006246EE"/>
    <w:rsid w:val="00624F25"/>
    <w:rsid w:val="00624FBF"/>
    <w:rsid w:val="00625963"/>
    <w:rsid w:val="00625D11"/>
    <w:rsid w:val="00626E3B"/>
    <w:rsid w:val="00627655"/>
    <w:rsid w:val="006305EB"/>
    <w:rsid w:val="00633281"/>
    <w:rsid w:val="00633A9C"/>
    <w:rsid w:val="00633EF4"/>
    <w:rsid w:val="00634A3B"/>
    <w:rsid w:val="0063538F"/>
    <w:rsid w:val="00635C58"/>
    <w:rsid w:val="00635E9E"/>
    <w:rsid w:val="00637FC6"/>
    <w:rsid w:val="00640535"/>
    <w:rsid w:val="00640A1C"/>
    <w:rsid w:val="00640AA9"/>
    <w:rsid w:val="00640E18"/>
    <w:rsid w:val="00642123"/>
    <w:rsid w:val="006436B7"/>
    <w:rsid w:val="00643FF5"/>
    <w:rsid w:val="0064414E"/>
    <w:rsid w:val="00644227"/>
    <w:rsid w:val="00644CFA"/>
    <w:rsid w:val="00644DB0"/>
    <w:rsid w:val="00645ADF"/>
    <w:rsid w:val="00645E4F"/>
    <w:rsid w:val="00647B19"/>
    <w:rsid w:val="00647E17"/>
    <w:rsid w:val="006501EE"/>
    <w:rsid w:val="00650495"/>
    <w:rsid w:val="006525CB"/>
    <w:rsid w:val="00652D33"/>
    <w:rsid w:val="00653A9E"/>
    <w:rsid w:val="0065427F"/>
    <w:rsid w:val="006542BA"/>
    <w:rsid w:val="00654344"/>
    <w:rsid w:val="00654D93"/>
    <w:rsid w:val="006552D3"/>
    <w:rsid w:val="00655F9F"/>
    <w:rsid w:val="00656C10"/>
    <w:rsid w:val="006571FB"/>
    <w:rsid w:val="00657815"/>
    <w:rsid w:val="00657A49"/>
    <w:rsid w:val="00657FCA"/>
    <w:rsid w:val="00660FCE"/>
    <w:rsid w:val="006616FB"/>
    <w:rsid w:val="00661B14"/>
    <w:rsid w:val="00661FCD"/>
    <w:rsid w:val="00662920"/>
    <w:rsid w:val="00662B0D"/>
    <w:rsid w:val="006632B1"/>
    <w:rsid w:val="00663C45"/>
    <w:rsid w:val="0066502E"/>
    <w:rsid w:val="00665CD9"/>
    <w:rsid w:val="006664D6"/>
    <w:rsid w:val="006667FF"/>
    <w:rsid w:val="00666BA7"/>
    <w:rsid w:val="00667E7E"/>
    <w:rsid w:val="00670AAA"/>
    <w:rsid w:val="006715BE"/>
    <w:rsid w:val="0067198A"/>
    <w:rsid w:val="006732C4"/>
    <w:rsid w:val="006733A4"/>
    <w:rsid w:val="0067545B"/>
    <w:rsid w:val="00675858"/>
    <w:rsid w:val="00675EB7"/>
    <w:rsid w:val="00675F39"/>
    <w:rsid w:val="00676626"/>
    <w:rsid w:val="00676739"/>
    <w:rsid w:val="00676AE3"/>
    <w:rsid w:val="00676B11"/>
    <w:rsid w:val="00676CD2"/>
    <w:rsid w:val="00676F61"/>
    <w:rsid w:val="0067749E"/>
    <w:rsid w:val="00680514"/>
    <w:rsid w:val="00681ACD"/>
    <w:rsid w:val="00681CB5"/>
    <w:rsid w:val="006835DC"/>
    <w:rsid w:val="0068394A"/>
    <w:rsid w:val="00683B5F"/>
    <w:rsid w:val="006842F8"/>
    <w:rsid w:val="006846D6"/>
    <w:rsid w:val="00684BFC"/>
    <w:rsid w:val="006850C5"/>
    <w:rsid w:val="00685B27"/>
    <w:rsid w:val="00686043"/>
    <w:rsid w:val="006862DE"/>
    <w:rsid w:val="00687352"/>
    <w:rsid w:val="00687BA0"/>
    <w:rsid w:val="00690060"/>
    <w:rsid w:val="006901FF"/>
    <w:rsid w:val="006907D2"/>
    <w:rsid w:val="00690A8E"/>
    <w:rsid w:val="006926DF"/>
    <w:rsid w:val="00692D5C"/>
    <w:rsid w:val="00692E19"/>
    <w:rsid w:val="00693394"/>
    <w:rsid w:val="006934A1"/>
    <w:rsid w:val="0069372E"/>
    <w:rsid w:val="00694927"/>
    <w:rsid w:val="00694CB1"/>
    <w:rsid w:val="006957C9"/>
    <w:rsid w:val="00695CF5"/>
    <w:rsid w:val="00695E26"/>
    <w:rsid w:val="00696B05"/>
    <w:rsid w:val="006972B5"/>
    <w:rsid w:val="006975C0"/>
    <w:rsid w:val="00697921"/>
    <w:rsid w:val="00697C99"/>
    <w:rsid w:val="006A0112"/>
    <w:rsid w:val="006A02A3"/>
    <w:rsid w:val="006A06B9"/>
    <w:rsid w:val="006A07F0"/>
    <w:rsid w:val="006A0BF8"/>
    <w:rsid w:val="006A0C35"/>
    <w:rsid w:val="006A1361"/>
    <w:rsid w:val="006A1E4D"/>
    <w:rsid w:val="006A1FD4"/>
    <w:rsid w:val="006A21C6"/>
    <w:rsid w:val="006A223E"/>
    <w:rsid w:val="006A2920"/>
    <w:rsid w:val="006A2EEF"/>
    <w:rsid w:val="006A3481"/>
    <w:rsid w:val="006A3A65"/>
    <w:rsid w:val="006A4221"/>
    <w:rsid w:val="006A532B"/>
    <w:rsid w:val="006A577A"/>
    <w:rsid w:val="006A5AC3"/>
    <w:rsid w:val="006A6EB3"/>
    <w:rsid w:val="006A70C6"/>
    <w:rsid w:val="006B00BF"/>
    <w:rsid w:val="006B04B0"/>
    <w:rsid w:val="006B10D9"/>
    <w:rsid w:val="006B1CCA"/>
    <w:rsid w:val="006B2FD0"/>
    <w:rsid w:val="006B31CC"/>
    <w:rsid w:val="006B5226"/>
    <w:rsid w:val="006B5751"/>
    <w:rsid w:val="006B5F04"/>
    <w:rsid w:val="006B66E9"/>
    <w:rsid w:val="006B68E0"/>
    <w:rsid w:val="006B6B10"/>
    <w:rsid w:val="006B79A4"/>
    <w:rsid w:val="006C0781"/>
    <w:rsid w:val="006C0DD0"/>
    <w:rsid w:val="006C20A7"/>
    <w:rsid w:val="006C211C"/>
    <w:rsid w:val="006C24B3"/>
    <w:rsid w:val="006C2A9E"/>
    <w:rsid w:val="006C365F"/>
    <w:rsid w:val="006C36F0"/>
    <w:rsid w:val="006C3B36"/>
    <w:rsid w:val="006C3C77"/>
    <w:rsid w:val="006C3FD1"/>
    <w:rsid w:val="006C416E"/>
    <w:rsid w:val="006D1760"/>
    <w:rsid w:val="006D1DCB"/>
    <w:rsid w:val="006D24B8"/>
    <w:rsid w:val="006D255F"/>
    <w:rsid w:val="006D3458"/>
    <w:rsid w:val="006D356D"/>
    <w:rsid w:val="006D3A9F"/>
    <w:rsid w:val="006D3EB4"/>
    <w:rsid w:val="006D4098"/>
    <w:rsid w:val="006D4475"/>
    <w:rsid w:val="006D5C6C"/>
    <w:rsid w:val="006D5E1E"/>
    <w:rsid w:val="006E03A6"/>
    <w:rsid w:val="006E04F2"/>
    <w:rsid w:val="006E07E6"/>
    <w:rsid w:val="006E086D"/>
    <w:rsid w:val="006E0AE7"/>
    <w:rsid w:val="006E0F16"/>
    <w:rsid w:val="006E11C9"/>
    <w:rsid w:val="006E1209"/>
    <w:rsid w:val="006E1710"/>
    <w:rsid w:val="006E2A58"/>
    <w:rsid w:val="006E3418"/>
    <w:rsid w:val="006E499D"/>
    <w:rsid w:val="006E5116"/>
    <w:rsid w:val="006E548A"/>
    <w:rsid w:val="006E55F3"/>
    <w:rsid w:val="006E5A51"/>
    <w:rsid w:val="006E7112"/>
    <w:rsid w:val="006E7911"/>
    <w:rsid w:val="006E79D3"/>
    <w:rsid w:val="006E7A16"/>
    <w:rsid w:val="006E7C0E"/>
    <w:rsid w:val="006F0871"/>
    <w:rsid w:val="006F09DE"/>
    <w:rsid w:val="006F13DF"/>
    <w:rsid w:val="006F1847"/>
    <w:rsid w:val="006F2168"/>
    <w:rsid w:val="006F22D4"/>
    <w:rsid w:val="006F2A43"/>
    <w:rsid w:val="006F2D92"/>
    <w:rsid w:val="006F4704"/>
    <w:rsid w:val="006F4B02"/>
    <w:rsid w:val="006F5652"/>
    <w:rsid w:val="006F588A"/>
    <w:rsid w:val="006F6012"/>
    <w:rsid w:val="006F621D"/>
    <w:rsid w:val="006F67B3"/>
    <w:rsid w:val="006F7077"/>
    <w:rsid w:val="006F72FD"/>
    <w:rsid w:val="006F7863"/>
    <w:rsid w:val="006F786B"/>
    <w:rsid w:val="006F7E2A"/>
    <w:rsid w:val="00700AAE"/>
    <w:rsid w:val="00700FA2"/>
    <w:rsid w:val="00701DDE"/>
    <w:rsid w:val="0070291B"/>
    <w:rsid w:val="00702F4E"/>
    <w:rsid w:val="007035D2"/>
    <w:rsid w:val="0070409F"/>
    <w:rsid w:val="00704849"/>
    <w:rsid w:val="007052A0"/>
    <w:rsid w:val="007055A9"/>
    <w:rsid w:val="0070571A"/>
    <w:rsid w:val="00705865"/>
    <w:rsid w:val="00705A8E"/>
    <w:rsid w:val="00706F49"/>
    <w:rsid w:val="00707235"/>
    <w:rsid w:val="00707292"/>
    <w:rsid w:val="0071009B"/>
    <w:rsid w:val="007104A2"/>
    <w:rsid w:val="00710820"/>
    <w:rsid w:val="00710BAC"/>
    <w:rsid w:val="007110D9"/>
    <w:rsid w:val="0071200D"/>
    <w:rsid w:val="00712BC7"/>
    <w:rsid w:val="007138B3"/>
    <w:rsid w:val="00713EF1"/>
    <w:rsid w:val="00714926"/>
    <w:rsid w:val="00714AA4"/>
    <w:rsid w:val="00714D38"/>
    <w:rsid w:val="00715AD1"/>
    <w:rsid w:val="0071608C"/>
    <w:rsid w:val="007167C5"/>
    <w:rsid w:val="00717AAE"/>
    <w:rsid w:val="00720DA4"/>
    <w:rsid w:val="00721DD7"/>
    <w:rsid w:val="00721F8E"/>
    <w:rsid w:val="00722763"/>
    <w:rsid w:val="007228CC"/>
    <w:rsid w:val="00723786"/>
    <w:rsid w:val="007237F3"/>
    <w:rsid w:val="007241F1"/>
    <w:rsid w:val="00724228"/>
    <w:rsid w:val="007243E6"/>
    <w:rsid w:val="007245B1"/>
    <w:rsid w:val="00724EA9"/>
    <w:rsid w:val="007253DA"/>
    <w:rsid w:val="00725AC2"/>
    <w:rsid w:val="00725E12"/>
    <w:rsid w:val="00725E7C"/>
    <w:rsid w:val="0072652B"/>
    <w:rsid w:val="00726E51"/>
    <w:rsid w:val="00726E8E"/>
    <w:rsid w:val="0073095D"/>
    <w:rsid w:val="00731112"/>
    <w:rsid w:val="00731820"/>
    <w:rsid w:val="00732280"/>
    <w:rsid w:val="0073279C"/>
    <w:rsid w:val="00732937"/>
    <w:rsid w:val="0073294A"/>
    <w:rsid w:val="00733B56"/>
    <w:rsid w:val="00734E4D"/>
    <w:rsid w:val="00735542"/>
    <w:rsid w:val="0073575F"/>
    <w:rsid w:val="00735941"/>
    <w:rsid w:val="00735C6A"/>
    <w:rsid w:val="00736392"/>
    <w:rsid w:val="00736533"/>
    <w:rsid w:val="007368F3"/>
    <w:rsid w:val="00736BE6"/>
    <w:rsid w:val="00736E60"/>
    <w:rsid w:val="00737666"/>
    <w:rsid w:val="00737856"/>
    <w:rsid w:val="00737A3E"/>
    <w:rsid w:val="00737F49"/>
    <w:rsid w:val="00740682"/>
    <w:rsid w:val="007408D2"/>
    <w:rsid w:val="0074111A"/>
    <w:rsid w:val="00741741"/>
    <w:rsid w:val="00741833"/>
    <w:rsid w:val="007419F5"/>
    <w:rsid w:val="00741C6B"/>
    <w:rsid w:val="00742077"/>
    <w:rsid w:val="00742190"/>
    <w:rsid w:val="00742522"/>
    <w:rsid w:val="007428B9"/>
    <w:rsid w:val="00742972"/>
    <w:rsid w:val="00742D9D"/>
    <w:rsid w:val="007436AD"/>
    <w:rsid w:val="00743CCE"/>
    <w:rsid w:val="00743E5F"/>
    <w:rsid w:val="0074456E"/>
    <w:rsid w:val="00744C5C"/>
    <w:rsid w:val="00745106"/>
    <w:rsid w:val="0074554C"/>
    <w:rsid w:val="0074582E"/>
    <w:rsid w:val="00746B75"/>
    <w:rsid w:val="007477D2"/>
    <w:rsid w:val="0074781A"/>
    <w:rsid w:val="00750D0E"/>
    <w:rsid w:val="00751AD7"/>
    <w:rsid w:val="0075209A"/>
    <w:rsid w:val="00752372"/>
    <w:rsid w:val="007526AE"/>
    <w:rsid w:val="0075376F"/>
    <w:rsid w:val="00753977"/>
    <w:rsid w:val="00753EF6"/>
    <w:rsid w:val="00755406"/>
    <w:rsid w:val="007556FD"/>
    <w:rsid w:val="0075645F"/>
    <w:rsid w:val="00756D2B"/>
    <w:rsid w:val="00756D78"/>
    <w:rsid w:val="00757690"/>
    <w:rsid w:val="00757706"/>
    <w:rsid w:val="00757DE6"/>
    <w:rsid w:val="00760605"/>
    <w:rsid w:val="0076066E"/>
    <w:rsid w:val="0076097A"/>
    <w:rsid w:val="00760B11"/>
    <w:rsid w:val="00760EA4"/>
    <w:rsid w:val="007613C9"/>
    <w:rsid w:val="00762B6E"/>
    <w:rsid w:val="0076307F"/>
    <w:rsid w:val="00763B26"/>
    <w:rsid w:val="007642C8"/>
    <w:rsid w:val="00764392"/>
    <w:rsid w:val="00764706"/>
    <w:rsid w:val="00765953"/>
    <w:rsid w:val="007663F3"/>
    <w:rsid w:val="007665E2"/>
    <w:rsid w:val="0076670A"/>
    <w:rsid w:val="007668C3"/>
    <w:rsid w:val="00766FD0"/>
    <w:rsid w:val="00767940"/>
    <w:rsid w:val="00771AF3"/>
    <w:rsid w:val="00772157"/>
    <w:rsid w:val="00772314"/>
    <w:rsid w:val="007724EB"/>
    <w:rsid w:val="0077354D"/>
    <w:rsid w:val="00773FE5"/>
    <w:rsid w:val="00774A50"/>
    <w:rsid w:val="00774BB2"/>
    <w:rsid w:val="00774F04"/>
    <w:rsid w:val="00775462"/>
    <w:rsid w:val="00777318"/>
    <w:rsid w:val="00780253"/>
    <w:rsid w:val="00780358"/>
    <w:rsid w:val="007809FB"/>
    <w:rsid w:val="00780C32"/>
    <w:rsid w:val="00780DE6"/>
    <w:rsid w:val="0078143B"/>
    <w:rsid w:val="0078183E"/>
    <w:rsid w:val="007818CD"/>
    <w:rsid w:val="00781FFD"/>
    <w:rsid w:val="007821FA"/>
    <w:rsid w:val="00782664"/>
    <w:rsid w:val="00782AD0"/>
    <w:rsid w:val="00782FA4"/>
    <w:rsid w:val="00783C41"/>
    <w:rsid w:val="007840DF"/>
    <w:rsid w:val="007844C8"/>
    <w:rsid w:val="00784E90"/>
    <w:rsid w:val="0078562E"/>
    <w:rsid w:val="00785E16"/>
    <w:rsid w:val="007863C8"/>
    <w:rsid w:val="00786BAB"/>
    <w:rsid w:val="007870DA"/>
    <w:rsid w:val="0079015C"/>
    <w:rsid w:val="00790C1D"/>
    <w:rsid w:val="00791C6B"/>
    <w:rsid w:val="00791D44"/>
    <w:rsid w:val="007920FA"/>
    <w:rsid w:val="007922D3"/>
    <w:rsid w:val="00792752"/>
    <w:rsid w:val="00792F59"/>
    <w:rsid w:val="00793345"/>
    <w:rsid w:val="007937B4"/>
    <w:rsid w:val="007937FB"/>
    <w:rsid w:val="007939FD"/>
    <w:rsid w:val="00793F4D"/>
    <w:rsid w:val="007946A3"/>
    <w:rsid w:val="00794BB3"/>
    <w:rsid w:val="00795427"/>
    <w:rsid w:val="007961D9"/>
    <w:rsid w:val="0079629E"/>
    <w:rsid w:val="00796A6A"/>
    <w:rsid w:val="007A00C3"/>
    <w:rsid w:val="007A0B22"/>
    <w:rsid w:val="007A1690"/>
    <w:rsid w:val="007A1ABF"/>
    <w:rsid w:val="007A1DFF"/>
    <w:rsid w:val="007A2B90"/>
    <w:rsid w:val="007A3856"/>
    <w:rsid w:val="007A3DF6"/>
    <w:rsid w:val="007A3E8A"/>
    <w:rsid w:val="007A42B8"/>
    <w:rsid w:val="007A48C8"/>
    <w:rsid w:val="007A4B77"/>
    <w:rsid w:val="007A51AE"/>
    <w:rsid w:val="007A5303"/>
    <w:rsid w:val="007A5606"/>
    <w:rsid w:val="007A59ED"/>
    <w:rsid w:val="007A6C57"/>
    <w:rsid w:val="007B240A"/>
    <w:rsid w:val="007B25BF"/>
    <w:rsid w:val="007B2A4A"/>
    <w:rsid w:val="007B2BB6"/>
    <w:rsid w:val="007B33AE"/>
    <w:rsid w:val="007B3456"/>
    <w:rsid w:val="007B5078"/>
    <w:rsid w:val="007B5EAD"/>
    <w:rsid w:val="007B6427"/>
    <w:rsid w:val="007B6818"/>
    <w:rsid w:val="007B6CE1"/>
    <w:rsid w:val="007B7BDC"/>
    <w:rsid w:val="007C038C"/>
    <w:rsid w:val="007C139D"/>
    <w:rsid w:val="007C17D3"/>
    <w:rsid w:val="007C19FC"/>
    <w:rsid w:val="007C1ECA"/>
    <w:rsid w:val="007C2D97"/>
    <w:rsid w:val="007C3472"/>
    <w:rsid w:val="007C3C7F"/>
    <w:rsid w:val="007C3EFF"/>
    <w:rsid w:val="007C4449"/>
    <w:rsid w:val="007C4C55"/>
    <w:rsid w:val="007C5C04"/>
    <w:rsid w:val="007C6411"/>
    <w:rsid w:val="007C7125"/>
    <w:rsid w:val="007D0034"/>
    <w:rsid w:val="007D006D"/>
    <w:rsid w:val="007D0CFA"/>
    <w:rsid w:val="007D0E94"/>
    <w:rsid w:val="007D1349"/>
    <w:rsid w:val="007D1844"/>
    <w:rsid w:val="007D1C4F"/>
    <w:rsid w:val="007D2E62"/>
    <w:rsid w:val="007D3433"/>
    <w:rsid w:val="007D443F"/>
    <w:rsid w:val="007D453F"/>
    <w:rsid w:val="007D52C4"/>
    <w:rsid w:val="007D5696"/>
    <w:rsid w:val="007D5796"/>
    <w:rsid w:val="007D5EF9"/>
    <w:rsid w:val="007D5FB0"/>
    <w:rsid w:val="007D680A"/>
    <w:rsid w:val="007D6D11"/>
    <w:rsid w:val="007D6D32"/>
    <w:rsid w:val="007D7A55"/>
    <w:rsid w:val="007D7E3D"/>
    <w:rsid w:val="007E0155"/>
    <w:rsid w:val="007E0B04"/>
    <w:rsid w:val="007E13A2"/>
    <w:rsid w:val="007E1622"/>
    <w:rsid w:val="007E2162"/>
    <w:rsid w:val="007E28B9"/>
    <w:rsid w:val="007E3260"/>
    <w:rsid w:val="007E326C"/>
    <w:rsid w:val="007E408C"/>
    <w:rsid w:val="007E4639"/>
    <w:rsid w:val="007E4A1B"/>
    <w:rsid w:val="007E4C2D"/>
    <w:rsid w:val="007E52A7"/>
    <w:rsid w:val="007E5785"/>
    <w:rsid w:val="007E5C34"/>
    <w:rsid w:val="007E5F53"/>
    <w:rsid w:val="007E6EAA"/>
    <w:rsid w:val="007E7634"/>
    <w:rsid w:val="007E7CF0"/>
    <w:rsid w:val="007F00CD"/>
    <w:rsid w:val="007F04C7"/>
    <w:rsid w:val="007F0C3F"/>
    <w:rsid w:val="007F0D06"/>
    <w:rsid w:val="007F14AA"/>
    <w:rsid w:val="007F170C"/>
    <w:rsid w:val="007F21E6"/>
    <w:rsid w:val="007F29E9"/>
    <w:rsid w:val="007F3022"/>
    <w:rsid w:val="007F33BD"/>
    <w:rsid w:val="007F358F"/>
    <w:rsid w:val="007F3DC6"/>
    <w:rsid w:val="007F42B7"/>
    <w:rsid w:val="007F518A"/>
    <w:rsid w:val="007F7CD0"/>
    <w:rsid w:val="008004A9"/>
    <w:rsid w:val="0080137A"/>
    <w:rsid w:val="008016BC"/>
    <w:rsid w:val="00801C4F"/>
    <w:rsid w:val="0080288E"/>
    <w:rsid w:val="0080297D"/>
    <w:rsid w:val="00802C9F"/>
    <w:rsid w:val="008038A6"/>
    <w:rsid w:val="00803A1F"/>
    <w:rsid w:val="00803D28"/>
    <w:rsid w:val="008041C8"/>
    <w:rsid w:val="008055DB"/>
    <w:rsid w:val="008057F8"/>
    <w:rsid w:val="00806BBB"/>
    <w:rsid w:val="00806BC9"/>
    <w:rsid w:val="00806C25"/>
    <w:rsid w:val="00807409"/>
    <w:rsid w:val="00807E25"/>
    <w:rsid w:val="00810759"/>
    <w:rsid w:val="00810794"/>
    <w:rsid w:val="00810AA5"/>
    <w:rsid w:val="00810D3F"/>
    <w:rsid w:val="008110CD"/>
    <w:rsid w:val="00811642"/>
    <w:rsid w:val="0081170E"/>
    <w:rsid w:val="008119A9"/>
    <w:rsid w:val="008119D1"/>
    <w:rsid w:val="00812817"/>
    <w:rsid w:val="00812895"/>
    <w:rsid w:val="0081292E"/>
    <w:rsid w:val="008132D4"/>
    <w:rsid w:val="008137CA"/>
    <w:rsid w:val="00813DDE"/>
    <w:rsid w:val="00813FD6"/>
    <w:rsid w:val="00814613"/>
    <w:rsid w:val="00814897"/>
    <w:rsid w:val="00814A6D"/>
    <w:rsid w:val="00816288"/>
    <w:rsid w:val="00816E17"/>
    <w:rsid w:val="00820DD4"/>
    <w:rsid w:val="0082174E"/>
    <w:rsid w:val="00821F25"/>
    <w:rsid w:val="00822798"/>
    <w:rsid w:val="008227A4"/>
    <w:rsid w:val="008228E8"/>
    <w:rsid w:val="008232F9"/>
    <w:rsid w:val="008235A4"/>
    <w:rsid w:val="00823861"/>
    <w:rsid w:val="00823DB4"/>
    <w:rsid w:val="008245D6"/>
    <w:rsid w:val="00824AEE"/>
    <w:rsid w:val="00825403"/>
    <w:rsid w:val="008259D4"/>
    <w:rsid w:val="0082612C"/>
    <w:rsid w:val="008265DA"/>
    <w:rsid w:val="0082677D"/>
    <w:rsid w:val="00826EF5"/>
    <w:rsid w:val="0083061C"/>
    <w:rsid w:val="008311D5"/>
    <w:rsid w:val="008315BA"/>
    <w:rsid w:val="00831B3D"/>
    <w:rsid w:val="00833199"/>
    <w:rsid w:val="00833902"/>
    <w:rsid w:val="008340DD"/>
    <w:rsid w:val="00834C41"/>
    <w:rsid w:val="00835FB0"/>
    <w:rsid w:val="0083607A"/>
    <w:rsid w:val="0083610B"/>
    <w:rsid w:val="0083624C"/>
    <w:rsid w:val="00836742"/>
    <w:rsid w:val="00836CC6"/>
    <w:rsid w:val="00836E40"/>
    <w:rsid w:val="00836E47"/>
    <w:rsid w:val="00837067"/>
    <w:rsid w:val="00837EDB"/>
    <w:rsid w:val="00837F14"/>
    <w:rsid w:val="00840541"/>
    <w:rsid w:val="0084056D"/>
    <w:rsid w:val="0084128D"/>
    <w:rsid w:val="008425EF"/>
    <w:rsid w:val="008431E5"/>
    <w:rsid w:val="00843287"/>
    <w:rsid w:val="008435EB"/>
    <w:rsid w:val="00845539"/>
    <w:rsid w:val="00845E8A"/>
    <w:rsid w:val="00846629"/>
    <w:rsid w:val="008467F4"/>
    <w:rsid w:val="00846DD7"/>
    <w:rsid w:val="00847A09"/>
    <w:rsid w:val="00847BB4"/>
    <w:rsid w:val="00847D68"/>
    <w:rsid w:val="00850313"/>
    <w:rsid w:val="00850631"/>
    <w:rsid w:val="00852178"/>
    <w:rsid w:val="008523D4"/>
    <w:rsid w:val="008527C8"/>
    <w:rsid w:val="00852B3A"/>
    <w:rsid w:val="00852C84"/>
    <w:rsid w:val="00853B07"/>
    <w:rsid w:val="00853F36"/>
    <w:rsid w:val="0085426C"/>
    <w:rsid w:val="00854FAF"/>
    <w:rsid w:val="00855327"/>
    <w:rsid w:val="008567C4"/>
    <w:rsid w:val="00856908"/>
    <w:rsid w:val="00856BC2"/>
    <w:rsid w:val="00856FD1"/>
    <w:rsid w:val="008574B3"/>
    <w:rsid w:val="00857617"/>
    <w:rsid w:val="0086091A"/>
    <w:rsid w:val="00860ECA"/>
    <w:rsid w:val="008614CF"/>
    <w:rsid w:val="00861AAF"/>
    <w:rsid w:val="008629F6"/>
    <w:rsid w:val="00862A0B"/>
    <w:rsid w:val="00862FAD"/>
    <w:rsid w:val="008636F9"/>
    <w:rsid w:val="008637A6"/>
    <w:rsid w:val="00864061"/>
    <w:rsid w:val="0086596F"/>
    <w:rsid w:val="008659EA"/>
    <w:rsid w:val="00866C1E"/>
    <w:rsid w:val="008672F0"/>
    <w:rsid w:val="00867477"/>
    <w:rsid w:val="00867A4F"/>
    <w:rsid w:val="00870857"/>
    <w:rsid w:val="00870D33"/>
    <w:rsid w:val="0087221D"/>
    <w:rsid w:val="008726B2"/>
    <w:rsid w:val="008729FE"/>
    <w:rsid w:val="00872B87"/>
    <w:rsid w:val="008733E6"/>
    <w:rsid w:val="00873D3A"/>
    <w:rsid w:val="008743C0"/>
    <w:rsid w:val="0087450E"/>
    <w:rsid w:val="00874B59"/>
    <w:rsid w:val="00876558"/>
    <w:rsid w:val="00876568"/>
    <w:rsid w:val="00876D8A"/>
    <w:rsid w:val="008772DB"/>
    <w:rsid w:val="00877617"/>
    <w:rsid w:val="008777CC"/>
    <w:rsid w:val="00880BB6"/>
    <w:rsid w:val="008813C4"/>
    <w:rsid w:val="00881B49"/>
    <w:rsid w:val="00882327"/>
    <w:rsid w:val="008827B1"/>
    <w:rsid w:val="0088306F"/>
    <w:rsid w:val="00883BB3"/>
    <w:rsid w:val="00884178"/>
    <w:rsid w:val="0088669C"/>
    <w:rsid w:val="008867EF"/>
    <w:rsid w:val="0088719E"/>
    <w:rsid w:val="00890371"/>
    <w:rsid w:val="00890516"/>
    <w:rsid w:val="0089085A"/>
    <w:rsid w:val="00890D9F"/>
    <w:rsid w:val="00890FCA"/>
    <w:rsid w:val="00891704"/>
    <w:rsid w:val="00891D89"/>
    <w:rsid w:val="00891E0B"/>
    <w:rsid w:val="008920FC"/>
    <w:rsid w:val="00892BF3"/>
    <w:rsid w:val="00893132"/>
    <w:rsid w:val="00893582"/>
    <w:rsid w:val="0089385F"/>
    <w:rsid w:val="0089408A"/>
    <w:rsid w:val="00895D1B"/>
    <w:rsid w:val="0089642D"/>
    <w:rsid w:val="00897A7C"/>
    <w:rsid w:val="00897D03"/>
    <w:rsid w:val="008A0165"/>
    <w:rsid w:val="008A021A"/>
    <w:rsid w:val="008A0969"/>
    <w:rsid w:val="008A1B1C"/>
    <w:rsid w:val="008A1C3D"/>
    <w:rsid w:val="008A24B8"/>
    <w:rsid w:val="008A26E0"/>
    <w:rsid w:val="008A2BA3"/>
    <w:rsid w:val="008A2E7C"/>
    <w:rsid w:val="008A35AD"/>
    <w:rsid w:val="008A5C83"/>
    <w:rsid w:val="008A68BD"/>
    <w:rsid w:val="008B0D6D"/>
    <w:rsid w:val="008B152B"/>
    <w:rsid w:val="008B1661"/>
    <w:rsid w:val="008B1FEE"/>
    <w:rsid w:val="008B2796"/>
    <w:rsid w:val="008B2981"/>
    <w:rsid w:val="008B2D70"/>
    <w:rsid w:val="008B3922"/>
    <w:rsid w:val="008B431C"/>
    <w:rsid w:val="008B4A6C"/>
    <w:rsid w:val="008B5111"/>
    <w:rsid w:val="008B6207"/>
    <w:rsid w:val="008C12D6"/>
    <w:rsid w:val="008C23FC"/>
    <w:rsid w:val="008C2C99"/>
    <w:rsid w:val="008C38D8"/>
    <w:rsid w:val="008C3B4B"/>
    <w:rsid w:val="008C4C1A"/>
    <w:rsid w:val="008C536F"/>
    <w:rsid w:val="008C5705"/>
    <w:rsid w:val="008C7B93"/>
    <w:rsid w:val="008D028B"/>
    <w:rsid w:val="008D0653"/>
    <w:rsid w:val="008D148A"/>
    <w:rsid w:val="008D340F"/>
    <w:rsid w:val="008D34C1"/>
    <w:rsid w:val="008D396F"/>
    <w:rsid w:val="008D50AE"/>
    <w:rsid w:val="008D5D90"/>
    <w:rsid w:val="008D6997"/>
    <w:rsid w:val="008D73C2"/>
    <w:rsid w:val="008D7E6C"/>
    <w:rsid w:val="008E0352"/>
    <w:rsid w:val="008E04E7"/>
    <w:rsid w:val="008E0D49"/>
    <w:rsid w:val="008E0E8E"/>
    <w:rsid w:val="008E0EB5"/>
    <w:rsid w:val="008E1082"/>
    <w:rsid w:val="008E115A"/>
    <w:rsid w:val="008E1CBD"/>
    <w:rsid w:val="008E2076"/>
    <w:rsid w:val="008E2197"/>
    <w:rsid w:val="008E28DA"/>
    <w:rsid w:val="008E3A27"/>
    <w:rsid w:val="008E4D2E"/>
    <w:rsid w:val="008E55EF"/>
    <w:rsid w:val="008E593C"/>
    <w:rsid w:val="008E5D2C"/>
    <w:rsid w:val="008E6401"/>
    <w:rsid w:val="008E65DA"/>
    <w:rsid w:val="008E7BE3"/>
    <w:rsid w:val="008F0250"/>
    <w:rsid w:val="008F0905"/>
    <w:rsid w:val="008F09BF"/>
    <w:rsid w:val="008F1216"/>
    <w:rsid w:val="008F1512"/>
    <w:rsid w:val="008F1EC4"/>
    <w:rsid w:val="008F27D4"/>
    <w:rsid w:val="008F2A56"/>
    <w:rsid w:val="008F2B10"/>
    <w:rsid w:val="008F2F7D"/>
    <w:rsid w:val="008F2F96"/>
    <w:rsid w:val="008F3B61"/>
    <w:rsid w:val="008F4FDF"/>
    <w:rsid w:val="008F5652"/>
    <w:rsid w:val="008F66A9"/>
    <w:rsid w:val="008F66BD"/>
    <w:rsid w:val="008F6C28"/>
    <w:rsid w:val="008F6D1F"/>
    <w:rsid w:val="008F7B29"/>
    <w:rsid w:val="008F7CEF"/>
    <w:rsid w:val="00900B68"/>
    <w:rsid w:val="00901D65"/>
    <w:rsid w:val="00902662"/>
    <w:rsid w:val="00903C1E"/>
    <w:rsid w:val="00903CAD"/>
    <w:rsid w:val="00904021"/>
    <w:rsid w:val="00904454"/>
    <w:rsid w:val="00904E76"/>
    <w:rsid w:val="009051BB"/>
    <w:rsid w:val="00905742"/>
    <w:rsid w:val="00905C82"/>
    <w:rsid w:val="00905E62"/>
    <w:rsid w:val="009063F8"/>
    <w:rsid w:val="00906B36"/>
    <w:rsid w:val="00906EAD"/>
    <w:rsid w:val="00907233"/>
    <w:rsid w:val="0090761F"/>
    <w:rsid w:val="00907872"/>
    <w:rsid w:val="00911B12"/>
    <w:rsid w:val="00911C82"/>
    <w:rsid w:val="00912E05"/>
    <w:rsid w:val="00913136"/>
    <w:rsid w:val="009144D3"/>
    <w:rsid w:val="00914528"/>
    <w:rsid w:val="00914A60"/>
    <w:rsid w:val="00914C1C"/>
    <w:rsid w:val="00916409"/>
    <w:rsid w:val="009164D0"/>
    <w:rsid w:val="00916552"/>
    <w:rsid w:val="009169E9"/>
    <w:rsid w:val="00916B6F"/>
    <w:rsid w:val="00917775"/>
    <w:rsid w:val="009177D7"/>
    <w:rsid w:val="00920204"/>
    <w:rsid w:val="00920923"/>
    <w:rsid w:val="009210B6"/>
    <w:rsid w:val="00921948"/>
    <w:rsid w:val="00922560"/>
    <w:rsid w:val="00922E74"/>
    <w:rsid w:val="00924524"/>
    <w:rsid w:val="00924B0E"/>
    <w:rsid w:val="00924DED"/>
    <w:rsid w:val="00925953"/>
    <w:rsid w:val="009262AB"/>
    <w:rsid w:val="00926AC5"/>
    <w:rsid w:val="00926BA5"/>
    <w:rsid w:val="0092790A"/>
    <w:rsid w:val="0093069E"/>
    <w:rsid w:val="00930821"/>
    <w:rsid w:val="00930B7C"/>
    <w:rsid w:val="00931515"/>
    <w:rsid w:val="00931979"/>
    <w:rsid w:val="00932AF6"/>
    <w:rsid w:val="00933920"/>
    <w:rsid w:val="00933D65"/>
    <w:rsid w:val="00934034"/>
    <w:rsid w:val="009353F2"/>
    <w:rsid w:val="0093600F"/>
    <w:rsid w:val="009360C3"/>
    <w:rsid w:val="009361C2"/>
    <w:rsid w:val="00936E74"/>
    <w:rsid w:val="00937066"/>
    <w:rsid w:val="00937765"/>
    <w:rsid w:val="0094032D"/>
    <w:rsid w:val="009404F1"/>
    <w:rsid w:val="00940ABE"/>
    <w:rsid w:val="00940FF9"/>
    <w:rsid w:val="0094176D"/>
    <w:rsid w:val="009420AD"/>
    <w:rsid w:val="009436F2"/>
    <w:rsid w:val="009441D4"/>
    <w:rsid w:val="00945CD7"/>
    <w:rsid w:val="0094600C"/>
    <w:rsid w:val="0094632A"/>
    <w:rsid w:val="0094780E"/>
    <w:rsid w:val="00947853"/>
    <w:rsid w:val="00947EB2"/>
    <w:rsid w:val="009504C8"/>
    <w:rsid w:val="0095065C"/>
    <w:rsid w:val="00950A0F"/>
    <w:rsid w:val="00950A26"/>
    <w:rsid w:val="00950CE0"/>
    <w:rsid w:val="009512FE"/>
    <w:rsid w:val="009518ED"/>
    <w:rsid w:val="00953753"/>
    <w:rsid w:val="00954042"/>
    <w:rsid w:val="009550A3"/>
    <w:rsid w:val="00955513"/>
    <w:rsid w:val="00955DAD"/>
    <w:rsid w:val="00956042"/>
    <w:rsid w:val="0095614D"/>
    <w:rsid w:val="009570B4"/>
    <w:rsid w:val="009570E4"/>
    <w:rsid w:val="00957D89"/>
    <w:rsid w:val="00960027"/>
    <w:rsid w:val="00961274"/>
    <w:rsid w:val="009618FF"/>
    <w:rsid w:val="00964A9D"/>
    <w:rsid w:val="0096530E"/>
    <w:rsid w:val="00965622"/>
    <w:rsid w:val="00965BE9"/>
    <w:rsid w:val="00965CB5"/>
    <w:rsid w:val="0096641D"/>
    <w:rsid w:val="00966F9F"/>
    <w:rsid w:val="009671AD"/>
    <w:rsid w:val="00967358"/>
    <w:rsid w:val="00967B1A"/>
    <w:rsid w:val="00970652"/>
    <w:rsid w:val="0097092D"/>
    <w:rsid w:val="00970DC6"/>
    <w:rsid w:val="009726A9"/>
    <w:rsid w:val="00972ED6"/>
    <w:rsid w:val="00973446"/>
    <w:rsid w:val="00973EF2"/>
    <w:rsid w:val="00973F3E"/>
    <w:rsid w:val="00973F69"/>
    <w:rsid w:val="009740F8"/>
    <w:rsid w:val="00976421"/>
    <w:rsid w:val="00976549"/>
    <w:rsid w:val="00977077"/>
    <w:rsid w:val="00977FA8"/>
    <w:rsid w:val="009804CB"/>
    <w:rsid w:val="00980DA8"/>
    <w:rsid w:val="00981484"/>
    <w:rsid w:val="00982B5F"/>
    <w:rsid w:val="00982E07"/>
    <w:rsid w:val="00983128"/>
    <w:rsid w:val="00983193"/>
    <w:rsid w:val="009836AE"/>
    <w:rsid w:val="00983D36"/>
    <w:rsid w:val="0098443E"/>
    <w:rsid w:val="00984613"/>
    <w:rsid w:val="00984665"/>
    <w:rsid w:val="009874AE"/>
    <w:rsid w:val="00987B16"/>
    <w:rsid w:val="00990E96"/>
    <w:rsid w:val="00990F77"/>
    <w:rsid w:val="009910D7"/>
    <w:rsid w:val="00991D54"/>
    <w:rsid w:val="009928FB"/>
    <w:rsid w:val="00992973"/>
    <w:rsid w:val="00993041"/>
    <w:rsid w:val="0099338D"/>
    <w:rsid w:val="00993651"/>
    <w:rsid w:val="00993739"/>
    <w:rsid w:val="00993807"/>
    <w:rsid w:val="00993B22"/>
    <w:rsid w:val="00994BDF"/>
    <w:rsid w:val="00994D2F"/>
    <w:rsid w:val="00994ED5"/>
    <w:rsid w:val="00994FB5"/>
    <w:rsid w:val="00995956"/>
    <w:rsid w:val="00995B88"/>
    <w:rsid w:val="00995D29"/>
    <w:rsid w:val="00996829"/>
    <w:rsid w:val="00996AAC"/>
    <w:rsid w:val="00996D2C"/>
    <w:rsid w:val="00996F06"/>
    <w:rsid w:val="00997BD2"/>
    <w:rsid w:val="009A0031"/>
    <w:rsid w:val="009A0366"/>
    <w:rsid w:val="009A16E1"/>
    <w:rsid w:val="009A1ABB"/>
    <w:rsid w:val="009A20D5"/>
    <w:rsid w:val="009A21A5"/>
    <w:rsid w:val="009A2861"/>
    <w:rsid w:val="009A2B9A"/>
    <w:rsid w:val="009A33FA"/>
    <w:rsid w:val="009A3401"/>
    <w:rsid w:val="009A40CD"/>
    <w:rsid w:val="009A41A3"/>
    <w:rsid w:val="009A44F9"/>
    <w:rsid w:val="009A49E6"/>
    <w:rsid w:val="009A4E61"/>
    <w:rsid w:val="009A5B52"/>
    <w:rsid w:val="009A5C15"/>
    <w:rsid w:val="009A612E"/>
    <w:rsid w:val="009A7D4F"/>
    <w:rsid w:val="009B00C7"/>
    <w:rsid w:val="009B016B"/>
    <w:rsid w:val="009B1387"/>
    <w:rsid w:val="009B1776"/>
    <w:rsid w:val="009B1F25"/>
    <w:rsid w:val="009B208B"/>
    <w:rsid w:val="009B31C0"/>
    <w:rsid w:val="009B3445"/>
    <w:rsid w:val="009B353A"/>
    <w:rsid w:val="009B3950"/>
    <w:rsid w:val="009B3ED0"/>
    <w:rsid w:val="009B4057"/>
    <w:rsid w:val="009B4597"/>
    <w:rsid w:val="009B4C1D"/>
    <w:rsid w:val="009B5B75"/>
    <w:rsid w:val="009B5DB5"/>
    <w:rsid w:val="009B64E5"/>
    <w:rsid w:val="009B67B8"/>
    <w:rsid w:val="009B6A2F"/>
    <w:rsid w:val="009B6BF3"/>
    <w:rsid w:val="009B6F49"/>
    <w:rsid w:val="009B6F8F"/>
    <w:rsid w:val="009B7157"/>
    <w:rsid w:val="009B7F3A"/>
    <w:rsid w:val="009C01A4"/>
    <w:rsid w:val="009C03F9"/>
    <w:rsid w:val="009C0688"/>
    <w:rsid w:val="009C1651"/>
    <w:rsid w:val="009C3A7B"/>
    <w:rsid w:val="009C3A9E"/>
    <w:rsid w:val="009C418A"/>
    <w:rsid w:val="009C41CC"/>
    <w:rsid w:val="009C4306"/>
    <w:rsid w:val="009C4725"/>
    <w:rsid w:val="009C4A77"/>
    <w:rsid w:val="009C5459"/>
    <w:rsid w:val="009C56C3"/>
    <w:rsid w:val="009C75F6"/>
    <w:rsid w:val="009C7F47"/>
    <w:rsid w:val="009D0EA0"/>
    <w:rsid w:val="009D10E0"/>
    <w:rsid w:val="009D11D4"/>
    <w:rsid w:val="009D14B7"/>
    <w:rsid w:val="009D1A2D"/>
    <w:rsid w:val="009D1C59"/>
    <w:rsid w:val="009D27D4"/>
    <w:rsid w:val="009D42F4"/>
    <w:rsid w:val="009D4D02"/>
    <w:rsid w:val="009D4D5A"/>
    <w:rsid w:val="009D4E77"/>
    <w:rsid w:val="009D4F4A"/>
    <w:rsid w:val="009D55F4"/>
    <w:rsid w:val="009D6CEB"/>
    <w:rsid w:val="009D6FEB"/>
    <w:rsid w:val="009D70A2"/>
    <w:rsid w:val="009D7F13"/>
    <w:rsid w:val="009E036E"/>
    <w:rsid w:val="009E058B"/>
    <w:rsid w:val="009E1BC8"/>
    <w:rsid w:val="009E1DC6"/>
    <w:rsid w:val="009E2666"/>
    <w:rsid w:val="009E3A10"/>
    <w:rsid w:val="009E3A3D"/>
    <w:rsid w:val="009E3C52"/>
    <w:rsid w:val="009E4743"/>
    <w:rsid w:val="009E4808"/>
    <w:rsid w:val="009E56E9"/>
    <w:rsid w:val="009E6553"/>
    <w:rsid w:val="009E690A"/>
    <w:rsid w:val="009E69A5"/>
    <w:rsid w:val="009F1AE0"/>
    <w:rsid w:val="009F1B1D"/>
    <w:rsid w:val="009F2078"/>
    <w:rsid w:val="009F20BF"/>
    <w:rsid w:val="009F266E"/>
    <w:rsid w:val="009F2730"/>
    <w:rsid w:val="009F323D"/>
    <w:rsid w:val="009F366A"/>
    <w:rsid w:val="009F3A31"/>
    <w:rsid w:val="009F4D69"/>
    <w:rsid w:val="009F4F71"/>
    <w:rsid w:val="009F61D4"/>
    <w:rsid w:val="009F6452"/>
    <w:rsid w:val="009F67D3"/>
    <w:rsid w:val="009F6C65"/>
    <w:rsid w:val="009F711B"/>
    <w:rsid w:val="009F720F"/>
    <w:rsid w:val="009F7408"/>
    <w:rsid w:val="009F7981"/>
    <w:rsid w:val="00A00597"/>
    <w:rsid w:val="00A00DF3"/>
    <w:rsid w:val="00A0130B"/>
    <w:rsid w:val="00A0178B"/>
    <w:rsid w:val="00A01CC9"/>
    <w:rsid w:val="00A020AE"/>
    <w:rsid w:val="00A02312"/>
    <w:rsid w:val="00A02452"/>
    <w:rsid w:val="00A0298F"/>
    <w:rsid w:val="00A02F72"/>
    <w:rsid w:val="00A03FB0"/>
    <w:rsid w:val="00A041BE"/>
    <w:rsid w:val="00A06094"/>
    <w:rsid w:val="00A060D8"/>
    <w:rsid w:val="00A0625B"/>
    <w:rsid w:val="00A0694D"/>
    <w:rsid w:val="00A076E9"/>
    <w:rsid w:val="00A07998"/>
    <w:rsid w:val="00A1090A"/>
    <w:rsid w:val="00A10D2C"/>
    <w:rsid w:val="00A1186D"/>
    <w:rsid w:val="00A118D8"/>
    <w:rsid w:val="00A11912"/>
    <w:rsid w:val="00A11B56"/>
    <w:rsid w:val="00A12264"/>
    <w:rsid w:val="00A12F88"/>
    <w:rsid w:val="00A13545"/>
    <w:rsid w:val="00A13EA2"/>
    <w:rsid w:val="00A1445C"/>
    <w:rsid w:val="00A14E2B"/>
    <w:rsid w:val="00A14F24"/>
    <w:rsid w:val="00A15564"/>
    <w:rsid w:val="00A15A45"/>
    <w:rsid w:val="00A16098"/>
    <w:rsid w:val="00A16CE5"/>
    <w:rsid w:val="00A17DC0"/>
    <w:rsid w:val="00A17DD6"/>
    <w:rsid w:val="00A2054E"/>
    <w:rsid w:val="00A20BE9"/>
    <w:rsid w:val="00A20E26"/>
    <w:rsid w:val="00A22AAF"/>
    <w:rsid w:val="00A23209"/>
    <w:rsid w:val="00A23F9D"/>
    <w:rsid w:val="00A244BA"/>
    <w:rsid w:val="00A26225"/>
    <w:rsid w:val="00A27290"/>
    <w:rsid w:val="00A2787F"/>
    <w:rsid w:val="00A31254"/>
    <w:rsid w:val="00A32185"/>
    <w:rsid w:val="00A33016"/>
    <w:rsid w:val="00A33047"/>
    <w:rsid w:val="00A33870"/>
    <w:rsid w:val="00A341F0"/>
    <w:rsid w:val="00A34705"/>
    <w:rsid w:val="00A3490B"/>
    <w:rsid w:val="00A34D52"/>
    <w:rsid w:val="00A35647"/>
    <w:rsid w:val="00A35CC2"/>
    <w:rsid w:val="00A3638B"/>
    <w:rsid w:val="00A36674"/>
    <w:rsid w:val="00A368D2"/>
    <w:rsid w:val="00A37DF3"/>
    <w:rsid w:val="00A37E7C"/>
    <w:rsid w:val="00A40567"/>
    <w:rsid w:val="00A4058C"/>
    <w:rsid w:val="00A40A03"/>
    <w:rsid w:val="00A41F37"/>
    <w:rsid w:val="00A426E4"/>
    <w:rsid w:val="00A4279D"/>
    <w:rsid w:val="00A44C75"/>
    <w:rsid w:val="00A4529D"/>
    <w:rsid w:val="00A4677E"/>
    <w:rsid w:val="00A46AB9"/>
    <w:rsid w:val="00A46D3C"/>
    <w:rsid w:val="00A46EE7"/>
    <w:rsid w:val="00A47758"/>
    <w:rsid w:val="00A47A23"/>
    <w:rsid w:val="00A50C6F"/>
    <w:rsid w:val="00A518B3"/>
    <w:rsid w:val="00A51C6F"/>
    <w:rsid w:val="00A52A73"/>
    <w:rsid w:val="00A52AA5"/>
    <w:rsid w:val="00A52E28"/>
    <w:rsid w:val="00A53BC8"/>
    <w:rsid w:val="00A55960"/>
    <w:rsid w:val="00A562EC"/>
    <w:rsid w:val="00A571B8"/>
    <w:rsid w:val="00A571C6"/>
    <w:rsid w:val="00A5796E"/>
    <w:rsid w:val="00A57EB6"/>
    <w:rsid w:val="00A607BD"/>
    <w:rsid w:val="00A60C49"/>
    <w:rsid w:val="00A618AA"/>
    <w:rsid w:val="00A61B15"/>
    <w:rsid w:val="00A61F2D"/>
    <w:rsid w:val="00A620BB"/>
    <w:rsid w:val="00A62321"/>
    <w:rsid w:val="00A624CE"/>
    <w:rsid w:val="00A62C58"/>
    <w:rsid w:val="00A65E23"/>
    <w:rsid w:val="00A65FBB"/>
    <w:rsid w:val="00A660F0"/>
    <w:rsid w:val="00A6668D"/>
    <w:rsid w:val="00A66DCA"/>
    <w:rsid w:val="00A70AF0"/>
    <w:rsid w:val="00A70E44"/>
    <w:rsid w:val="00A71878"/>
    <w:rsid w:val="00A71FE2"/>
    <w:rsid w:val="00A71FF2"/>
    <w:rsid w:val="00A72299"/>
    <w:rsid w:val="00A73398"/>
    <w:rsid w:val="00A73683"/>
    <w:rsid w:val="00A740AC"/>
    <w:rsid w:val="00A742FE"/>
    <w:rsid w:val="00A747F5"/>
    <w:rsid w:val="00A75504"/>
    <w:rsid w:val="00A75E19"/>
    <w:rsid w:val="00A761DA"/>
    <w:rsid w:val="00A767BC"/>
    <w:rsid w:val="00A7684E"/>
    <w:rsid w:val="00A77522"/>
    <w:rsid w:val="00A77652"/>
    <w:rsid w:val="00A806FF"/>
    <w:rsid w:val="00A81798"/>
    <w:rsid w:val="00A81B37"/>
    <w:rsid w:val="00A81F1B"/>
    <w:rsid w:val="00A82DB0"/>
    <w:rsid w:val="00A83371"/>
    <w:rsid w:val="00A846BF"/>
    <w:rsid w:val="00A8565B"/>
    <w:rsid w:val="00A85CDA"/>
    <w:rsid w:val="00A8609A"/>
    <w:rsid w:val="00A8698A"/>
    <w:rsid w:val="00A86A16"/>
    <w:rsid w:val="00A86AA8"/>
    <w:rsid w:val="00A87460"/>
    <w:rsid w:val="00A87623"/>
    <w:rsid w:val="00A8791E"/>
    <w:rsid w:val="00A87A7D"/>
    <w:rsid w:val="00A87F37"/>
    <w:rsid w:val="00A90F3C"/>
    <w:rsid w:val="00A912D2"/>
    <w:rsid w:val="00A91B3A"/>
    <w:rsid w:val="00A91E70"/>
    <w:rsid w:val="00A9287F"/>
    <w:rsid w:val="00A92C3A"/>
    <w:rsid w:val="00A92D75"/>
    <w:rsid w:val="00A92DD8"/>
    <w:rsid w:val="00A93333"/>
    <w:rsid w:val="00A933BD"/>
    <w:rsid w:val="00A93412"/>
    <w:rsid w:val="00A936C7"/>
    <w:rsid w:val="00A9387F"/>
    <w:rsid w:val="00A94AD7"/>
    <w:rsid w:val="00A97C0F"/>
    <w:rsid w:val="00A97E2D"/>
    <w:rsid w:val="00A97F0A"/>
    <w:rsid w:val="00AA0268"/>
    <w:rsid w:val="00AA079C"/>
    <w:rsid w:val="00AA09F9"/>
    <w:rsid w:val="00AA1532"/>
    <w:rsid w:val="00AA2B6D"/>
    <w:rsid w:val="00AA379F"/>
    <w:rsid w:val="00AA3E01"/>
    <w:rsid w:val="00AA447C"/>
    <w:rsid w:val="00AA48D3"/>
    <w:rsid w:val="00AA4DC9"/>
    <w:rsid w:val="00AA52EF"/>
    <w:rsid w:val="00AA61A6"/>
    <w:rsid w:val="00AA698A"/>
    <w:rsid w:val="00AA7D23"/>
    <w:rsid w:val="00AB05B7"/>
    <w:rsid w:val="00AB07A3"/>
    <w:rsid w:val="00AB0C3A"/>
    <w:rsid w:val="00AB0F5B"/>
    <w:rsid w:val="00AB10CE"/>
    <w:rsid w:val="00AB2017"/>
    <w:rsid w:val="00AB2AD8"/>
    <w:rsid w:val="00AB34E3"/>
    <w:rsid w:val="00AB3778"/>
    <w:rsid w:val="00AB39A3"/>
    <w:rsid w:val="00AB444C"/>
    <w:rsid w:val="00AB5AD4"/>
    <w:rsid w:val="00AB5BCE"/>
    <w:rsid w:val="00AB5D0F"/>
    <w:rsid w:val="00AB67D5"/>
    <w:rsid w:val="00AB70F1"/>
    <w:rsid w:val="00AB7452"/>
    <w:rsid w:val="00AC1083"/>
    <w:rsid w:val="00AC1519"/>
    <w:rsid w:val="00AC21EA"/>
    <w:rsid w:val="00AC37AD"/>
    <w:rsid w:val="00AC3AEB"/>
    <w:rsid w:val="00AC3E14"/>
    <w:rsid w:val="00AC4E58"/>
    <w:rsid w:val="00AC4E92"/>
    <w:rsid w:val="00AC6733"/>
    <w:rsid w:val="00AC6761"/>
    <w:rsid w:val="00AC6E72"/>
    <w:rsid w:val="00AC7C33"/>
    <w:rsid w:val="00AD06E9"/>
    <w:rsid w:val="00AD09A2"/>
    <w:rsid w:val="00AD1147"/>
    <w:rsid w:val="00AD30C3"/>
    <w:rsid w:val="00AD3608"/>
    <w:rsid w:val="00AD377C"/>
    <w:rsid w:val="00AD3D04"/>
    <w:rsid w:val="00AD4602"/>
    <w:rsid w:val="00AD46D1"/>
    <w:rsid w:val="00AD4F6D"/>
    <w:rsid w:val="00AD604E"/>
    <w:rsid w:val="00AD6589"/>
    <w:rsid w:val="00AD6720"/>
    <w:rsid w:val="00AD6C69"/>
    <w:rsid w:val="00AD6EBE"/>
    <w:rsid w:val="00AD7D21"/>
    <w:rsid w:val="00AD7F48"/>
    <w:rsid w:val="00AD7F4A"/>
    <w:rsid w:val="00AE062A"/>
    <w:rsid w:val="00AE1585"/>
    <w:rsid w:val="00AE1794"/>
    <w:rsid w:val="00AE18E6"/>
    <w:rsid w:val="00AE1F6F"/>
    <w:rsid w:val="00AE23FF"/>
    <w:rsid w:val="00AE2981"/>
    <w:rsid w:val="00AE32E0"/>
    <w:rsid w:val="00AE3FAD"/>
    <w:rsid w:val="00AE452C"/>
    <w:rsid w:val="00AE4A4C"/>
    <w:rsid w:val="00AE52F5"/>
    <w:rsid w:val="00AE57A7"/>
    <w:rsid w:val="00AE6B06"/>
    <w:rsid w:val="00AE7368"/>
    <w:rsid w:val="00AE7AC5"/>
    <w:rsid w:val="00AF06BC"/>
    <w:rsid w:val="00AF0B3E"/>
    <w:rsid w:val="00AF1DC1"/>
    <w:rsid w:val="00AF2351"/>
    <w:rsid w:val="00AF29BE"/>
    <w:rsid w:val="00AF2BA4"/>
    <w:rsid w:val="00AF31E9"/>
    <w:rsid w:val="00AF33B2"/>
    <w:rsid w:val="00AF34C4"/>
    <w:rsid w:val="00AF39C9"/>
    <w:rsid w:val="00AF4476"/>
    <w:rsid w:val="00AF49A9"/>
    <w:rsid w:val="00AF52F0"/>
    <w:rsid w:val="00AF5E3B"/>
    <w:rsid w:val="00AF600A"/>
    <w:rsid w:val="00AF6FFB"/>
    <w:rsid w:val="00AF74F6"/>
    <w:rsid w:val="00AF768D"/>
    <w:rsid w:val="00AF797F"/>
    <w:rsid w:val="00AF7986"/>
    <w:rsid w:val="00AF7C80"/>
    <w:rsid w:val="00AF7E8B"/>
    <w:rsid w:val="00B000CC"/>
    <w:rsid w:val="00B00326"/>
    <w:rsid w:val="00B00AD1"/>
    <w:rsid w:val="00B01CB1"/>
    <w:rsid w:val="00B0210D"/>
    <w:rsid w:val="00B02406"/>
    <w:rsid w:val="00B02566"/>
    <w:rsid w:val="00B038C6"/>
    <w:rsid w:val="00B03ACA"/>
    <w:rsid w:val="00B041BF"/>
    <w:rsid w:val="00B0479E"/>
    <w:rsid w:val="00B048B4"/>
    <w:rsid w:val="00B04F3E"/>
    <w:rsid w:val="00B05787"/>
    <w:rsid w:val="00B06142"/>
    <w:rsid w:val="00B06532"/>
    <w:rsid w:val="00B07523"/>
    <w:rsid w:val="00B07668"/>
    <w:rsid w:val="00B0778E"/>
    <w:rsid w:val="00B10328"/>
    <w:rsid w:val="00B1173B"/>
    <w:rsid w:val="00B11CFF"/>
    <w:rsid w:val="00B11DCB"/>
    <w:rsid w:val="00B1320F"/>
    <w:rsid w:val="00B144D1"/>
    <w:rsid w:val="00B14CC2"/>
    <w:rsid w:val="00B14D6B"/>
    <w:rsid w:val="00B15308"/>
    <w:rsid w:val="00B15390"/>
    <w:rsid w:val="00B15D70"/>
    <w:rsid w:val="00B16DCB"/>
    <w:rsid w:val="00B17BD1"/>
    <w:rsid w:val="00B17DC8"/>
    <w:rsid w:val="00B204D1"/>
    <w:rsid w:val="00B20AF5"/>
    <w:rsid w:val="00B21605"/>
    <w:rsid w:val="00B21A59"/>
    <w:rsid w:val="00B2216F"/>
    <w:rsid w:val="00B23E3D"/>
    <w:rsid w:val="00B24111"/>
    <w:rsid w:val="00B242AE"/>
    <w:rsid w:val="00B24934"/>
    <w:rsid w:val="00B24AD9"/>
    <w:rsid w:val="00B24F38"/>
    <w:rsid w:val="00B24F42"/>
    <w:rsid w:val="00B251F9"/>
    <w:rsid w:val="00B26769"/>
    <w:rsid w:val="00B2758B"/>
    <w:rsid w:val="00B27D3F"/>
    <w:rsid w:val="00B313C5"/>
    <w:rsid w:val="00B32656"/>
    <w:rsid w:val="00B327B8"/>
    <w:rsid w:val="00B3317E"/>
    <w:rsid w:val="00B33921"/>
    <w:rsid w:val="00B3425A"/>
    <w:rsid w:val="00B34C1B"/>
    <w:rsid w:val="00B35954"/>
    <w:rsid w:val="00B35AE9"/>
    <w:rsid w:val="00B362D2"/>
    <w:rsid w:val="00B373D4"/>
    <w:rsid w:val="00B37B72"/>
    <w:rsid w:val="00B37B76"/>
    <w:rsid w:val="00B4057A"/>
    <w:rsid w:val="00B40726"/>
    <w:rsid w:val="00B41241"/>
    <w:rsid w:val="00B41500"/>
    <w:rsid w:val="00B41B46"/>
    <w:rsid w:val="00B420C4"/>
    <w:rsid w:val="00B428ED"/>
    <w:rsid w:val="00B42C21"/>
    <w:rsid w:val="00B42DBC"/>
    <w:rsid w:val="00B43326"/>
    <w:rsid w:val="00B439FF"/>
    <w:rsid w:val="00B445C6"/>
    <w:rsid w:val="00B45072"/>
    <w:rsid w:val="00B45199"/>
    <w:rsid w:val="00B4605C"/>
    <w:rsid w:val="00B46159"/>
    <w:rsid w:val="00B461B4"/>
    <w:rsid w:val="00B4656D"/>
    <w:rsid w:val="00B46B76"/>
    <w:rsid w:val="00B46C93"/>
    <w:rsid w:val="00B47A4A"/>
    <w:rsid w:val="00B50061"/>
    <w:rsid w:val="00B5022A"/>
    <w:rsid w:val="00B50403"/>
    <w:rsid w:val="00B50578"/>
    <w:rsid w:val="00B50D08"/>
    <w:rsid w:val="00B518FD"/>
    <w:rsid w:val="00B51F48"/>
    <w:rsid w:val="00B52816"/>
    <w:rsid w:val="00B5315B"/>
    <w:rsid w:val="00B5355D"/>
    <w:rsid w:val="00B53773"/>
    <w:rsid w:val="00B53FE5"/>
    <w:rsid w:val="00B54770"/>
    <w:rsid w:val="00B54E87"/>
    <w:rsid w:val="00B5515A"/>
    <w:rsid w:val="00B5544B"/>
    <w:rsid w:val="00B55A0F"/>
    <w:rsid w:val="00B55D4D"/>
    <w:rsid w:val="00B55E81"/>
    <w:rsid w:val="00B55ECF"/>
    <w:rsid w:val="00B5619A"/>
    <w:rsid w:val="00B5619C"/>
    <w:rsid w:val="00B563FA"/>
    <w:rsid w:val="00B56FFF"/>
    <w:rsid w:val="00B57720"/>
    <w:rsid w:val="00B60E09"/>
    <w:rsid w:val="00B61D76"/>
    <w:rsid w:val="00B6273A"/>
    <w:rsid w:val="00B62A43"/>
    <w:rsid w:val="00B62E28"/>
    <w:rsid w:val="00B63876"/>
    <w:rsid w:val="00B6489C"/>
    <w:rsid w:val="00B660E6"/>
    <w:rsid w:val="00B66194"/>
    <w:rsid w:val="00B665C0"/>
    <w:rsid w:val="00B66AE9"/>
    <w:rsid w:val="00B66BD9"/>
    <w:rsid w:val="00B672DD"/>
    <w:rsid w:val="00B67312"/>
    <w:rsid w:val="00B673A3"/>
    <w:rsid w:val="00B67509"/>
    <w:rsid w:val="00B678F4"/>
    <w:rsid w:val="00B67AB4"/>
    <w:rsid w:val="00B67C55"/>
    <w:rsid w:val="00B70361"/>
    <w:rsid w:val="00B70D5F"/>
    <w:rsid w:val="00B70EE7"/>
    <w:rsid w:val="00B7127C"/>
    <w:rsid w:val="00B71A29"/>
    <w:rsid w:val="00B71B4E"/>
    <w:rsid w:val="00B71D04"/>
    <w:rsid w:val="00B735CD"/>
    <w:rsid w:val="00B73F1F"/>
    <w:rsid w:val="00B742A7"/>
    <w:rsid w:val="00B7465D"/>
    <w:rsid w:val="00B74673"/>
    <w:rsid w:val="00B74705"/>
    <w:rsid w:val="00B751B8"/>
    <w:rsid w:val="00B75EAE"/>
    <w:rsid w:val="00B7620E"/>
    <w:rsid w:val="00B764E2"/>
    <w:rsid w:val="00B7742A"/>
    <w:rsid w:val="00B77A09"/>
    <w:rsid w:val="00B77D74"/>
    <w:rsid w:val="00B80054"/>
    <w:rsid w:val="00B8175B"/>
    <w:rsid w:val="00B82501"/>
    <w:rsid w:val="00B825B4"/>
    <w:rsid w:val="00B82E17"/>
    <w:rsid w:val="00B82E6B"/>
    <w:rsid w:val="00B830E0"/>
    <w:rsid w:val="00B848C7"/>
    <w:rsid w:val="00B85BEE"/>
    <w:rsid w:val="00B86821"/>
    <w:rsid w:val="00B86D22"/>
    <w:rsid w:val="00B8760E"/>
    <w:rsid w:val="00B87A73"/>
    <w:rsid w:val="00B90D2C"/>
    <w:rsid w:val="00B91A8D"/>
    <w:rsid w:val="00B91D35"/>
    <w:rsid w:val="00B93370"/>
    <w:rsid w:val="00B9395C"/>
    <w:rsid w:val="00B942A1"/>
    <w:rsid w:val="00B94DFA"/>
    <w:rsid w:val="00B95D49"/>
    <w:rsid w:val="00B96062"/>
    <w:rsid w:val="00B977B8"/>
    <w:rsid w:val="00B977F2"/>
    <w:rsid w:val="00B979CD"/>
    <w:rsid w:val="00BA1634"/>
    <w:rsid w:val="00BA2069"/>
    <w:rsid w:val="00BA3EB7"/>
    <w:rsid w:val="00BA4606"/>
    <w:rsid w:val="00BA4B1A"/>
    <w:rsid w:val="00BA4C7B"/>
    <w:rsid w:val="00BA4CC0"/>
    <w:rsid w:val="00BA543B"/>
    <w:rsid w:val="00BA5E5F"/>
    <w:rsid w:val="00BA6598"/>
    <w:rsid w:val="00BA66EA"/>
    <w:rsid w:val="00BA6ACB"/>
    <w:rsid w:val="00BA7857"/>
    <w:rsid w:val="00BA7965"/>
    <w:rsid w:val="00BB0428"/>
    <w:rsid w:val="00BB06D2"/>
    <w:rsid w:val="00BB2F4E"/>
    <w:rsid w:val="00BB3181"/>
    <w:rsid w:val="00BB4B09"/>
    <w:rsid w:val="00BB6267"/>
    <w:rsid w:val="00BC19CE"/>
    <w:rsid w:val="00BC20F6"/>
    <w:rsid w:val="00BC26F0"/>
    <w:rsid w:val="00BC2C33"/>
    <w:rsid w:val="00BC2E42"/>
    <w:rsid w:val="00BC2FAC"/>
    <w:rsid w:val="00BC3042"/>
    <w:rsid w:val="00BC307E"/>
    <w:rsid w:val="00BC3173"/>
    <w:rsid w:val="00BC4F6D"/>
    <w:rsid w:val="00BC6FC8"/>
    <w:rsid w:val="00BC784C"/>
    <w:rsid w:val="00BD0170"/>
    <w:rsid w:val="00BD08C8"/>
    <w:rsid w:val="00BD1209"/>
    <w:rsid w:val="00BD15F6"/>
    <w:rsid w:val="00BD17EB"/>
    <w:rsid w:val="00BD20B0"/>
    <w:rsid w:val="00BD4394"/>
    <w:rsid w:val="00BD5438"/>
    <w:rsid w:val="00BD54FF"/>
    <w:rsid w:val="00BD61BB"/>
    <w:rsid w:val="00BD65A2"/>
    <w:rsid w:val="00BD7108"/>
    <w:rsid w:val="00BD7E6F"/>
    <w:rsid w:val="00BE01FF"/>
    <w:rsid w:val="00BE0472"/>
    <w:rsid w:val="00BE0AB3"/>
    <w:rsid w:val="00BE0DA3"/>
    <w:rsid w:val="00BE1982"/>
    <w:rsid w:val="00BE1D00"/>
    <w:rsid w:val="00BE224C"/>
    <w:rsid w:val="00BE22F5"/>
    <w:rsid w:val="00BE2F3B"/>
    <w:rsid w:val="00BE3085"/>
    <w:rsid w:val="00BE345C"/>
    <w:rsid w:val="00BE3846"/>
    <w:rsid w:val="00BE3D1C"/>
    <w:rsid w:val="00BE3D4D"/>
    <w:rsid w:val="00BE4409"/>
    <w:rsid w:val="00BE473D"/>
    <w:rsid w:val="00BE5283"/>
    <w:rsid w:val="00BE5386"/>
    <w:rsid w:val="00BE5616"/>
    <w:rsid w:val="00BE6060"/>
    <w:rsid w:val="00BE635F"/>
    <w:rsid w:val="00BE651B"/>
    <w:rsid w:val="00BE7398"/>
    <w:rsid w:val="00BE7602"/>
    <w:rsid w:val="00BF2033"/>
    <w:rsid w:val="00BF245E"/>
    <w:rsid w:val="00BF2B46"/>
    <w:rsid w:val="00BF2BAF"/>
    <w:rsid w:val="00BF3125"/>
    <w:rsid w:val="00BF3510"/>
    <w:rsid w:val="00BF4069"/>
    <w:rsid w:val="00BF5B2A"/>
    <w:rsid w:val="00BF5EC2"/>
    <w:rsid w:val="00BF6593"/>
    <w:rsid w:val="00BF7020"/>
    <w:rsid w:val="00BF7CC0"/>
    <w:rsid w:val="00BF7DBB"/>
    <w:rsid w:val="00C008CC"/>
    <w:rsid w:val="00C012D5"/>
    <w:rsid w:val="00C0174D"/>
    <w:rsid w:val="00C01D31"/>
    <w:rsid w:val="00C0325D"/>
    <w:rsid w:val="00C0347C"/>
    <w:rsid w:val="00C03C5C"/>
    <w:rsid w:val="00C041EF"/>
    <w:rsid w:val="00C049C2"/>
    <w:rsid w:val="00C04E6D"/>
    <w:rsid w:val="00C04F03"/>
    <w:rsid w:val="00C05744"/>
    <w:rsid w:val="00C05BC3"/>
    <w:rsid w:val="00C06AAF"/>
    <w:rsid w:val="00C073AC"/>
    <w:rsid w:val="00C07445"/>
    <w:rsid w:val="00C075A0"/>
    <w:rsid w:val="00C075CD"/>
    <w:rsid w:val="00C07B27"/>
    <w:rsid w:val="00C10243"/>
    <w:rsid w:val="00C109AE"/>
    <w:rsid w:val="00C10A25"/>
    <w:rsid w:val="00C10EA3"/>
    <w:rsid w:val="00C11282"/>
    <w:rsid w:val="00C112AA"/>
    <w:rsid w:val="00C114EB"/>
    <w:rsid w:val="00C11A3D"/>
    <w:rsid w:val="00C127FA"/>
    <w:rsid w:val="00C12A9A"/>
    <w:rsid w:val="00C131F6"/>
    <w:rsid w:val="00C13446"/>
    <w:rsid w:val="00C13536"/>
    <w:rsid w:val="00C13731"/>
    <w:rsid w:val="00C14201"/>
    <w:rsid w:val="00C14459"/>
    <w:rsid w:val="00C1455F"/>
    <w:rsid w:val="00C14659"/>
    <w:rsid w:val="00C14682"/>
    <w:rsid w:val="00C14A64"/>
    <w:rsid w:val="00C14DEC"/>
    <w:rsid w:val="00C15220"/>
    <w:rsid w:val="00C15380"/>
    <w:rsid w:val="00C15417"/>
    <w:rsid w:val="00C154E5"/>
    <w:rsid w:val="00C15D08"/>
    <w:rsid w:val="00C15DF0"/>
    <w:rsid w:val="00C16336"/>
    <w:rsid w:val="00C16901"/>
    <w:rsid w:val="00C1749A"/>
    <w:rsid w:val="00C17DAF"/>
    <w:rsid w:val="00C17DE6"/>
    <w:rsid w:val="00C17F2F"/>
    <w:rsid w:val="00C17F5E"/>
    <w:rsid w:val="00C20953"/>
    <w:rsid w:val="00C20D6E"/>
    <w:rsid w:val="00C21638"/>
    <w:rsid w:val="00C21AC5"/>
    <w:rsid w:val="00C22270"/>
    <w:rsid w:val="00C229EB"/>
    <w:rsid w:val="00C22ABD"/>
    <w:rsid w:val="00C230E1"/>
    <w:rsid w:val="00C232E4"/>
    <w:rsid w:val="00C23E1A"/>
    <w:rsid w:val="00C24021"/>
    <w:rsid w:val="00C24EF4"/>
    <w:rsid w:val="00C252C2"/>
    <w:rsid w:val="00C25371"/>
    <w:rsid w:val="00C25768"/>
    <w:rsid w:val="00C2605D"/>
    <w:rsid w:val="00C2673E"/>
    <w:rsid w:val="00C2696C"/>
    <w:rsid w:val="00C26DAC"/>
    <w:rsid w:val="00C26EF1"/>
    <w:rsid w:val="00C2706B"/>
    <w:rsid w:val="00C27179"/>
    <w:rsid w:val="00C275DD"/>
    <w:rsid w:val="00C279A2"/>
    <w:rsid w:val="00C304F5"/>
    <w:rsid w:val="00C3070C"/>
    <w:rsid w:val="00C307AB"/>
    <w:rsid w:val="00C30949"/>
    <w:rsid w:val="00C31347"/>
    <w:rsid w:val="00C3182E"/>
    <w:rsid w:val="00C31B00"/>
    <w:rsid w:val="00C32807"/>
    <w:rsid w:val="00C32A8D"/>
    <w:rsid w:val="00C32EA8"/>
    <w:rsid w:val="00C33072"/>
    <w:rsid w:val="00C3330F"/>
    <w:rsid w:val="00C3397E"/>
    <w:rsid w:val="00C33A75"/>
    <w:rsid w:val="00C33C63"/>
    <w:rsid w:val="00C33E91"/>
    <w:rsid w:val="00C34C07"/>
    <w:rsid w:val="00C3517F"/>
    <w:rsid w:val="00C35E38"/>
    <w:rsid w:val="00C36379"/>
    <w:rsid w:val="00C365C6"/>
    <w:rsid w:val="00C36FB7"/>
    <w:rsid w:val="00C37880"/>
    <w:rsid w:val="00C37B67"/>
    <w:rsid w:val="00C37BA9"/>
    <w:rsid w:val="00C37CA6"/>
    <w:rsid w:val="00C407AF"/>
    <w:rsid w:val="00C41016"/>
    <w:rsid w:val="00C41087"/>
    <w:rsid w:val="00C4128C"/>
    <w:rsid w:val="00C4148E"/>
    <w:rsid w:val="00C416CD"/>
    <w:rsid w:val="00C4291F"/>
    <w:rsid w:val="00C435D6"/>
    <w:rsid w:val="00C43940"/>
    <w:rsid w:val="00C443B0"/>
    <w:rsid w:val="00C445CD"/>
    <w:rsid w:val="00C44FCC"/>
    <w:rsid w:val="00C453FC"/>
    <w:rsid w:val="00C456AD"/>
    <w:rsid w:val="00C4661C"/>
    <w:rsid w:val="00C46A5A"/>
    <w:rsid w:val="00C46E3A"/>
    <w:rsid w:val="00C47146"/>
    <w:rsid w:val="00C471C9"/>
    <w:rsid w:val="00C47406"/>
    <w:rsid w:val="00C47CCB"/>
    <w:rsid w:val="00C50545"/>
    <w:rsid w:val="00C50BF3"/>
    <w:rsid w:val="00C50CFE"/>
    <w:rsid w:val="00C521A8"/>
    <w:rsid w:val="00C52417"/>
    <w:rsid w:val="00C52735"/>
    <w:rsid w:val="00C52F17"/>
    <w:rsid w:val="00C534B1"/>
    <w:rsid w:val="00C534D5"/>
    <w:rsid w:val="00C53550"/>
    <w:rsid w:val="00C53B2E"/>
    <w:rsid w:val="00C55659"/>
    <w:rsid w:val="00C5565F"/>
    <w:rsid w:val="00C57260"/>
    <w:rsid w:val="00C572A9"/>
    <w:rsid w:val="00C578B0"/>
    <w:rsid w:val="00C6134A"/>
    <w:rsid w:val="00C61391"/>
    <w:rsid w:val="00C615DA"/>
    <w:rsid w:val="00C616B6"/>
    <w:rsid w:val="00C61E40"/>
    <w:rsid w:val="00C62DEF"/>
    <w:rsid w:val="00C63001"/>
    <w:rsid w:val="00C63176"/>
    <w:rsid w:val="00C64B9D"/>
    <w:rsid w:val="00C64C22"/>
    <w:rsid w:val="00C6590A"/>
    <w:rsid w:val="00C66000"/>
    <w:rsid w:val="00C660B4"/>
    <w:rsid w:val="00C667A9"/>
    <w:rsid w:val="00C667FA"/>
    <w:rsid w:val="00C66889"/>
    <w:rsid w:val="00C66F4C"/>
    <w:rsid w:val="00C703B4"/>
    <w:rsid w:val="00C705BA"/>
    <w:rsid w:val="00C70A48"/>
    <w:rsid w:val="00C71869"/>
    <w:rsid w:val="00C71A94"/>
    <w:rsid w:val="00C7208F"/>
    <w:rsid w:val="00C731F2"/>
    <w:rsid w:val="00C732C1"/>
    <w:rsid w:val="00C732C5"/>
    <w:rsid w:val="00C73E1C"/>
    <w:rsid w:val="00C73E7F"/>
    <w:rsid w:val="00C7460B"/>
    <w:rsid w:val="00C750FE"/>
    <w:rsid w:val="00C75532"/>
    <w:rsid w:val="00C76A29"/>
    <w:rsid w:val="00C76DFE"/>
    <w:rsid w:val="00C77215"/>
    <w:rsid w:val="00C8019E"/>
    <w:rsid w:val="00C8104C"/>
    <w:rsid w:val="00C818A1"/>
    <w:rsid w:val="00C81D07"/>
    <w:rsid w:val="00C82007"/>
    <w:rsid w:val="00C82118"/>
    <w:rsid w:val="00C82439"/>
    <w:rsid w:val="00C82B65"/>
    <w:rsid w:val="00C82D8D"/>
    <w:rsid w:val="00C83F6B"/>
    <w:rsid w:val="00C84B7C"/>
    <w:rsid w:val="00C85F24"/>
    <w:rsid w:val="00C85F6F"/>
    <w:rsid w:val="00C87D84"/>
    <w:rsid w:val="00C9008C"/>
    <w:rsid w:val="00C900CB"/>
    <w:rsid w:val="00C901AB"/>
    <w:rsid w:val="00C9042C"/>
    <w:rsid w:val="00C92383"/>
    <w:rsid w:val="00C931C1"/>
    <w:rsid w:val="00C93B93"/>
    <w:rsid w:val="00C950EE"/>
    <w:rsid w:val="00C9538C"/>
    <w:rsid w:val="00C9549A"/>
    <w:rsid w:val="00CA01CD"/>
    <w:rsid w:val="00CA01FA"/>
    <w:rsid w:val="00CA1DCB"/>
    <w:rsid w:val="00CA1EAA"/>
    <w:rsid w:val="00CA1F6E"/>
    <w:rsid w:val="00CA2466"/>
    <w:rsid w:val="00CA25D4"/>
    <w:rsid w:val="00CA27A3"/>
    <w:rsid w:val="00CA28CC"/>
    <w:rsid w:val="00CA2D8C"/>
    <w:rsid w:val="00CA2F2E"/>
    <w:rsid w:val="00CA343D"/>
    <w:rsid w:val="00CA347F"/>
    <w:rsid w:val="00CA3698"/>
    <w:rsid w:val="00CA4D3A"/>
    <w:rsid w:val="00CA505D"/>
    <w:rsid w:val="00CA5B9D"/>
    <w:rsid w:val="00CA6486"/>
    <w:rsid w:val="00CA6E16"/>
    <w:rsid w:val="00CA722A"/>
    <w:rsid w:val="00CA784F"/>
    <w:rsid w:val="00CB038A"/>
    <w:rsid w:val="00CB07EE"/>
    <w:rsid w:val="00CB12DD"/>
    <w:rsid w:val="00CB1331"/>
    <w:rsid w:val="00CB1424"/>
    <w:rsid w:val="00CB1435"/>
    <w:rsid w:val="00CB1AAE"/>
    <w:rsid w:val="00CB2476"/>
    <w:rsid w:val="00CB2AD2"/>
    <w:rsid w:val="00CB3153"/>
    <w:rsid w:val="00CB3FF3"/>
    <w:rsid w:val="00CB4447"/>
    <w:rsid w:val="00CB6108"/>
    <w:rsid w:val="00CB63CE"/>
    <w:rsid w:val="00CB6D4A"/>
    <w:rsid w:val="00CB6EEF"/>
    <w:rsid w:val="00CB7500"/>
    <w:rsid w:val="00CC0523"/>
    <w:rsid w:val="00CC1779"/>
    <w:rsid w:val="00CC1A3E"/>
    <w:rsid w:val="00CC1D53"/>
    <w:rsid w:val="00CC1D5C"/>
    <w:rsid w:val="00CC1E5B"/>
    <w:rsid w:val="00CC265E"/>
    <w:rsid w:val="00CC3A9C"/>
    <w:rsid w:val="00CC56ED"/>
    <w:rsid w:val="00CC58D4"/>
    <w:rsid w:val="00CC59BF"/>
    <w:rsid w:val="00CC6536"/>
    <w:rsid w:val="00CC6828"/>
    <w:rsid w:val="00CC68FE"/>
    <w:rsid w:val="00CC6FD7"/>
    <w:rsid w:val="00CD091D"/>
    <w:rsid w:val="00CD274D"/>
    <w:rsid w:val="00CD2887"/>
    <w:rsid w:val="00CD2B1D"/>
    <w:rsid w:val="00CD2F55"/>
    <w:rsid w:val="00CD37F3"/>
    <w:rsid w:val="00CD430A"/>
    <w:rsid w:val="00CD560E"/>
    <w:rsid w:val="00CD63B4"/>
    <w:rsid w:val="00CD663B"/>
    <w:rsid w:val="00CD672B"/>
    <w:rsid w:val="00CD6782"/>
    <w:rsid w:val="00CD761D"/>
    <w:rsid w:val="00CE047E"/>
    <w:rsid w:val="00CE229A"/>
    <w:rsid w:val="00CE23CD"/>
    <w:rsid w:val="00CE243E"/>
    <w:rsid w:val="00CE26AF"/>
    <w:rsid w:val="00CE2B8F"/>
    <w:rsid w:val="00CE3789"/>
    <w:rsid w:val="00CE451D"/>
    <w:rsid w:val="00CE4B1A"/>
    <w:rsid w:val="00CE5338"/>
    <w:rsid w:val="00CE5D8A"/>
    <w:rsid w:val="00CE675C"/>
    <w:rsid w:val="00CE7F72"/>
    <w:rsid w:val="00CE7FC9"/>
    <w:rsid w:val="00CF02F1"/>
    <w:rsid w:val="00CF046A"/>
    <w:rsid w:val="00CF0AFB"/>
    <w:rsid w:val="00CF0FDE"/>
    <w:rsid w:val="00CF1973"/>
    <w:rsid w:val="00CF298C"/>
    <w:rsid w:val="00CF2D6B"/>
    <w:rsid w:val="00CF2E58"/>
    <w:rsid w:val="00CF34A6"/>
    <w:rsid w:val="00CF3AAC"/>
    <w:rsid w:val="00CF40CB"/>
    <w:rsid w:val="00CF4747"/>
    <w:rsid w:val="00CF5026"/>
    <w:rsid w:val="00CF579C"/>
    <w:rsid w:val="00CF61AB"/>
    <w:rsid w:val="00CF61D0"/>
    <w:rsid w:val="00CF626B"/>
    <w:rsid w:val="00CF6331"/>
    <w:rsid w:val="00CF638F"/>
    <w:rsid w:val="00CF6ADD"/>
    <w:rsid w:val="00CF6F45"/>
    <w:rsid w:val="00CF7484"/>
    <w:rsid w:val="00D000D9"/>
    <w:rsid w:val="00D00F76"/>
    <w:rsid w:val="00D01940"/>
    <w:rsid w:val="00D02A61"/>
    <w:rsid w:val="00D02D96"/>
    <w:rsid w:val="00D03008"/>
    <w:rsid w:val="00D03530"/>
    <w:rsid w:val="00D03AB0"/>
    <w:rsid w:val="00D05E83"/>
    <w:rsid w:val="00D065E1"/>
    <w:rsid w:val="00D06D29"/>
    <w:rsid w:val="00D07B9E"/>
    <w:rsid w:val="00D07C35"/>
    <w:rsid w:val="00D108EF"/>
    <w:rsid w:val="00D1090E"/>
    <w:rsid w:val="00D10EDE"/>
    <w:rsid w:val="00D11134"/>
    <w:rsid w:val="00D11965"/>
    <w:rsid w:val="00D11E00"/>
    <w:rsid w:val="00D11FDA"/>
    <w:rsid w:val="00D12107"/>
    <w:rsid w:val="00D123FC"/>
    <w:rsid w:val="00D12B17"/>
    <w:rsid w:val="00D12F30"/>
    <w:rsid w:val="00D14B44"/>
    <w:rsid w:val="00D1506F"/>
    <w:rsid w:val="00D156F2"/>
    <w:rsid w:val="00D157DA"/>
    <w:rsid w:val="00D16085"/>
    <w:rsid w:val="00D16153"/>
    <w:rsid w:val="00D17076"/>
    <w:rsid w:val="00D170A2"/>
    <w:rsid w:val="00D171F2"/>
    <w:rsid w:val="00D17516"/>
    <w:rsid w:val="00D20288"/>
    <w:rsid w:val="00D2115B"/>
    <w:rsid w:val="00D21414"/>
    <w:rsid w:val="00D21602"/>
    <w:rsid w:val="00D21A94"/>
    <w:rsid w:val="00D22CE5"/>
    <w:rsid w:val="00D247F8"/>
    <w:rsid w:val="00D24FBA"/>
    <w:rsid w:val="00D25194"/>
    <w:rsid w:val="00D25DBB"/>
    <w:rsid w:val="00D261E4"/>
    <w:rsid w:val="00D26814"/>
    <w:rsid w:val="00D26AB1"/>
    <w:rsid w:val="00D26B37"/>
    <w:rsid w:val="00D26E68"/>
    <w:rsid w:val="00D273BB"/>
    <w:rsid w:val="00D2747A"/>
    <w:rsid w:val="00D27A83"/>
    <w:rsid w:val="00D27BF9"/>
    <w:rsid w:val="00D304D8"/>
    <w:rsid w:val="00D30D9C"/>
    <w:rsid w:val="00D312DC"/>
    <w:rsid w:val="00D31CAF"/>
    <w:rsid w:val="00D3220C"/>
    <w:rsid w:val="00D3276A"/>
    <w:rsid w:val="00D329CF"/>
    <w:rsid w:val="00D33246"/>
    <w:rsid w:val="00D33F44"/>
    <w:rsid w:val="00D34DC8"/>
    <w:rsid w:val="00D34E99"/>
    <w:rsid w:val="00D3506C"/>
    <w:rsid w:val="00D35468"/>
    <w:rsid w:val="00D35754"/>
    <w:rsid w:val="00D359D8"/>
    <w:rsid w:val="00D35DD5"/>
    <w:rsid w:val="00D36503"/>
    <w:rsid w:val="00D37A3D"/>
    <w:rsid w:val="00D37C69"/>
    <w:rsid w:val="00D401EC"/>
    <w:rsid w:val="00D40AB9"/>
    <w:rsid w:val="00D41019"/>
    <w:rsid w:val="00D41049"/>
    <w:rsid w:val="00D41A97"/>
    <w:rsid w:val="00D4250E"/>
    <w:rsid w:val="00D44289"/>
    <w:rsid w:val="00D444B4"/>
    <w:rsid w:val="00D44603"/>
    <w:rsid w:val="00D44B08"/>
    <w:rsid w:val="00D45384"/>
    <w:rsid w:val="00D45DC9"/>
    <w:rsid w:val="00D45EA2"/>
    <w:rsid w:val="00D5030F"/>
    <w:rsid w:val="00D50B8C"/>
    <w:rsid w:val="00D51D47"/>
    <w:rsid w:val="00D51FF8"/>
    <w:rsid w:val="00D5287F"/>
    <w:rsid w:val="00D52BB6"/>
    <w:rsid w:val="00D52DC6"/>
    <w:rsid w:val="00D53389"/>
    <w:rsid w:val="00D556EC"/>
    <w:rsid w:val="00D55986"/>
    <w:rsid w:val="00D559B7"/>
    <w:rsid w:val="00D55B0B"/>
    <w:rsid w:val="00D55EB6"/>
    <w:rsid w:val="00D56124"/>
    <w:rsid w:val="00D56371"/>
    <w:rsid w:val="00D564DF"/>
    <w:rsid w:val="00D56B77"/>
    <w:rsid w:val="00D57065"/>
    <w:rsid w:val="00D57BEB"/>
    <w:rsid w:val="00D6047E"/>
    <w:rsid w:val="00D6098B"/>
    <w:rsid w:val="00D60E35"/>
    <w:rsid w:val="00D60F35"/>
    <w:rsid w:val="00D61638"/>
    <w:rsid w:val="00D61F83"/>
    <w:rsid w:val="00D63124"/>
    <w:rsid w:val="00D63831"/>
    <w:rsid w:val="00D63A7E"/>
    <w:rsid w:val="00D63B90"/>
    <w:rsid w:val="00D6447C"/>
    <w:rsid w:val="00D653AE"/>
    <w:rsid w:val="00D65481"/>
    <w:rsid w:val="00D65AD7"/>
    <w:rsid w:val="00D661D1"/>
    <w:rsid w:val="00D66E7C"/>
    <w:rsid w:val="00D72AA2"/>
    <w:rsid w:val="00D741A1"/>
    <w:rsid w:val="00D74361"/>
    <w:rsid w:val="00D7684B"/>
    <w:rsid w:val="00D76CE4"/>
    <w:rsid w:val="00D77E0B"/>
    <w:rsid w:val="00D803EE"/>
    <w:rsid w:val="00D80799"/>
    <w:rsid w:val="00D80958"/>
    <w:rsid w:val="00D80FFD"/>
    <w:rsid w:val="00D828FA"/>
    <w:rsid w:val="00D82F2F"/>
    <w:rsid w:val="00D83640"/>
    <w:rsid w:val="00D8397C"/>
    <w:rsid w:val="00D83B7D"/>
    <w:rsid w:val="00D8407B"/>
    <w:rsid w:val="00D84B37"/>
    <w:rsid w:val="00D8569E"/>
    <w:rsid w:val="00D85D2E"/>
    <w:rsid w:val="00D86974"/>
    <w:rsid w:val="00D86A36"/>
    <w:rsid w:val="00D86A9C"/>
    <w:rsid w:val="00D86C8E"/>
    <w:rsid w:val="00D86E96"/>
    <w:rsid w:val="00D86F58"/>
    <w:rsid w:val="00D87578"/>
    <w:rsid w:val="00D875D8"/>
    <w:rsid w:val="00D8761D"/>
    <w:rsid w:val="00D901C7"/>
    <w:rsid w:val="00D909B9"/>
    <w:rsid w:val="00D9202C"/>
    <w:rsid w:val="00D92140"/>
    <w:rsid w:val="00D92563"/>
    <w:rsid w:val="00D9278F"/>
    <w:rsid w:val="00D95242"/>
    <w:rsid w:val="00D9533B"/>
    <w:rsid w:val="00D953B2"/>
    <w:rsid w:val="00D95933"/>
    <w:rsid w:val="00D95EA8"/>
    <w:rsid w:val="00D9649B"/>
    <w:rsid w:val="00D96C5C"/>
    <w:rsid w:val="00D97047"/>
    <w:rsid w:val="00D975BA"/>
    <w:rsid w:val="00D97DCC"/>
    <w:rsid w:val="00D97F40"/>
    <w:rsid w:val="00DA0162"/>
    <w:rsid w:val="00DA0199"/>
    <w:rsid w:val="00DA03FB"/>
    <w:rsid w:val="00DA0612"/>
    <w:rsid w:val="00DA0A6D"/>
    <w:rsid w:val="00DA1E67"/>
    <w:rsid w:val="00DA2C9E"/>
    <w:rsid w:val="00DA2E66"/>
    <w:rsid w:val="00DA33C7"/>
    <w:rsid w:val="00DA36B5"/>
    <w:rsid w:val="00DA3A9A"/>
    <w:rsid w:val="00DA3CDD"/>
    <w:rsid w:val="00DA4174"/>
    <w:rsid w:val="00DA440A"/>
    <w:rsid w:val="00DA4678"/>
    <w:rsid w:val="00DA5D50"/>
    <w:rsid w:val="00DA5E4E"/>
    <w:rsid w:val="00DA6083"/>
    <w:rsid w:val="00DA67F7"/>
    <w:rsid w:val="00DA6AC6"/>
    <w:rsid w:val="00DA7AE7"/>
    <w:rsid w:val="00DA7BCE"/>
    <w:rsid w:val="00DA7D65"/>
    <w:rsid w:val="00DB144B"/>
    <w:rsid w:val="00DB1DC2"/>
    <w:rsid w:val="00DB1F58"/>
    <w:rsid w:val="00DB21A8"/>
    <w:rsid w:val="00DB22FD"/>
    <w:rsid w:val="00DB25CF"/>
    <w:rsid w:val="00DB404A"/>
    <w:rsid w:val="00DB41DD"/>
    <w:rsid w:val="00DB4871"/>
    <w:rsid w:val="00DB4B8D"/>
    <w:rsid w:val="00DB5003"/>
    <w:rsid w:val="00DB523B"/>
    <w:rsid w:val="00DB57E0"/>
    <w:rsid w:val="00DB5914"/>
    <w:rsid w:val="00DB60BA"/>
    <w:rsid w:val="00DB658F"/>
    <w:rsid w:val="00DB7BCA"/>
    <w:rsid w:val="00DC00C1"/>
    <w:rsid w:val="00DC0405"/>
    <w:rsid w:val="00DC0C0D"/>
    <w:rsid w:val="00DC1577"/>
    <w:rsid w:val="00DC1D1A"/>
    <w:rsid w:val="00DC22EE"/>
    <w:rsid w:val="00DC2679"/>
    <w:rsid w:val="00DC3AD2"/>
    <w:rsid w:val="00DC46F7"/>
    <w:rsid w:val="00DC569E"/>
    <w:rsid w:val="00DC694C"/>
    <w:rsid w:val="00DC72A0"/>
    <w:rsid w:val="00DC7EA4"/>
    <w:rsid w:val="00DD01F5"/>
    <w:rsid w:val="00DD0A64"/>
    <w:rsid w:val="00DD0BB6"/>
    <w:rsid w:val="00DD12FC"/>
    <w:rsid w:val="00DD1562"/>
    <w:rsid w:val="00DD18DD"/>
    <w:rsid w:val="00DD1C92"/>
    <w:rsid w:val="00DD1CB0"/>
    <w:rsid w:val="00DD1FFC"/>
    <w:rsid w:val="00DD20F4"/>
    <w:rsid w:val="00DD236D"/>
    <w:rsid w:val="00DD3A65"/>
    <w:rsid w:val="00DD3DFB"/>
    <w:rsid w:val="00DD425E"/>
    <w:rsid w:val="00DD5092"/>
    <w:rsid w:val="00DD551B"/>
    <w:rsid w:val="00DD67BC"/>
    <w:rsid w:val="00DD687E"/>
    <w:rsid w:val="00DD7321"/>
    <w:rsid w:val="00DD7C0A"/>
    <w:rsid w:val="00DE05B5"/>
    <w:rsid w:val="00DE06E8"/>
    <w:rsid w:val="00DE06FA"/>
    <w:rsid w:val="00DE1078"/>
    <w:rsid w:val="00DE1457"/>
    <w:rsid w:val="00DE1E56"/>
    <w:rsid w:val="00DE1FBE"/>
    <w:rsid w:val="00DE28B0"/>
    <w:rsid w:val="00DE31A1"/>
    <w:rsid w:val="00DE3AC3"/>
    <w:rsid w:val="00DE4060"/>
    <w:rsid w:val="00DE40B6"/>
    <w:rsid w:val="00DE52E8"/>
    <w:rsid w:val="00DE682E"/>
    <w:rsid w:val="00DE79CF"/>
    <w:rsid w:val="00DE7A45"/>
    <w:rsid w:val="00DE7C93"/>
    <w:rsid w:val="00DE7D95"/>
    <w:rsid w:val="00DF0B68"/>
    <w:rsid w:val="00DF0F88"/>
    <w:rsid w:val="00DF12D3"/>
    <w:rsid w:val="00DF1316"/>
    <w:rsid w:val="00DF1FB1"/>
    <w:rsid w:val="00DF3515"/>
    <w:rsid w:val="00DF3F56"/>
    <w:rsid w:val="00DF6C47"/>
    <w:rsid w:val="00DF6CA2"/>
    <w:rsid w:val="00DF7032"/>
    <w:rsid w:val="00DF7A7A"/>
    <w:rsid w:val="00E00B2F"/>
    <w:rsid w:val="00E01021"/>
    <w:rsid w:val="00E01397"/>
    <w:rsid w:val="00E01896"/>
    <w:rsid w:val="00E019B4"/>
    <w:rsid w:val="00E02112"/>
    <w:rsid w:val="00E02377"/>
    <w:rsid w:val="00E02B1D"/>
    <w:rsid w:val="00E02B5B"/>
    <w:rsid w:val="00E03099"/>
    <w:rsid w:val="00E03ED8"/>
    <w:rsid w:val="00E04C1D"/>
    <w:rsid w:val="00E0609E"/>
    <w:rsid w:val="00E07301"/>
    <w:rsid w:val="00E101B7"/>
    <w:rsid w:val="00E11230"/>
    <w:rsid w:val="00E118C3"/>
    <w:rsid w:val="00E121FD"/>
    <w:rsid w:val="00E12698"/>
    <w:rsid w:val="00E13CFD"/>
    <w:rsid w:val="00E13DBE"/>
    <w:rsid w:val="00E15239"/>
    <w:rsid w:val="00E155AB"/>
    <w:rsid w:val="00E1630A"/>
    <w:rsid w:val="00E1641F"/>
    <w:rsid w:val="00E16C9D"/>
    <w:rsid w:val="00E16CD5"/>
    <w:rsid w:val="00E17DD0"/>
    <w:rsid w:val="00E2044C"/>
    <w:rsid w:val="00E20AE2"/>
    <w:rsid w:val="00E22B4A"/>
    <w:rsid w:val="00E22DAD"/>
    <w:rsid w:val="00E230FC"/>
    <w:rsid w:val="00E23406"/>
    <w:rsid w:val="00E2387A"/>
    <w:rsid w:val="00E24AF5"/>
    <w:rsid w:val="00E24E62"/>
    <w:rsid w:val="00E24F50"/>
    <w:rsid w:val="00E262DC"/>
    <w:rsid w:val="00E26317"/>
    <w:rsid w:val="00E26789"/>
    <w:rsid w:val="00E2696E"/>
    <w:rsid w:val="00E26AD4"/>
    <w:rsid w:val="00E27157"/>
    <w:rsid w:val="00E27947"/>
    <w:rsid w:val="00E27A86"/>
    <w:rsid w:val="00E3137B"/>
    <w:rsid w:val="00E31FC6"/>
    <w:rsid w:val="00E32DE3"/>
    <w:rsid w:val="00E3322C"/>
    <w:rsid w:val="00E33445"/>
    <w:rsid w:val="00E340DA"/>
    <w:rsid w:val="00E34CEF"/>
    <w:rsid w:val="00E34FD2"/>
    <w:rsid w:val="00E351AA"/>
    <w:rsid w:val="00E3713E"/>
    <w:rsid w:val="00E377D7"/>
    <w:rsid w:val="00E37BD3"/>
    <w:rsid w:val="00E37E75"/>
    <w:rsid w:val="00E4058F"/>
    <w:rsid w:val="00E4072D"/>
    <w:rsid w:val="00E41072"/>
    <w:rsid w:val="00E419A1"/>
    <w:rsid w:val="00E41D13"/>
    <w:rsid w:val="00E42CE9"/>
    <w:rsid w:val="00E42F0A"/>
    <w:rsid w:val="00E441DB"/>
    <w:rsid w:val="00E4462F"/>
    <w:rsid w:val="00E44718"/>
    <w:rsid w:val="00E4482A"/>
    <w:rsid w:val="00E45241"/>
    <w:rsid w:val="00E45A6B"/>
    <w:rsid w:val="00E45AFF"/>
    <w:rsid w:val="00E45B7E"/>
    <w:rsid w:val="00E46046"/>
    <w:rsid w:val="00E46074"/>
    <w:rsid w:val="00E4746C"/>
    <w:rsid w:val="00E5015F"/>
    <w:rsid w:val="00E51360"/>
    <w:rsid w:val="00E5158D"/>
    <w:rsid w:val="00E51E49"/>
    <w:rsid w:val="00E52AD8"/>
    <w:rsid w:val="00E53041"/>
    <w:rsid w:val="00E53178"/>
    <w:rsid w:val="00E539C8"/>
    <w:rsid w:val="00E53CCB"/>
    <w:rsid w:val="00E54903"/>
    <w:rsid w:val="00E5494F"/>
    <w:rsid w:val="00E553AD"/>
    <w:rsid w:val="00E553EA"/>
    <w:rsid w:val="00E554F9"/>
    <w:rsid w:val="00E557D2"/>
    <w:rsid w:val="00E55FA4"/>
    <w:rsid w:val="00E568DA"/>
    <w:rsid w:val="00E5692A"/>
    <w:rsid w:val="00E56A67"/>
    <w:rsid w:val="00E576EC"/>
    <w:rsid w:val="00E57955"/>
    <w:rsid w:val="00E57B90"/>
    <w:rsid w:val="00E60991"/>
    <w:rsid w:val="00E60DBB"/>
    <w:rsid w:val="00E60F3A"/>
    <w:rsid w:val="00E61215"/>
    <w:rsid w:val="00E6167F"/>
    <w:rsid w:val="00E61FC4"/>
    <w:rsid w:val="00E629A0"/>
    <w:rsid w:val="00E634F0"/>
    <w:rsid w:val="00E6350C"/>
    <w:rsid w:val="00E646AC"/>
    <w:rsid w:val="00E647B6"/>
    <w:rsid w:val="00E64F81"/>
    <w:rsid w:val="00E64FDF"/>
    <w:rsid w:val="00E65C15"/>
    <w:rsid w:val="00E6611E"/>
    <w:rsid w:val="00E66967"/>
    <w:rsid w:val="00E66C11"/>
    <w:rsid w:val="00E66FAD"/>
    <w:rsid w:val="00E7041D"/>
    <w:rsid w:val="00E70600"/>
    <w:rsid w:val="00E70E84"/>
    <w:rsid w:val="00E710A0"/>
    <w:rsid w:val="00E7151E"/>
    <w:rsid w:val="00E71B8F"/>
    <w:rsid w:val="00E725B2"/>
    <w:rsid w:val="00E72922"/>
    <w:rsid w:val="00E7372A"/>
    <w:rsid w:val="00E73D3A"/>
    <w:rsid w:val="00E74920"/>
    <w:rsid w:val="00E74E5D"/>
    <w:rsid w:val="00E74F9C"/>
    <w:rsid w:val="00E754E6"/>
    <w:rsid w:val="00E7569E"/>
    <w:rsid w:val="00E757BA"/>
    <w:rsid w:val="00E75F0A"/>
    <w:rsid w:val="00E7604E"/>
    <w:rsid w:val="00E7696F"/>
    <w:rsid w:val="00E7704E"/>
    <w:rsid w:val="00E772C2"/>
    <w:rsid w:val="00E77788"/>
    <w:rsid w:val="00E779D8"/>
    <w:rsid w:val="00E811A3"/>
    <w:rsid w:val="00E815DD"/>
    <w:rsid w:val="00E831F5"/>
    <w:rsid w:val="00E84911"/>
    <w:rsid w:val="00E856BD"/>
    <w:rsid w:val="00E86943"/>
    <w:rsid w:val="00E86EFA"/>
    <w:rsid w:val="00E87B4E"/>
    <w:rsid w:val="00E90F1C"/>
    <w:rsid w:val="00E9329B"/>
    <w:rsid w:val="00E935F8"/>
    <w:rsid w:val="00E9408C"/>
    <w:rsid w:val="00E94A09"/>
    <w:rsid w:val="00E94B98"/>
    <w:rsid w:val="00E9772C"/>
    <w:rsid w:val="00EA19F8"/>
    <w:rsid w:val="00EA21CD"/>
    <w:rsid w:val="00EA23F7"/>
    <w:rsid w:val="00EA24C8"/>
    <w:rsid w:val="00EA37A5"/>
    <w:rsid w:val="00EA3958"/>
    <w:rsid w:val="00EA4541"/>
    <w:rsid w:val="00EA60C5"/>
    <w:rsid w:val="00EA684E"/>
    <w:rsid w:val="00EA6E35"/>
    <w:rsid w:val="00EA784C"/>
    <w:rsid w:val="00EB009C"/>
    <w:rsid w:val="00EB026E"/>
    <w:rsid w:val="00EB03A9"/>
    <w:rsid w:val="00EB10F0"/>
    <w:rsid w:val="00EB2644"/>
    <w:rsid w:val="00EB267D"/>
    <w:rsid w:val="00EB2814"/>
    <w:rsid w:val="00EB3657"/>
    <w:rsid w:val="00EB3720"/>
    <w:rsid w:val="00EB43EB"/>
    <w:rsid w:val="00EB50AD"/>
    <w:rsid w:val="00EB519A"/>
    <w:rsid w:val="00EB5212"/>
    <w:rsid w:val="00EB55AA"/>
    <w:rsid w:val="00EB5C06"/>
    <w:rsid w:val="00EB7970"/>
    <w:rsid w:val="00EC07B1"/>
    <w:rsid w:val="00EC0E30"/>
    <w:rsid w:val="00EC12B6"/>
    <w:rsid w:val="00EC1506"/>
    <w:rsid w:val="00EC2C44"/>
    <w:rsid w:val="00EC2C8A"/>
    <w:rsid w:val="00EC3A7F"/>
    <w:rsid w:val="00EC50E3"/>
    <w:rsid w:val="00EC5105"/>
    <w:rsid w:val="00EC5319"/>
    <w:rsid w:val="00EC5732"/>
    <w:rsid w:val="00EC58DB"/>
    <w:rsid w:val="00EC653B"/>
    <w:rsid w:val="00EC6FC4"/>
    <w:rsid w:val="00EC717A"/>
    <w:rsid w:val="00ED0FBA"/>
    <w:rsid w:val="00ED1757"/>
    <w:rsid w:val="00ED2840"/>
    <w:rsid w:val="00ED2C3D"/>
    <w:rsid w:val="00ED2F53"/>
    <w:rsid w:val="00ED3A99"/>
    <w:rsid w:val="00ED3E5B"/>
    <w:rsid w:val="00ED437F"/>
    <w:rsid w:val="00ED4B0B"/>
    <w:rsid w:val="00ED4D21"/>
    <w:rsid w:val="00ED4F68"/>
    <w:rsid w:val="00ED5BEF"/>
    <w:rsid w:val="00ED61DA"/>
    <w:rsid w:val="00ED68CF"/>
    <w:rsid w:val="00ED6D46"/>
    <w:rsid w:val="00ED6FD7"/>
    <w:rsid w:val="00ED73C5"/>
    <w:rsid w:val="00ED75F3"/>
    <w:rsid w:val="00ED7681"/>
    <w:rsid w:val="00EE02EE"/>
    <w:rsid w:val="00EE0F5D"/>
    <w:rsid w:val="00EE20E3"/>
    <w:rsid w:val="00EE27EB"/>
    <w:rsid w:val="00EE362B"/>
    <w:rsid w:val="00EE3DCC"/>
    <w:rsid w:val="00EE4085"/>
    <w:rsid w:val="00EE4797"/>
    <w:rsid w:val="00EE55D5"/>
    <w:rsid w:val="00EE5A3D"/>
    <w:rsid w:val="00EE679C"/>
    <w:rsid w:val="00EE6B73"/>
    <w:rsid w:val="00EF009E"/>
    <w:rsid w:val="00EF089A"/>
    <w:rsid w:val="00EF0F50"/>
    <w:rsid w:val="00EF0FC4"/>
    <w:rsid w:val="00EF12C7"/>
    <w:rsid w:val="00EF14BB"/>
    <w:rsid w:val="00EF179C"/>
    <w:rsid w:val="00EF1B7A"/>
    <w:rsid w:val="00EF1E89"/>
    <w:rsid w:val="00EF21B7"/>
    <w:rsid w:val="00EF229E"/>
    <w:rsid w:val="00EF2F59"/>
    <w:rsid w:val="00EF304F"/>
    <w:rsid w:val="00EF3515"/>
    <w:rsid w:val="00EF3724"/>
    <w:rsid w:val="00EF5098"/>
    <w:rsid w:val="00EF62E5"/>
    <w:rsid w:val="00EF6429"/>
    <w:rsid w:val="00EF64D2"/>
    <w:rsid w:val="00EF6764"/>
    <w:rsid w:val="00EF6B87"/>
    <w:rsid w:val="00EF6B96"/>
    <w:rsid w:val="00EF6C39"/>
    <w:rsid w:val="00EF6ED2"/>
    <w:rsid w:val="00EF7058"/>
    <w:rsid w:val="00EF722E"/>
    <w:rsid w:val="00EF7400"/>
    <w:rsid w:val="00EF751F"/>
    <w:rsid w:val="00EF7A38"/>
    <w:rsid w:val="00EF7DE5"/>
    <w:rsid w:val="00F007E6"/>
    <w:rsid w:val="00F02069"/>
    <w:rsid w:val="00F0220C"/>
    <w:rsid w:val="00F0268E"/>
    <w:rsid w:val="00F034EB"/>
    <w:rsid w:val="00F038A8"/>
    <w:rsid w:val="00F03A17"/>
    <w:rsid w:val="00F03A3F"/>
    <w:rsid w:val="00F03EFA"/>
    <w:rsid w:val="00F04122"/>
    <w:rsid w:val="00F0564F"/>
    <w:rsid w:val="00F05BE5"/>
    <w:rsid w:val="00F07D14"/>
    <w:rsid w:val="00F101BC"/>
    <w:rsid w:val="00F11477"/>
    <w:rsid w:val="00F121CB"/>
    <w:rsid w:val="00F1250B"/>
    <w:rsid w:val="00F14219"/>
    <w:rsid w:val="00F147B7"/>
    <w:rsid w:val="00F148D2"/>
    <w:rsid w:val="00F14A72"/>
    <w:rsid w:val="00F15978"/>
    <w:rsid w:val="00F15BCE"/>
    <w:rsid w:val="00F162EF"/>
    <w:rsid w:val="00F1684F"/>
    <w:rsid w:val="00F20119"/>
    <w:rsid w:val="00F21A3F"/>
    <w:rsid w:val="00F22B21"/>
    <w:rsid w:val="00F22F16"/>
    <w:rsid w:val="00F23837"/>
    <w:rsid w:val="00F25CB3"/>
    <w:rsid w:val="00F25D0D"/>
    <w:rsid w:val="00F26D5E"/>
    <w:rsid w:val="00F272BF"/>
    <w:rsid w:val="00F27323"/>
    <w:rsid w:val="00F276A0"/>
    <w:rsid w:val="00F27C8C"/>
    <w:rsid w:val="00F3003E"/>
    <w:rsid w:val="00F301A7"/>
    <w:rsid w:val="00F303B1"/>
    <w:rsid w:val="00F30B60"/>
    <w:rsid w:val="00F30E42"/>
    <w:rsid w:val="00F31516"/>
    <w:rsid w:val="00F31523"/>
    <w:rsid w:val="00F31963"/>
    <w:rsid w:val="00F31B6A"/>
    <w:rsid w:val="00F31E16"/>
    <w:rsid w:val="00F31E9C"/>
    <w:rsid w:val="00F322F2"/>
    <w:rsid w:val="00F32C69"/>
    <w:rsid w:val="00F331ED"/>
    <w:rsid w:val="00F347AB"/>
    <w:rsid w:val="00F34986"/>
    <w:rsid w:val="00F35160"/>
    <w:rsid w:val="00F351B8"/>
    <w:rsid w:val="00F351CB"/>
    <w:rsid w:val="00F361FC"/>
    <w:rsid w:val="00F36B1F"/>
    <w:rsid w:val="00F36BD2"/>
    <w:rsid w:val="00F36CF5"/>
    <w:rsid w:val="00F372FC"/>
    <w:rsid w:val="00F375F8"/>
    <w:rsid w:val="00F37BB2"/>
    <w:rsid w:val="00F37EA9"/>
    <w:rsid w:val="00F37FED"/>
    <w:rsid w:val="00F407D4"/>
    <w:rsid w:val="00F408AB"/>
    <w:rsid w:val="00F40FCD"/>
    <w:rsid w:val="00F43109"/>
    <w:rsid w:val="00F43F81"/>
    <w:rsid w:val="00F44763"/>
    <w:rsid w:val="00F44CAE"/>
    <w:rsid w:val="00F45DF3"/>
    <w:rsid w:val="00F4633D"/>
    <w:rsid w:val="00F46891"/>
    <w:rsid w:val="00F47307"/>
    <w:rsid w:val="00F4735C"/>
    <w:rsid w:val="00F47906"/>
    <w:rsid w:val="00F47EAE"/>
    <w:rsid w:val="00F50336"/>
    <w:rsid w:val="00F509C3"/>
    <w:rsid w:val="00F50E6F"/>
    <w:rsid w:val="00F5142D"/>
    <w:rsid w:val="00F517D5"/>
    <w:rsid w:val="00F51C34"/>
    <w:rsid w:val="00F5241E"/>
    <w:rsid w:val="00F5259C"/>
    <w:rsid w:val="00F5353E"/>
    <w:rsid w:val="00F55CE6"/>
    <w:rsid w:val="00F561BC"/>
    <w:rsid w:val="00F56797"/>
    <w:rsid w:val="00F57777"/>
    <w:rsid w:val="00F57B52"/>
    <w:rsid w:val="00F605A4"/>
    <w:rsid w:val="00F60CDD"/>
    <w:rsid w:val="00F61576"/>
    <w:rsid w:val="00F639AF"/>
    <w:rsid w:val="00F64393"/>
    <w:rsid w:val="00F64816"/>
    <w:rsid w:val="00F6483B"/>
    <w:rsid w:val="00F648DB"/>
    <w:rsid w:val="00F654AB"/>
    <w:rsid w:val="00F656DC"/>
    <w:rsid w:val="00F6575C"/>
    <w:rsid w:val="00F65944"/>
    <w:rsid w:val="00F66479"/>
    <w:rsid w:val="00F6665A"/>
    <w:rsid w:val="00F6685E"/>
    <w:rsid w:val="00F66D79"/>
    <w:rsid w:val="00F66F18"/>
    <w:rsid w:val="00F67842"/>
    <w:rsid w:val="00F70750"/>
    <w:rsid w:val="00F70A2B"/>
    <w:rsid w:val="00F70CC8"/>
    <w:rsid w:val="00F71B90"/>
    <w:rsid w:val="00F72782"/>
    <w:rsid w:val="00F72A5D"/>
    <w:rsid w:val="00F73002"/>
    <w:rsid w:val="00F7353C"/>
    <w:rsid w:val="00F740C6"/>
    <w:rsid w:val="00F749A0"/>
    <w:rsid w:val="00F75BE4"/>
    <w:rsid w:val="00F76AA4"/>
    <w:rsid w:val="00F76C68"/>
    <w:rsid w:val="00F76D6A"/>
    <w:rsid w:val="00F775BA"/>
    <w:rsid w:val="00F77650"/>
    <w:rsid w:val="00F77A3C"/>
    <w:rsid w:val="00F77E66"/>
    <w:rsid w:val="00F77E9B"/>
    <w:rsid w:val="00F77FAD"/>
    <w:rsid w:val="00F80668"/>
    <w:rsid w:val="00F8092B"/>
    <w:rsid w:val="00F80CEA"/>
    <w:rsid w:val="00F82086"/>
    <w:rsid w:val="00F82A0B"/>
    <w:rsid w:val="00F832E4"/>
    <w:rsid w:val="00F83395"/>
    <w:rsid w:val="00F83A00"/>
    <w:rsid w:val="00F8447B"/>
    <w:rsid w:val="00F84720"/>
    <w:rsid w:val="00F847B4"/>
    <w:rsid w:val="00F84B9A"/>
    <w:rsid w:val="00F84E10"/>
    <w:rsid w:val="00F8519E"/>
    <w:rsid w:val="00F85F8C"/>
    <w:rsid w:val="00F86EE0"/>
    <w:rsid w:val="00F91465"/>
    <w:rsid w:val="00F9152E"/>
    <w:rsid w:val="00F916BD"/>
    <w:rsid w:val="00F921B5"/>
    <w:rsid w:val="00F92ABA"/>
    <w:rsid w:val="00F92BAA"/>
    <w:rsid w:val="00F940B3"/>
    <w:rsid w:val="00F94925"/>
    <w:rsid w:val="00F94EDF"/>
    <w:rsid w:val="00F95AA2"/>
    <w:rsid w:val="00F95D7A"/>
    <w:rsid w:val="00F96BC6"/>
    <w:rsid w:val="00F970D7"/>
    <w:rsid w:val="00F978B2"/>
    <w:rsid w:val="00F979D1"/>
    <w:rsid w:val="00F97B8D"/>
    <w:rsid w:val="00F97CAD"/>
    <w:rsid w:val="00F97D15"/>
    <w:rsid w:val="00FA0907"/>
    <w:rsid w:val="00FA0C1F"/>
    <w:rsid w:val="00FA23CB"/>
    <w:rsid w:val="00FA2A55"/>
    <w:rsid w:val="00FA3C2B"/>
    <w:rsid w:val="00FA3ECC"/>
    <w:rsid w:val="00FA43B1"/>
    <w:rsid w:val="00FA53E8"/>
    <w:rsid w:val="00FA53FC"/>
    <w:rsid w:val="00FA5FC3"/>
    <w:rsid w:val="00FA6704"/>
    <w:rsid w:val="00FA71F7"/>
    <w:rsid w:val="00FA7594"/>
    <w:rsid w:val="00FA7BD4"/>
    <w:rsid w:val="00FB0113"/>
    <w:rsid w:val="00FB0FE1"/>
    <w:rsid w:val="00FB1889"/>
    <w:rsid w:val="00FB29E2"/>
    <w:rsid w:val="00FB3872"/>
    <w:rsid w:val="00FB38CE"/>
    <w:rsid w:val="00FB3B07"/>
    <w:rsid w:val="00FB4091"/>
    <w:rsid w:val="00FB4292"/>
    <w:rsid w:val="00FB4BF9"/>
    <w:rsid w:val="00FB59F8"/>
    <w:rsid w:val="00FB5A11"/>
    <w:rsid w:val="00FB60A9"/>
    <w:rsid w:val="00FB6207"/>
    <w:rsid w:val="00FB62D7"/>
    <w:rsid w:val="00FB667B"/>
    <w:rsid w:val="00FB681B"/>
    <w:rsid w:val="00FB6FB9"/>
    <w:rsid w:val="00FB762A"/>
    <w:rsid w:val="00FC006D"/>
    <w:rsid w:val="00FC02A5"/>
    <w:rsid w:val="00FC02DA"/>
    <w:rsid w:val="00FC035C"/>
    <w:rsid w:val="00FC04A5"/>
    <w:rsid w:val="00FC0AFB"/>
    <w:rsid w:val="00FC1AA4"/>
    <w:rsid w:val="00FC218A"/>
    <w:rsid w:val="00FC2A93"/>
    <w:rsid w:val="00FC2E72"/>
    <w:rsid w:val="00FC3349"/>
    <w:rsid w:val="00FC3982"/>
    <w:rsid w:val="00FC4076"/>
    <w:rsid w:val="00FC40C8"/>
    <w:rsid w:val="00FC440B"/>
    <w:rsid w:val="00FC57D9"/>
    <w:rsid w:val="00FC5D99"/>
    <w:rsid w:val="00FC6606"/>
    <w:rsid w:val="00FC66C9"/>
    <w:rsid w:val="00FC69D4"/>
    <w:rsid w:val="00FC7CDD"/>
    <w:rsid w:val="00FC7E01"/>
    <w:rsid w:val="00FD0401"/>
    <w:rsid w:val="00FD088E"/>
    <w:rsid w:val="00FD16D5"/>
    <w:rsid w:val="00FD29F1"/>
    <w:rsid w:val="00FD367D"/>
    <w:rsid w:val="00FD3ED9"/>
    <w:rsid w:val="00FD41CE"/>
    <w:rsid w:val="00FD4D6F"/>
    <w:rsid w:val="00FD4E1B"/>
    <w:rsid w:val="00FD51CB"/>
    <w:rsid w:val="00FD570D"/>
    <w:rsid w:val="00FD57D9"/>
    <w:rsid w:val="00FD5B8B"/>
    <w:rsid w:val="00FD6F59"/>
    <w:rsid w:val="00FD7190"/>
    <w:rsid w:val="00FD7EFE"/>
    <w:rsid w:val="00FE0167"/>
    <w:rsid w:val="00FE08A8"/>
    <w:rsid w:val="00FE11D8"/>
    <w:rsid w:val="00FE136E"/>
    <w:rsid w:val="00FE1BEA"/>
    <w:rsid w:val="00FE1D1A"/>
    <w:rsid w:val="00FE2A76"/>
    <w:rsid w:val="00FE3532"/>
    <w:rsid w:val="00FE357B"/>
    <w:rsid w:val="00FE359F"/>
    <w:rsid w:val="00FE4444"/>
    <w:rsid w:val="00FE5018"/>
    <w:rsid w:val="00FE5A4A"/>
    <w:rsid w:val="00FE62C9"/>
    <w:rsid w:val="00FE63E2"/>
    <w:rsid w:val="00FE70C4"/>
    <w:rsid w:val="00FE7270"/>
    <w:rsid w:val="00FE7891"/>
    <w:rsid w:val="00FE7BF9"/>
    <w:rsid w:val="00FF01E0"/>
    <w:rsid w:val="00FF0914"/>
    <w:rsid w:val="00FF2907"/>
    <w:rsid w:val="00FF2CB8"/>
    <w:rsid w:val="00FF3796"/>
    <w:rsid w:val="00FF42E0"/>
    <w:rsid w:val="00FF4389"/>
    <w:rsid w:val="00FF4865"/>
    <w:rsid w:val="00FF4ACD"/>
    <w:rsid w:val="00FF5004"/>
    <w:rsid w:val="00FF6E6C"/>
    <w:rsid w:val="00FF6E97"/>
    <w:rsid w:val="00FF725F"/>
    <w:rsid w:val="00FF7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CEBA6"/>
  <w15:chartTrackingRefBased/>
  <w15:docId w15:val="{889AEFEA-5199-4917-80F8-21E1DC11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567"/>
    <w:rPr>
      <w:rFonts w:asciiTheme="majorBidi" w:hAnsiTheme="majorBidi"/>
      <w:sz w:val="24"/>
    </w:rPr>
  </w:style>
  <w:style w:type="paragraph" w:styleId="Heading1">
    <w:name w:val="heading 1"/>
    <w:basedOn w:val="Normal"/>
    <w:next w:val="Normal"/>
    <w:link w:val="Heading1Char"/>
    <w:autoRedefine/>
    <w:uiPriority w:val="9"/>
    <w:qFormat/>
    <w:rsid w:val="009B353A"/>
    <w:pPr>
      <w:keepNext/>
      <w:keepLines/>
      <w:numPr>
        <w:numId w:val="3"/>
      </w:numPr>
      <w:spacing w:before="240" w:afterLines="60" w:after="144" w:line="259" w:lineRule="auto"/>
      <w:outlineLvl w:val="0"/>
    </w:pPr>
    <w:rPr>
      <w:rFonts w:ascii="Times New Roman" w:eastAsiaTheme="majorEastAsia" w:hAnsi="Times New Roman" w:cstheme="majorBidi"/>
      <w:b/>
      <w:szCs w:val="36"/>
    </w:rPr>
  </w:style>
  <w:style w:type="paragraph" w:styleId="Heading2">
    <w:name w:val="heading 2"/>
    <w:basedOn w:val="Normal"/>
    <w:next w:val="Normal"/>
    <w:link w:val="Heading2Char"/>
    <w:autoRedefine/>
    <w:uiPriority w:val="9"/>
    <w:unhideWhenUsed/>
    <w:qFormat/>
    <w:rsid w:val="00F970D7"/>
    <w:pPr>
      <w:keepNext/>
      <w:keepLines/>
      <w:numPr>
        <w:ilvl w:val="1"/>
        <w:numId w:val="3"/>
      </w:numPr>
      <w:spacing w:before="60" w:after="60" w:line="360" w:lineRule="auto"/>
      <w:outlineLvl w:val="1"/>
    </w:pPr>
    <w:rPr>
      <w:rFonts w:eastAsiaTheme="minorEastAsia" w:cstheme="majorBidi"/>
      <w:b/>
      <w:szCs w:val="28"/>
    </w:rPr>
  </w:style>
  <w:style w:type="paragraph" w:styleId="Heading3">
    <w:name w:val="heading 3"/>
    <w:basedOn w:val="Normal"/>
    <w:next w:val="Normal"/>
    <w:link w:val="Heading3Char"/>
    <w:uiPriority w:val="9"/>
    <w:unhideWhenUsed/>
    <w:qFormat/>
    <w:rsid w:val="00B10328"/>
    <w:pPr>
      <w:keepNext/>
      <w:keepLines/>
      <w:numPr>
        <w:numId w:val="2"/>
      </w:numPr>
      <w:bidi/>
      <w:spacing w:before="80" w:after="0"/>
      <w:outlineLvl w:val="2"/>
    </w:pPr>
    <w:rPr>
      <w:rFonts w:eastAsiaTheme="majorEastAsia" w:cstheme="majorBidi"/>
      <w:b/>
      <w:sz w:val="26"/>
      <w:szCs w:val="26"/>
    </w:rPr>
  </w:style>
  <w:style w:type="paragraph" w:styleId="Heading4">
    <w:name w:val="heading 4"/>
    <w:basedOn w:val="Normal"/>
    <w:next w:val="Normal"/>
    <w:link w:val="Heading4Char"/>
    <w:uiPriority w:val="9"/>
    <w:unhideWhenUsed/>
    <w:qFormat/>
    <w:rsid w:val="00117B7C"/>
    <w:pPr>
      <w:keepNext/>
      <w:keepLines/>
      <w:bidi/>
      <w:spacing w:before="80" w:after="0" w:line="264" w:lineRule="auto"/>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117B7C"/>
    <w:pPr>
      <w:keepNext/>
      <w:keepLines/>
      <w:bidi/>
      <w:spacing w:before="80" w:after="0" w:line="264"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117B7C"/>
    <w:pPr>
      <w:keepNext/>
      <w:keepLines/>
      <w:bidi/>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117B7C"/>
    <w:pPr>
      <w:keepNext/>
      <w:keepLines/>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117B7C"/>
    <w:pPr>
      <w:keepNext/>
      <w:keepLines/>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117B7C"/>
    <w:pPr>
      <w:keepNext/>
      <w:keepLines/>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372FC"/>
    <w:pPr>
      <w:spacing w:after="0"/>
    </w:pPr>
    <w:rPr>
      <w:sz w:val="20"/>
      <w:szCs w:val="20"/>
    </w:rPr>
  </w:style>
  <w:style w:type="character" w:customStyle="1" w:styleId="FootnoteTextChar">
    <w:name w:val="Footnote Text Char"/>
    <w:basedOn w:val="DefaultParagraphFont"/>
    <w:link w:val="FootnoteText"/>
    <w:uiPriority w:val="99"/>
    <w:semiHidden/>
    <w:rsid w:val="00F372FC"/>
    <w:rPr>
      <w:sz w:val="20"/>
      <w:szCs w:val="20"/>
    </w:rPr>
  </w:style>
  <w:style w:type="character" w:styleId="FootnoteReference">
    <w:name w:val="footnote reference"/>
    <w:basedOn w:val="DefaultParagraphFont"/>
    <w:uiPriority w:val="99"/>
    <w:semiHidden/>
    <w:unhideWhenUsed/>
    <w:rsid w:val="00F372FC"/>
    <w:rPr>
      <w:vertAlign w:val="superscript"/>
    </w:rPr>
  </w:style>
  <w:style w:type="character" w:styleId="Hyperlink">
    <w:name w:val="Hyperlink"/>
    <w:basedOn w:val="DefaultParagraphFont"/>
    <w:uiPriority w:val="99"/>
    <w:unhideWhenUsed/>
    <w:rsid w:val="00F372FC"/>
    <w:rPr>
      <w:color w:val="0563C1" w:themeColor="hyperlink"/>
      <w:u w:val="single"/>
    </w:rPr>
  </w:style>
  <w:style w:type="character" w:customStyle="1" w:styleId="Heading1Char">
    <w:name w:val="Heading 1 Char"/>
    <w:basedOn w:val="DefaultParagraphFont"/>
    <w:link w:val="Heading1"/>
    <w:uiPriority w:val="9"/>
    <w:rsid w:val="009B353A"/>
    <w:rPr>
      <w:rFonts w:ascii="Times New Roman" w:eastAsiaTheme="majorEastAsia" w:hAnsi="Times New Roman" w:cstheme="majorBidi"/>
      <w:b/>
      <w:sz w:val="24"/>
      <w:szCs w:val="36"/>
    </w:rPr>
  </w:style>
  <w:style w:type="character" w:customStyle="1" w:styleId="Heading2Char">
    <w:name w:val="Heading 2 Char"/>
    <w:basedOn w:val="DefaultParagraphFont"/>
    <w:link w:val="Heading2"/>
    <w:uiPriority w:val="9"/>
    <w:rsid w:val="00F970D7"/>
    <w:rPr>
      <w:rFonts w:asciiTheme="majorBidi" w:eastAsiaTheme="minorEastAsia" w:hAnsiTheme="majorBidi" w:cstheme="majorBidi"/>
      <w:b/>
      <w:sz w:val="24"/>
      <w:szCs w:val="28"/>
    </w:rPr>
  </w:style>
  <w:style w:type="character" w:customStyle="1" w:styleId="Heading3Char">
    <w:name w:val="Heading 3 Char"/>
    <w:basedOn w:val="DefaultParagraphFont"/>
    <w:link w:val="Heading3"/>
    <w:uiPriority w:val="9"/>
    <w:rsid w:val="00B10328"/>
    <w:rPr>
      <w:rFonts w:asciiTheme="majorBidi" w:eastAsiaTheme="majorEastAsia" w:hAnsiTheme="majorBidi" w:cstheme="majorBidi"/>
      <w:b/>
      <w:sz w:val="26"/>
      <w:szCs w:val="26"/>
    </w:rPr>
  </w:style>
  <w:style w:type="character" w:customStyle="1" w:styleId="Heading4Char">
    <w:name w:val="Heading 4 Char"/>
    <w:basedOn w:val="DefaultParagraphFont"/>
    <w:link w:val="Heading4"/>
    <w:uiPriority w:val="9"/>
    <w:rsid w:val="00117B7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117B7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117B7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117B7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117B7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117B7C"/>
    <w:rPr>
      <w:rFonts w:asciiTheme="majorHAnsi" w:eastAsiaTheme="majorEastAsia" w:hAnsiTheme="majorHAnsi" w:cstheme="majorBidi"/>
      <w:i/>
      <w:iCs/>
      <w:smallCaps/>
      <w:color w:val="595959" w:themeColor="text1" w:themeTint="A6"/>
      <w:sz w:val="21"/>
      <w:szCs w:val="21"/>
    </w:rPr>
  </w:style>
  <w:style w:type="paragraph" w:styleId="Caption">
    <w:name w:val="caption"/>
    <w:basedOn w:val="Normal"/>
    <w:next w:val="Normal"/>
    <w:uiPriority w:val="35"/>
    <w:unhideWhenUsed/>
    <w:qFormat/>
    <w:rsid w:val="003D1984"/>
    <w:pPr>
      <w:bidi/>
      <w:spacing w:after="120"/>
      <w:jc w:val="center"/>
    </w:pPr>
    <w:rPr>
      <w:b/>
      <w:bCs/>
      <w:sz w:val="20"/>
      <w:szCs w:val="20"/>
    </w:rPr>
  </w:style>
  <w:style w:type="paragraph" w:styleId="Title">
    <w:name w:val="Title"/>
    <w:basedOn w:val="Normal"/>
    <w:next w:val="Normal"/>
    <w:link w:val="TitleChar"/>
    <w:uiPriority w:val="10"/>
    <w:qFormat/>
    <w:rsid w:val="00117B7C"/>
    <w:pPr>
      <w:bidi/>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17B7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17B7C"/>
    <w:pPr>
      <w:numPr>
        <w:ilvl w:val="1"/>
      </w:numPr>
      <w:spacing w:after="240"/>
      <w:ind w:firstLine="72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17B7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17B7C"/>
    <w:rPr>
      <w:b/>
      <w:bCs/>
    </w:rPr>
  </w:style>
  <w:style w:type="character" w:styleId="Emphasis">
    <w:name w:val="Emphasis"/>
    <w:basedOn w:val="DefaultParagraphFont"/>
    <w:uiPriority w:val="20"/>
    <w:qFormat/>
    <w:rsid w:val="00117B7C"/>
    <w:rPr>
      <w:i/>
      <w:iCs/>
    </w:rPr>
  </w:style>
  <w:style w:type="paragraph" w:styleId="NoSpacing">
    <w:name w:val="No Spacing"/>
    <w:uiPriority w:val="1"/>
    <w:qFormat/>
    <w:rsid w:val="00117B7C"/>
    <w:pPr>
      <w:bidi/>
      <w:spacing w:after="0"/>
    </w:pPr>
    <w:rPr>
      <w:sz w:val="21"/>
      <w:szCs w:val="21"/>
    </w:rPr>
  </w:style>
  <w:style w:type="paragraph" w:styleId="ListParagraph">
    <w:name w:val="List Paragraph"/>
    <w:aliases w:val="Photo,تيتر سوم,لیست"/>
    <w:basedOn w:val="Normal"/>
    <w:link w:val="ListParagraphChar"/>
    <w:uiPriority w:val="34"/>
    <w:qFormat/>
    <w:rsid w:val="00117B7C"/>
    <w:pPr>
      <w:bidi/>
      <w:spacing w:after="120" w:line="264" w:lineRule="auto"/>
      <w:ind w:left="720"/>
      <w:contextualSpacing/>
    </w:pPr>
    <w:rPr>
      <w:sz w:val="21"/>
      <w:szCs w:val="21"/>
    </w:rPr>
  </w:style>
  <w:style w:type="character" w:customStyle="1" w:styleId="ListParagraphChar">
    <w:name w:val="List Paragraph Char"/>
    <w:aliases w:val="Photo Char,تيتر سوم Char,لیست Char"/>
    <w:basedOn w:val="DefaultParagraphFont"/>
    <w:link w:val="ListParagraph"/>
    <w:uiPriority w:val="34"/>
    <w:rsid w:val="00117B7C"/>
    <w:rPr>
      <w:sz w:val="21"/>
      <w:szCs w:val="21"/>
    </w:rPr>
  </w:style>
  <w:style w:type="paragraph" w:styleId="Quote">
    <w:name w:val="Quote"/>
    <w:basedOn w:val="Normal"/>
    <w:next w:val="Normal"/>
    <w:link w:val="QuoteChar"/>
    <w:uiPriority w:val="29"/>
    <w:qFormat/>
    <w:rsid w:val="00117B7C"/>
    <w:pPr>
      <w:spacing w:before="240" w:after="240" w:line="252" w:lineRule="auto"/>
      <w:ind w:left="864" w:right="864"/>
      <w:jc w:val="center"/>
    </w:pPr>
    <w:rPr>
      <w:i/>
      <w:iCs/>
      <w:sz w:val="21"/>
      <w:szCs w:val="21"/>
    </w:rPr>
  </w:style>
  <w:style w:type="character" w:customStyle="1" w:styleId="QuoteChar">
    <w:name w:val="Quote Char"/>
    <w:basedOn w:val="DefaultParagraphFont"/>
    <w:link w:val="Quote"/>
    <w:uiPriority w:val="29"/>
    <w:rsid w:val="00117B7C"/>
    <w:rPr>
      <w:i/>
      <w:iCs/>
      <w:sz w:val="21"/>
      <w:szCs w:val="21"/>
    </w:rPr>
  </w:style>
  <w:style w:type="paragraph" w:styleId="IntenseQuote">
    <w:name w:val="Intense Quote"/>
    <w:basedOn w:val="Normal"/>
    <w:next w:val="Normal"/>
    <w:link w:val="IntenseQuoteChar"/>
    <w:uiPriority w:val="30"/>
    <w:qFormat/>
    <w:rsid w:val="00117B7C"/>
    <w:pPr>
      <w:spacing w:before="100" w:beforeAutospacing="1" w:after="240" w:line="264" w:lineRule="auto"/>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17B7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17B7C"/>
    <w:rPr>
      <w:i/>
      <w:iCs/>
      <w:color w:val="595959" w:themeColor="text1" w:themeTint="A6"/>
    </w:rPr>
  </w:style>
  <w:style w:type="character" w:styleId="IntenseEmphasis">
    <w:name w:val="Intense Emphasis"/>
    <w:basedOn w:val="DefaultParagraphFont"/>
    <w:uiPriority w:val="21"/>
    <w:qFormat/>
    <w:rsid w:val="00117B7C"/>
    <w:rPr>
      <w:b/>
      <w:bCs/>
      <w:i/>
      <w:iCs/>
    </w:rPr>
  </w:style>
  <w:style w:type="character" w:styleId="SubtleReference">
    <w:name w:val="Subtle Reference"/>
    <w:basedOn w:val="DefaultParagraphFont"/>
    <w:uiPriority w:val="31"/>
    <w:qFormat/>
    <w:rsid w:val="00117B7C"/>
    <w:rPr>
      <w:smallCaps/>
      <w:color w:val="404040" w:themeColor="text1" w:themeTint="BF"/>
    </w:rPr>
  </w:style>
  <w:style w:type="character" w:styleId="IntenseReference">
    <w:name w:val="Intense Reference"/>
    <w:basedOn w:val="DefaultParagraphFont"/>
    <w:uiPriority w:val="32"/>
    <w:qFormat/>
    <w:rsid w:val="00117B7C"/>
    <w:rPr>
      <w:b/>
      <w:bCs/>
      <w:smallCaps/>
      <w:u w:val="single"/>
    </w:rPr>
  </w:style>
  <w:style w:type="character" w:styleId="BookTitle">
    <w:name w:val="Book Title"/>
    <w:basedOn w:val="DefaultParagraphFont"/>
    <w:uiPriority w:val="33"/>
    <w:qFormat/>
    <w:rsid w:val="00117B7C"/>
    <w:rPr>
      <w:b/>
      <w:bCs/>
      <w:smallCaps/>
    </w:rPr>
  </w:style>
  <w:style w:type="paragraph" w:styleId="TOCHeading">
    <w:name w:val="TOC Heading"/>
    <w:basedOn w:val="Heading1"/>
    <w:next w:val="Normal"/>
    <w:uiPriority w:val="39"/>
    <w:unhideWhenUsed/>
    <w:qFormat/>
    <w:rsid w:val="00117B7C"/>
    <w:pPr>
      <w:outlineLvl w:val="9"/>
    </w:pPr>
  </w:style>
  <w:style w:type="character" w:styleId="PlaceholderText">
    <w:name w:val="Placeholder Text"/>
    <w:basedOn w:val="DefaultParagraphFont"/>
    <w:uiPriority w:val="99"/>
    <w:semiHidden/>
    <w:rsid w:val="00117B7C"/>
    <w:rPr>
      <w:color w:val="808080"/>
    </w:rPr>
  </w:style>
  <w:style w:type="paragraph" w:styleId="Header">
    <w:name w:val="header"/>
    <w:basedOn w:val="Normal"/>
    <w:link w:val="HeaderChar"/>
    <w:uiPriority w:val="99"/>
    <w:unhideWhenUsed/>
    <w:rsid w:val="00117B7C"/>
    <w:pPr>
      <w:tabs>
        <w:tab w:val="center" w:pos="4680"/>
        <w:tab w:val="right" w:pos="9360"/>
      </w:tabs>
      <w:bidi/>
      <w:spacing w:after="0"/>
    </w:pPr>
    <w:rPr>
      <w:sz w:val="21"/>
      <w:szCs w:val="21"/>
    </w:rPr>
  </w:style>
  <w:style w:type="character" w:customStyle="1" w:styleId="HeaderChar">
    <w:name w:val="Header Char"/>
    <w:basedOn w:val="DefaultParagraphFont"/>
    <w:link w:val="Header"/>
    <w:uiPriority w:val="99"/>
    <w:rsid w:val="00117B7C"/>
    <w:rPr>
      <w:sz w:val="21"/>
      <w:szCs w:val="21"/>
    </w:rPr>
  </w:style>
  <w:style w:type="paragraph" w:styleId="Footer">
    <w:name w:val="footer"/>
    <w:basedOn w:val="Normal"/>
    <w:link w:val="FooterChar"/>
    <w:uiPriority w:val="99"/>
    <w:unhideWhenUsed/>
    <w:rsid w:val="00117B7C"/>
    <w:pPr>
      <w:tabs>
        <w:tab w:val="center" w:pos="4680"/>
        <w:tab w:val="right" w:pos="9360"/>
      </w:tabs>
      <w:bidi/>
      <w:spacing w:after="0"/>
    </w:pPr>
    <w:rPr>
      <w:sz w:val="21"/>
      <w:szCs w:val="21"/>
    </w:rPr>
  </w:style>
  <w:style w:type="character" w:customStyle="1" w:styleId="FooterChar">
    <w:name w:val="Footer Char"/>
    <w:basedOn w:val="DefaultParagraphFont"/>
    <w:link w:val="Footer"/>
    <w:uiPriority w:val="99"/>
    <w:rsid w:val="00117B7C"/>
    <w:rPr>
      <w:sz w:val="21"/>
      <w:szCs w:val="21"/>
    </w:rPr>
  </w:style>
  <w:style w:type="table" w:styleId="TableGrid">
    <w:name w:val="Table Grid"/>
    <w:basedOn w:val="TableNormal"/>
    <w:uiPriority w:val="39"/>
    <w:rsid w:val="00117B7C"/>
    <w:pPr>
      <w:spacing w:after="0"/>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7B7C"/>
    <w:rPr>
      <w:sz w:val="16"/>
      <w:szCs w:val="16"/>
    </w:rPr>
  </w:style>
  <w:style w:type="paragraph" w:styleId="CommentText">
    <w:name w:val="annotation text"/>
    <w:basedOn w:val="Normal"/>
    <w:link w:val="CommentTextChar"/>
    <w:uiPriority w:val="99"/>
    <w:unhideWhenUsed/>
    <w:rsid w:val="00117B7C"/>
    <w:pPr>
      <w:bidi/>
      <w:spacing w:after="120"/>
    </w:pPr>
    <w:rPr>
      <w:sz w:val="20"/>
      <w:szCs w:val="20"/>
    </w:rPr>
  </w:style>
  <w:style w:type="character" w:customStyle="1" w:styleId="CommentTextChar">
    <w:name w:val="Comment Text Char"/>
    <w:basedOn w:val="DefaultParagraphFont"/>
    <w:link w:val="CommentText"/>
    <w:uiPriority w:val="99"/>
    <w:rsid w:val="00117B7C"/>
    <w:rPr>
      <w:sz w:val="20"/>
      <w:szCs w:val="20"/>
    </w:rPr>
  </w:style>
  <w:style w:type="paragraph" w:styleId="CommentSubject">
    <w:name w:val="annotation subject"/>
    <w:basedOn w:val="CommentText"/>
    <w:next w:val="CommentText"/>
    <w:link w:val="CommentSubjectChar"/>
    <w:uiPriority w:val="99"/>
    <w:semiHidden/>
    <w:unhideWhenUsed/>
    <w:rsid w:val="00117B7C"/>
    <w:rPr>
      <w:b/>
      <w:bCs/>
    </w:rPr>
  </w:style>
  <w:style w:type="character" w:customStyle="1" w:styleId="CommentSubjectChar">
    <w:name w:val="Comment Subject Char"/>
    <w:basedOn w:val="CommentTextChar"/>
    <w:link w:val="CommentSubject"/>
    <w:uiPriority w:val="99"/>
    <w:semiHidden/>
    <w:rsid w:val="00117B7C"/>
    <w:rPr>
      <w:b/>
      <w:bCs/>
      <w:sz w:val="20"/>
      <w:szCs w:val="20"/>
    </w:rPr>
  </w:style>
  <w:style w:type="paragraph" w:styleId="BalloonText">
    <w:name w:val="Balloon Text"/>
    <w:basedOn w:val="Normal"/>
    <w:link w:val="BalloonTextChar"/>
    <w:uiPriority w:val="99"/>
    <w:semiHidden/>
    <w:unhideWhenUsed/>
    <w:rsid w:val="00117B7C"/>
    <w:pPr>
      <w:bidi/>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B7C"/>
    <w:rPr>
      <w:rFonts w:ascii="Segoe UI" w:hAnsi="Segoe UI" w:cs="Segoe UI"/>
      <w:sz w:val="18"/>
      <w:szCs w:val="18"/>
    </w:rPr>
  </w:style>
  <w:style w:type="character" w:styleId="EndnoteReference">
    <w:name w:val="endnote reference"/>
    <w:basedOn w:val="DefaultParagraphFont"/>
    <w:uiPriority w:val="99"/>
    <w:semiHidden/>
    <w:unhideWhenUsed/>
    <w:rsid w:val="0020174C"/>
    <w:rPr>
      <w:vertAlign w:val="superscript"/>
    </w:rPr>
  </w:style>
  <w:style w:type="paragraph" w:customStyle="1" w:styleId="Default">
    <w:name w:val="Default"/>
    <w:rsid w:val="004870BE"/>
    <w:pPr>
      <w:autoSpaceDE w:val="0"/>
      <w:autoSpaceDN w:val="0"/>
      <w:adjustRightInd w:val="0"/>
      <w:spacing w:after="0"/>
    </w:pPr>
    <w:rPr>
      <w:rFonts w:ascii="Calibri" w:eastAsia="Calibri" w:hAnsi="Calibri" w:cs="Calibri"/>
      <w:color w:val="000000"/>
      <w:sz w:val="24"/>
      <w:szCs w:val="24"/>
      <w:lang w:val="en-GB" w:eastAsia="en-GB"/>
    </w:rPr>
  </w:style>
  <w:style w:type="character" w:customStyle="1" w:styleId="UnresolvedMention1">
    <w:name w:val="Unresolved Mention1"/>
    <w:basedOn w:val="DefaultParagraphFont"/>
    <w:uiPriority w:val="99"/>
    <w:semiHidden/>
    <w:unhideWhenUsed/>
    <w:rsid w:val="00CF61AB"/>
    <w:rPr>
      <w:color w:val="605E5C"/>
      <w:shd w:val="clear" w:color="auto" w:fill="E1DFDD"/>
    </w:rPr>
  </w:style>
  <w:style w:type="character" w:customStyle="1" w:styleId="fontstyle01">
    <w:name w:val="fontstyle01"/>
    <w:basedOn w:val="DefaultParagraphFont"/>
    <w:rsid w:val="00583A4D"/>
    <w:rPr>
      <w:rFonts w:ascii="AdvPSNBAS-R" w:hAnsi="AdvPSNBAS-R" w:hint="default"/>
      <w:b w:val="0"/>
      <w:bCs w:val="0"/>
      <w:i w:val="0"/>
      <w:iCs w:val="0"/>
      <w:color w:val="000000"/>
      <w:sz w:val="20"/>
      <w:szCs w:val="20"/>
    </w:rPr>
  </w:style>
  <w:style w:type="character" w:customStyle="1" w:styleId="UnresolvedMention2">
    <w:name w:val="Unresolved Mention2"/>
    <w:basedOn w:val="DefaultParagraphFont"/>
    <w:uiPriority w:val="99"/>
    <w:semiHidden/>
    <w:unhideWhenUsed/>
    <w:rsid w:val="00C50BF3"/>
    <w:rPr>
      <w:color w:val="605E5C"/>
      <w:shd w:val="clear" w:color="auto" w:fill="E1DFDD"/>
    </w:rPr>
  </w:style>
  <w:style w:type="table" w:styleId="PlainTable2">
    <w:name w:val="Plain Table 2"/>
    <w:basedOn w:val="TableNormal"/>
    <w:uiPriority w:val="42"/>
    <w:rsid w:val="00261F8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234402"/>
    <w:pPr>
      <w:spacing w:after="0"/>
    </w:pPr>
    <w:rPr>
      <w:rFonts w:asciiTheme="majorBidi" w:hAnsiTheme="majorBidi"/>
      <w:sz w:val="24"/>
    </w:rPr>
  </w:style>
  <w:style w:type="character" w:styleId="UnresolvedMention">
    <w:name w:val="Unresolved Mention"/>
    <w:basedOn w:val="DefaultParagraphFont"/>
    <w:uiPriority w:val="99"/>
    <w:semiHidden/>
    <w:unhideWhenUsed/>
    <w:rsid w:val="00B14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749">
      <w:bodyDiv w:val="1"/>
      <w:marLeft w:val="0"/>
      <w:marRight w:val="0"/>
      <w:marTop w:val="0"/>
      <w:marBottom w:val="0"/>
      <w:divBdr>
        <w:top w:val="none" w:sz="0" w:space="0" w:color="auto"/>
        <w:left w:val="none" w:sz="0" w:space="0" w:color="auto"/>
        <w:bottom w:val="none" w:sz="0" w:space="0" w:color="auto"/>
        <w:right w:val="none" w:sz="0" w:space="0" w:color="auto"/>
      </w:divBdr>
    </w:div>
    <w:div w:id="135533795">
      <w:bodyDiv w:val="1"/>
      <w:marLeft w:val="0"/>
      <w:marRight w:val="0"/>
      <w:marTop w:val="0"/>
      <w:marBottom w:val="0"/>
      <w:divBdr>
        <w:top w:val="none" w:sz="0" w:space="0" w:color="auto"/>
        <w:left w:val="none" w:sz="0" w:space="0" w:color="auto"/>
        <w:bottom w:val="none" w:sz="0" w:space="0" w:color="auto"/>
        <w:right w:val="none" w:sz="0" w:space="0" w:color="auto"/>
      </w:divBdr>
    </w:div>
    <w:div w:id="222108346">
      <w:bodyDiv w:val="1"/>
      <w:marLeft w:val="0"/>
      <w:marRight w:val="0"/>
      <w:marTop w:val="0"/>
      <w:marBottom w:val="0"/>
      <w:divBdr>
        <w:top w:val="none" w:sz="0" w:space="0" w:color="auto"/>
        <w:left w:val="none" w:sz="0" w:space="0" w:color="auto"/>
        <w:bottom w:val="none" w:sz="0" w:space="0" w:color="auto"/>
        <w:right w:val="none" w:sz="0" w:space="0" w:color="auto"/>
      </w:divBdr>
    </w:div>
    <w:div w:id="243148733">
      <w:bodyDiv w:val="1"/>
      <w:marLeft w:val="0"/>
      <w:marRight w:val="0"/>
      <w:marTop w:val="0"/>
      <w:marBottom w:val="0"/>
      <w:divBdr>
        <w:top w:val="none" w:sz="0" w:space="0" w:color="auto"/>
        <w:left w:val="none" w:sz="0" w:space="0" w:color="auto"/>
        <w:bottom w:val="none" w:sz="0" w:space="0" w:color="auto"/>
        <w:right w:val="none" w:sz="0" w:space="0" w:color="auto"/>
      </w:divBdr>
    </w:div>
    <w:div w:id="359480128">
      <w:bodyDiv w:val="1"/>
      <w:marLeft w:val="0"/>
      <w:marRight w:val="0"/>
      <w:marTop w:val="0"/>
      <w:marBottom w:val="0"/>
      <w:divBdr>
        <w:top w:val="none" w:sz="0" w:space="0" w:color="auto"/>
        <w:left w:val="none" w:sz="0" w:space="0" w:color="auto"/>
        <w:bottom w:val="none" w:sz="0" w:space="0" w:color="auto"/>
        <w:right w:val="none" w:sz="0" w:space="0" w:color="auto"/>
      </w:divBdr>
    </w:div>
    <w:div w:id="989941718">
      <w:bodyDiv w:val="1"/>
      <w:marLeft w:val="0"/>
      <w:marRight w:val="0"/>
      <w:marTop w:val="0"/>
      <w:marBottom w:val="0"/>
      <w:divBdr>
        <w:top w:val="none" w:sz="0" w:space="0" w:color="auto"/>
        <w:left w:val="none" w:sz="0" w:space="0" w:color="auto"/>
        <w:bottom w:val="none" w:sz="0" w:space="0" w:color="auto"/>
        <w:right w:val="none" w:sz="0" w:space="0" w:color="auto"/>
      </w:divBdr>
    </w:div>
    <w:div w:id="1121459023">
      <w:bodyDiv w:val="1"/>
      <w:marLeft w:val="0"/>
      <w:marRight w:val="0"/>
      <w:marTop w:val="0"/>
      <w:marBottom w:val="0"/>
      <w:divBdr>
        <w:top w:val="none" w:sz="0" w:space="0" w:color="auto"/>
        <w:left w:val="none" w:sz="0" w:space="0" w:color="auto"/>
        <w:bottom w:val="none" w:sz="0" w:space="0" w:color="auto"/>
        <w:right w:val="none" w:sz="0" w:space="0" w:color="auto"/>
      </w:divBdr>
    </w:div>
    <w:div w:id="1256475505">
      <w:bodyDiv w:val="1"/>
      <w:marLeft w:val="0"/>
      <w:marRight w:val="0"/>
      <w:marTop w:val="0"/>
      <w:marBottom w:val="0"/>
      <w:divBdr>
        <w:top w:val="none" w:sz="0" w:space="0" w:color="auto"/>
        <w:left w:val="none" w:sz="0" w:space="0" w:color="auto"/>
        <w:bottom w:val="none" w:sz="0" w:space="0" w:color="auto"/>
        <w:right w:val="none" w:sz="0" w:space="0" w:color="auto"/>
      </w:divBdr>
    </w:div>
    <w:div w:id="1301039474">
      <w:bodyDiv w:val="1"/>
      <w:marLeft w:val="0"/>
      <w:marRight w:val="0"/>
      <w:marTop w:val="0"/>
      <w:marBottom w:val="0"/>
      <w:divBdr>
        <w:top w:val="none" w:sz="0" w:space="0" w:color="auto"/>
        <w:left w:val="none" w:sz="0" w:space="0" w:color="auto"/>
        <w:bottom w:val="none" w:sz="0" w:space="0" w:color="auto"/>
        <w:right w:val="none" w:sz="0" w:space="0" w:color="auto"/>
      </w:divBdr>
    </w:div>
    <w:div w:id="1464927233">
      <w:bodyDiv w:val="1"/>
      <w:marLeft w:val="0"/>
      <w:marRight w:val="0"/>
      <w:marTop w:val="0"/>
      <w:marBottom w:val="0"/>
      <w:divBdr>
        <w:top w:val="none" w:sz="0" w:space="0" w:color="auto"/>
        <w:left w:val="none" w:sz="0" w:space="0" w:color="auto"/>
        <w:bottom w:val="none" w:sz="0" w:space="0" w:color="auto"/>
        <w:right w:val="none" w:sz="0" w:space="0" w:color="auto"/>
      </w:divBdr>
    </w:div>
    <w:div w:id="1468207440">
      <w:bodyDiv w:val="1"/>
      <w:marLeft w:val="0"/>
      <w:marRight w:val="0"/>
      <w:marTop w:val="0"/>
      <w:marBottom w:val="0"/>
      <w:divBdr>
        <w:top w:val="none" w:sz="0" w:space="0" w:color="auto"/>
        <w:left w:val="none" w:sz="0" w:space="0" w:color="auto"/>
        <w:bottom w:val="none" w:sz="0" w:space="0" w:color="auto"/>
        <w:right w:val="none" w:sz="0" w:space="0" w:color="auto"/>
      </w:divBdr>
    </w:div>
    <w:div w:id="1500074270">
      <w:bodyDiv w:val="1"/>
      <w:marLeft w:val="0"/>
      <w:marRight w:val="0"/>
      <w:marTop w:val="0"/>
      <w:marBottom w:val="0"/>
      <w:divBdr>
        <w:top w:val="none" w:sz="0" w:space="0" w:color="auto"/>
        <w:left w:val="none" w:sz="0" w:space="0" w:color="auto"/>
        <w:bottom w:val="none" w:sz="0" w:space="0" w:color="auto"/>
        <w:right w:val="none" w:sz="0" w:space="0" w:color="auto"/>
      </w:divBdr>
    </w:div>
    <w:div w:id="1650399193">
      <w:bodyDiv w:val="1"/>
      <w:marLeft w:val="0"/>
      <w:marRight w:val="0"/>
      <w:marTop w:val="0"/>
      <w:marBottom w:val="0"/>
      <w:divBdr>
        <w:top w:val="none" w:sz="0" w:space="0" w:color="auto"/>
        <w:left w:val="none" w:sz="0" w:space="0" w:color="auto"/>
        <w:bottom w:val="none" w:sz="0" w:space="0" w:color="auto"/>
        <w:right w:val="none" w:sz="0" w:space="0" w:color="auto"/>
      </w:divBdr>
    </w:div>
    <w:div w:id="1673996398">
      <w:bodyDiv w:val="1"/>
      <w:marLeft w:val="0"/>
      <w:marRight w:val="0"/>
      <w:marTop w:val="0"/>
      <w:marBottom w:val="0"/>
      <w:divBdr>
        <w:top w:val="none" w:sz="0" w:space="0" w:color="auto"/>
        <w:left w:val="none" w:sz="0" w:space="0" w:color="auto"/>
        <w:bottom w:val="none" w:sz="0" w:space="0" w:color="auto"/>
        <w:right w:val="none" w:sz="0" w:space="0" w:color="auto"/>
      </w:divBdr>
    </w:div>
    <w:div w:id="1855999413">
      <w:bodyDiv w:val="1"/>
      <w:marLeft w:val="0"/>
      <w:marRight w:val="0"/>
      <w:marTop w:val="0"/>
      <w:marBottom w:val="0"/>
      <w:divBdr>
        <w:top w:val="none" w:sz="0" w:space="0" w:color="auto"/>
        <w:left w:val="none" w:sz="0" w:space="0" w:color="auto"/>
        <w:bottom w:val="none" w:sz="0" w:space="0" w:color="auto"/>
        <w:right w:val="none" w:sz="0" w:space="0" w:color="auto"/>
      </w:divBdr>
    </w:div>
    <w:div w:id="1953243287">
      <w:bodyDiv w:val="1"/>
      <w:marLeft w:val="0"/>
      <w:marRight w:val="0"/>
      <w:marTop w:val="0"/>
      <w:marBottom w:val="0"/>
      <w:divBdr>
        <w:top w:val="none" w:sz="0" w:space="0" w:color="auto"/>
        <w:left w:val="none" w:sz="0" w:space="0" w:color="auto"/>
        <w:bottom w:val="none" w:sz="0" w:space="0" w:color="auto"/>
        <w:right w:val="none" w:sz="0" w:space="0" w:color="auto"/>
      </w:divBdr>
    </w:div>
    <w:div w:id="21386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2.emf"/><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mailto:gawai@wisc.edu" TargetMode="External"/><Relationship Id="rId2" Type="http://schemas.openxmlformats.org/officeDocument/2006/relationships/hyperlink" Target="mailto:jason.fletcher@wisc.edu" TargetMode="External"/><Relationship Id="rId1" Type="http://schemas.openxmlformats.org/officeDocument/2006/relationships/hyperlink" Target="mailto:valentina.duque@sydney.edu.au" TargetMode="External"/><Relationship Id="rId6" Type="http://schemas.openxmlformats.org/officeDocument/2006/relationships/hyperlink" Target="mailto:llschmitz@wisc.edu" TargetMode="External"/><Relationship Id="rId5" Type="http://schemas.openxmlformats.org/officeDocument/2006/relationships/hyperlink" Target="https://orcid.org/0000-0001-7868-2900" TargetMode="External"/><Relationship Id="rId4" Type="http://schemas.openxmlformats.org/officeDocument/2006/relationships/hyperlink" Target="mailto:noghanibeham@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BB10A50A28A58C4AB54D833A2C5328A5" ma:contentTypeVersion="0" ma:contentTypeDescription="Create a new document." ma:contentTypeScope="" ma:versionID="f485c2e03fd13a02d8baecb58d4a4908">
  <xsd:schema xmlns:xsd="http://www.w3.org/2001/XMLSchema" xmlns:xs="http://www.w3.org/2001/XMLSchema" xmlns:p="http://schemas.microsoft.com/office/2006/metadata/properties" targetNamespace="http://schemas.microsoft.com/office/2006/metadata/properties" ma:root="true" ma:fieldsID="ca4e516e22a5569de0258eaae2aa69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87026-DF56-484B-83F4-64D908F564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04BCD8-E48F-461F-A866-D97C5956E03D}">
  <ds:schemaRefs>
    <ds:schemaRef ds:uri="http://schemas.microsoft.com/sharepoint/v3/contenttype/forms"/>
  </ds:schemaRefs>
</ds:datastoreItem>
</file>

<file path=customXml/itemProps3.xml><?xml version="1.0" encoding="utf-8"?>
<ds:datastoreItem xmlns:ds="http://schemas.openxmlformats.org/officeDocument/2006/customXml" ds:itemID="{EF4BFEB0-89BA-4499-BEFE-39C30BD63AA9}">
  <ds:schemaRefs>
    <ds:schemaRef ds:uri="http://schemas.openxmlformats.org/officeDocument/2006/bibliography"/>
  </ds:schemaRefs>
</ds:datastoreItem>
</file>

<file path=customXml/itemProps4.xml><?xml version="1.0" encoding="utf-8"?>
<ds:datastoreItem xmlns:ds="http://schemas.openxmlformats.org/officeDocument/2006/customXml" ds:itemID="{5A47928F-B21E-4E5B-9A85-FB3FC3550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62</Pages>
  <Words>41401</Words>
  <Characters>235992</Characters>
  <Application>Microsoft Office Word</Application>
  <DocSecurity>0</DocSecurity>
  <Lines>1966</Lines>
  <Paragraphs>553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276840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VIKAS GAWAI</cp:lastModifiedBy>
  <cp:revision>9</cp:revision>
  <cp:lastPrinted>2022-10-10T14:59:00Z</cp:lastPrinted>
  <dcterms:created xsi:type="dcterms:W3CDTF">2023-02-23T16:55:00Z</dcterms:created>
  <dcterms:modified xsi:type="dcterms:W3CDTF">2023-08-21T19:06:00Z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2a010fac-5167-3652-ba43-065311f760c2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0x010100BB10A50A28A58C4AB54D833A2C5328A5</vt:lpwstr>
  </property>
</Properties>
</file>