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MFC Application structure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Event-driven programming in MFC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642B66" w:rsidRDefault="00F443CA" w:rsidP="00F443CA">
      <w:pPr>
        <w:numPr>
          <w:ilvl w:val="0"/>
          <w:numId w:val="2"/>
        </w:numPr>
        <w:rPr>
          <w:highlight w:val="yellow"/>
        </w:rPr>
      </w:pPr>
      <w:r w:rsidRPr="00642B66">
        <w:rPr>
          <w:b/>
          <w:bCs/>
          <w:highlight w:val="yellow"/>
        </w:rPr>
        <w:t>Introduction to Multithreading in Visual C++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Creating and managing threads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Synchronization techniques (mutex, semaphore, critical sections)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Thread safety and best practices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Interprocess Communication (IPC)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Named pipes and anonymous pipes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Shared memory techniques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91124"/>
    <w:rsid w:val="003241B6"/>
    <w:rsid w:val="003776A1"/>
    <w:rsid w:val="004166BC"/>
    <w:rsid w:val="00462F23"/>
    <w:rsid w:val="00642B66"/>
    <w:rsid w:val="006563EC"/>
    <w:rsid w:val="007050E5"/>
    <w:rsid w:val="00EA6620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7</cp:revision>
  <dcterms:created xsi:type="dcterms:W3CDTF">2025-02-19T08:26:00Z</dcterms:created>
  <dcterms:modified xsi:type="dcterms:W3CDTF">2025-03-17T07:03:00Z</dcterms:modified>
</cp:coreProperties>
</file>