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COVID-19 DIAGNOSTIC ASSESSMENT REPORT</w:t>
      </w:r>
    </w:p>
    <w:p>
      <w:pPr>
        <w:jc w:val="center"/>
      </w:pPr>
      <w:r>
        <w:rPr>
          <w:i/>
          <w:color w:val="64748B"/>
          <w:sz w:val="18"/>
        </w:rPr>
        <w:t>Generated by COVID-19 AI Clinical Diagnostics Engine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1"/>
              </w:rPr>
              <w:t>Report Reference ID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COVID-REPORT-004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Assessment Timestamp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2026-05-31 14:13:50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Patient Name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Integration Test Patient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Patient Age / Gender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28 y/o / Male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Diagnostic Outcome</w:t>
            </w:r>
          </w:p>
        </w:tc>
        <w:tc>
          <w:tcPr>
            <w:tcW w:type="dxa" w:w="4320"/>
          </w:tcPr>
          <w:p>
            <w:r>
              <w:rPr>
                <w:b/>
                <w:color w:val="EF4444"/>
                <w:sz w:val="21"/>
              </w:rPr>
              <w:t>Positive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AI Infection Probability</w:t>
            </w:r>
          </w:p>
        </w:tc>
        <w:tc>
          <w:tcPr>
            <w:tcW w:type="dxa" w:w="4320"/>
          </w:tcPr>
          <w:p>
            <w:r>
              <w:rPr>
                <w:b/>
                <w:sz w:val="21"/>
              </w:rPr>
              <w:t>67.1%</w:t>
            </w:r>
          </w:p>
        </w:tc>
      </w:tr>
    </w:tbl>
    <w:p>
      <w:r>
        <w:br/>
      </w:r>
    </w:p>
    <w:p>
      <w:pPr>
        <w:pStyle w:val="Heading2"/>
      </w:pPr>
      <w:r>
        <w:t>Logged Symptoms &amp; Exposure Profile:</w:t>
      </w:r>
    </w:p>
    <w:p>
      <w:pPr>
        <w:pStyle w:val="ListBullet"/>
      </w:pPr>
      <w:r>
        <w:t>Fever (Temperature &gt;= 38 C)</w:t>
      </w:r>
    </w:p>
    <w:p>
      <w:pPr>
        <w:pStyle w:val="ListBullet"/>
      </w:pPr>
      <w:r>
        <w:t>Dry Cough</w:t>
      </w:r>
    </w:p>
    <w:p>
      <w:pPr>
        <w:pStyle w:val="ListBullet"/>
      </w:pPr>
      <w:r>
        <w:t>Severe Headache</w:t>
      </w:r>
    </w:p>
    <w:p>
      <w:r>
        <w:rPr>
          <w:b/>
        </w:rPr>
        <w:t xml:space="preserve">Contact with Confirmed Case: </w:t>
      </w:r>
      <w:r>
        <w:rPr>
          <w:b/>
          <w:color w:val="F59E0B"/>
        </w:rPr>
        <w:t>Yes</w:t>
      </w:r>
    </w:p>
    <w:p>
      <w:r>
        <w:br/>
      </w:r>
    </w:p>
    <w:p>
      <w:pPr>
        <w:pStyle w:val="Heading2"/>
      </w:pPr>
      <w:r>
        <w:t>Clinical Guidance &amp; Recommendations:</w:t>
      </w:r>
    </w:p>
    <w:p>
      <w:pPr>
        <w:pStyle w:val="ListBullet"/>
      </w:pPr>
      <w:r>
        <w:t>Self-isolate immediately for at least 10 days or as per local guidelines.</w:t>
      </w:r>
    </w:p>
    <w:p>
      <w:pPr>
        <w:pStyle w:val="ListBullet"/>
      </w:pPr>
      <w:r>
        <w:t>Schedule a confirmatory RT-PCR lab test at the earliest.</w:t>
      </w:r>
    </w:p>
    <w:p>
      <w:pPr>
        <w:pStyle w:val="ListBullet"/>
      </w:pPr>
      <w:r>
        <w:t>Monitor oxygen levels regularly and consult a healthcare provider.</w:t>
      </w:r>
    </w:p>
    <w:p>
      <w:pPr>
        <w:pStyle w:val="ListBullet"/>
      </w:pPr>
      <w:r>
        <w:t>Inform anyone you have been in close contact with recently.</w:t>
      </w:r>
    </w:p>
    <w:p>
      <w:r>
        <w:br/>
        <w:br/>
      </w:r>
    </w:p>
    <w:p>
      <w:r>
        <w:rPr>
          <w:i/>
          <w:color w:val="94A3B8"/>
          <w:sz w:val="16"/>
        </w:rPr>
        <w:t>Disclaimer: This report was compiled by an artificial intelligence predictive classifier using symptom records. It does not represent a lab-certified PCR diagnosis. Please consult a medical practitioner if symptoms persist.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