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footer+xml" PartName="/word/footer2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00"/>
        <w:jc w:val="center"/>
      </w:pPr>
      <w:r>
        <w:rPr>
          <w:rFonts w:ascii="Arial" w:cs="Arial" w:eastAsia="Arial" w:hAnsi="Arial"/>
          <w:b/>
          <w:bCs/>
          <w:color w:val="2B6CB0"/>
          <w:spacing w:val="180"/>
          <w:sz w:val="20"/>
          <w:szCs w:val="20"/>
        </w:rPr>
        <w:t xml:space="preserve">PRODUCT REQUIREMENTS DOCUMENT</w:t>
      </w:r>
    </w:p>
    <w:p>
      <w:pPr>
        <w:spacing w:after="100"/>
      </w:pPr>
    </w:p>
    <w:p>
      <w:pPr>
        <w:spacing w:after="40"/>
        <w:jc w:val="center"/>
      </w:pPr>
      <w:r>
        <w:rPr>
          <w:rFonts w:ascii="Arial" w:cs="Arial" w:eastAsia="Arial" w:hAnsi="Arial"/>
          <w:b/>
          <w:bCs/>
          <w:color w:val="1A365D"/>
          <w:sz w:val="64"/>
          <w:szCs w:val="64"/>
        </w:rPr>
        <w:t xml:space="preserve">InvestIQ</w:t>
      </w:r>
    </w:p>
    <w:p>
      <w:pPr>
        <w:pBdr>
          <w:bottom w:val="single" w:color="2B6CB0" w:sz="6" w:space="12"/>
        </w:pBdr>
        <w:spacing w:after="60"/>
        <w:jc w:val="center"/>
      </w:pPr>
      <w:r>
        <w:rPr>
          <w:rFonts w:ascii="Arial" w:cs="Arial" w:eastAsia="Arial" w:hAnsi="Arial"/>
          <w:color w:val="718096"/>
          <w:sz w:val="26"/>
          <w:szCs w:val="26"/>
        </w:rPr>
        <w:t xml:space="preserve">AI-Powered Investment Intelligence Platform</w:t>
      </w:r>
    </w:p>
    <w:p>
      <w:pPr>
        <w:spacing w:after="300"/>
      </w:pPr>
    </w:p>
    <w:p>
      <w:pPr>
        <w:spacing w:after="60"/>
        <w:jc w:val="center"/>
      </w:pPr>
      <w:r>
        <w:rPr>
          <w:rFonts w:ascii="Arial" w:cs="Arial" w:eastAsia="Arial" w:hAnsi="Arial"/>
          <w:color w:val="718096"/>
          <w:sz w:val="20"/>
          <w:szCs w:val="20"/>
        </w:rPr>
        <w:t xml:space="preserve">Version 1.1 • March 2026 • Confidential</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B6CB0" w:sz="12"/>
              <w:bottom w:val="none" w:sz="0"/>
              <w:right w:val="none" w:sz="0"/>
            </w:tcBorders>
            <w:shd w:fill="EBF4FF" w:val="clear"/>
            <w:tcMar>
              <w:top w:type="dxa" w:w="120"/>
              <w:left w:type="dxa" w:w="200"/>
              <w:bottom w:type="dxa" w:w="120"/>
              <w:right w:type="dxa" w:w="200"/>
            </w:tcMar>
          </w:tcPr>
          <w:p>
            <w:r>
              <w:rPr>
                <w:rFonts w:ascii="Arial" w:cs="Arial" w:eastAsia="Arial" w:hAnsi="Arial"/>
                <w:i/>
                <w:iCs/>
                <w:color w:val="2B6CB0"/>
                <w:sz w:val="21"/>
                <w:szCs w:val="21"/>
              </w:rPr>
              <w:t xml:space="preserve">A smart middleware layer between investors and their broker accounts — connecting to Zerodha and Alpaca via official APIs, providing AI-driven portfolio analysis, risk management, and multi-mode trading intelligence built entirely on free and open-source data sources.</w:t>
            </w:r>
          </w:p>
        </w:tc>
      </w:tr>
    </w:tbl>
    <w:p>
      <w:pPr>
        <w:spacing w:after="200"/>
      </w:pPr>
    </w:p>
    <w:p>
      <w:pPr>
        <w:spacing w:after="80"/>
        <w:jc w:val="center"/>
      </w:pPr>
      <w:r>
        <w:rPr>
          <w:rFonts w:ascii="Arial" w:cs="Arial" w:eastAsia="Arial" w:hAnsi="Arial"/>
          <w:b/>
          <w:bCs/>
          <w:color w:val="1A202C"/>
          <w:sz w:val="20"/>
          <w:szCs w:val="20"/>
        </w:rPr>
        <w:t xml:space="preserve">Revision History</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3600"/>
      </w:tblGrid>
      <w:tr>
        <w:tc>
          <w:tcPr>
            <w:tcW w:type="dxa" w:w="12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12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36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Changes</w:t>
            </w:r>
          </w:p>
        </w:tc>
      </w:tr>
      <w:tr>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1.0</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Mar 2026</w:t>
            </w:r>
          </w:p>
        </w:tc>
        <w:tc>
          <w:tcPr>
            <w:tcW w:type="dxa" w:w="3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Initial draft</w:t>
            </w:r>
          </w:p>
        </w:tc>
      </w:tr>
      <w:tr>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1.1</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Mar 2026</w:t>
            </w:r>
          </w:p>
        </w:tc>
        <w:tc>
          <w:tcPr>
            <w:tcW w:type="dxa" w:w="3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MVP testing posture, market sessions, FX, risk meter formula, data caveats, LLM policy, auth resolution</w:t>
            </w:r>
          </w:p>
        </w:tc>
      </w:tr>
    </w:tbl>
    <w:p>
      <w:pPr>
        <w:spacing w:after="800"/>
      </w:pPr>
    </w:p>
    <w:p>
      <w:pPr>
        <w:jc w:val="center"/>
      </w:pPr>
      <w:r>
        <w:rPr>
          <w:rFonts w:ascii="Arial" w:cs="Arial" w:eastAsia="Arial" w:hAnsi="Arial"/>
          <w:i/>
          <w:iCs/>
          <w:color w:val="718096"/>
          <w:sz w:val="18"/>
          <w:szCs w:val="18"/>
        </w:rPr>
        <w:t xml:space="preserve">India (NSE/BSE via Zerodha) • United States (via Alpaca)</w:t>
      </w:r>
    </w:p>
    <w:p>
      <w:pPr>
        <w:sectPr>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A365D"/>
          <w:sz w:val="36"/>
          <w:szCs w:val="36"/>
        </w:rPr>
        <w:t xml:space="preserve">Table of Contents</w:t>
      </w:r>
    </w:p>
    <w:p>
      <w:pPr>
        <w:spacing w:after="80"/>
      </w:pPr>
    </w:p>
    <w:p>
      <w:pPr>
        <w:spacing w:after="90"/>
      </w:pPr>
      <w:r>
        <w:rPr>
          <w:rFonts w:ascii="Arial" w:cs="Arial" w:eastAsia="Arial" w:hAnsi="Arial"/>
          <w:color w:val="1A202C"/>
          <w:sz w:val="22"/>
          <w:szCs w:val="22"/>
        </w:rPr>
        <w:t xml:space="preserve">1. Executive Summary</w:t>
      </w:r>
    </w:p>
    <w:p>
      <w:pPr>
        <w:spacing w:after="90"/>
      </w:pPr>
      <w:r>
        <w:rPr>
          <w:rFonts w:ascii="Arial" w:cs="Arial" w:eastAsia="Arial" w:hAnsi="Arial"/>
          <w:color w:val="1A202C"/>
          <w:sz w:val="22"/>
          <w:szCs w:val="22"/>
        </w:rPr>
        <w:t xml:space="preserve">2. Product Vision &amp; Scope</w:t>
      </w:r>
    </w:p>
    <w:p>
      <w:pPr>
        <w:spacing w:after="90"/>
      </w:pPr>
      <w:r>
        <w:rPr>
          <w:rFonts w:ascii="Arial" w:cs="Arial" w:eastAsia="Arial" w:hAnsi="Arial"/>
          <w:color w:val="1A202C"/>
          <w:sz w:val="22"/>
          <w:szCs w:val="22"/>
        </w:rPr>
        <w:t xml:space="preserve">3. Target Users &amp; Personas</w:t>
      </w:r>
    </w:p>
    <w:p>
      <w:pPr>
        <w:spacing w:after="90"/>
      </w:pPr>
      <w:r>
        <w:rPr>
          <w:rFonts w:ascii="Arial" w:cs="Arial" w:eastAsia="Arial" w:hAnsi="Arial"/>
          <w:color w:val="1A202C"/>
          <w:sz w:val="22"/>
          <w:szCs w:val="22"/>
        </w:rPr>
        <w:t xml:space="preserve">4. System Architecture Overview</w:t>
      </w:r>
    </w:p>
    <w:p>
      <w:pPr>
        <w:spacing w:after="90"/>
      </w:pPr>
      <w:r>
        <w:rPr>
          <w:rFonts w:ascii="Arial" w:cs="Arial" w:eastAsia="Arial" w:hAnsi="Arial"/>
          <w:color w:val="1A202C"/>
          <w:sz w:val="22"/>
          <w:szCs w:val="22"/>
        </w:rPr>
        <w:t xml:space="preserve">5. Broker Integration Layer</w:t>
      </w:r>
    </w:p>
    <w:p>
      <w:pPr>
        <w:spacing w:after="90"/>
      </w:pPr>
      <w:r>
        <w:rPr>
          <w:rFonts w:ascii="Arial" w:cs="Arial" w:eastAsia="Arial" w:hAnsi="Arial"/>
          <w:color w:val="1A202C"/>
          <w:sz w:val="22"/>
          <w:szCs w:val="22"/>
        </w:rPr>
        <w:t xml:space="preserve">6. Market Sessions &amp; Scheduling</w:t>
      </w:r>
    </w:p>
    <w:p>
      <w:pPr>
        <w:spacing w:after="90"/>
      </w:pPr>
      <w:r>
        <w:rPr>
          <w:rFonts w:ascii="Arial" w:cs="Arial" w:eastAsia="Arial" w:hAnsi="Arial"/>
          <w:color w:val="1A202C"/>
          <w:sz w:val="22"/>
          <w:szCs w:val="22"/>
        </w:rPr>
        <w:t xml:space="preserve">7. Core Data Layer (Free-Only Stack)</w:t>
      </w:r>
    </w:p>
    <w:p>
      <w:pPr>
        <w:spacing w:after="90"/>
      </w:pPr>
      <w:r>
        <w:rPr>
          <w:rFonts w:ascii="Arial" w:cs="Arial" w:eastAsia="Arial" w:hAnsi="Arial"/>
          <w:color w:val="1A202C"/>
          <w:sz w:val="22"/>
          <w:szCs w:val="22"/>
        </w:rPr>
        <w:t xml:space="preserve">8. Free Data: Productization Caveats</w:t>
      </w:r>
    </w:p>
    <w:p>
      <w:pPr>
        <w:spacing w:after="90"/>
      </w:pPr>
      <w:r>
        <w:rPr>
          <w:rFonts w:ascii="Arial" w:cs="Arial" w:eastAsia="Arial" w:hAnsi="Arial"/>
          <w:color w:val="1A202C"/>
          <w:sz w:val="22"/>
          <w:szCs w:val="22"/>
        </w:rPr>
        <w:t xml:space="preserve">9. AI &amp; Analysis Engine</w:t>
      </w:r>
    </w:p>
    <w:p>
      <w:pPr>
        <w:spacing w:after="90"/>
      </w:pPr>
      <w:r>
        <w:rPr>
          <w:rFonts w:ascii="Arial" w:cs="Arial" w:eastAsia="Arial" w:hAnsi="Arial"/>
          <w:color w:val="1A202C"/>
          <w:sz w:val="22"/>
          <w:szCs w:val="22"/>
        </w:rPr>
        <w:t xml:space="preserve">10. LLM &amp; Explanation Policy</w:t>
      </w:r>
    </w:p>
    <w:p>
      <w:pPr>
        <w:spacing w:after="90"/>
      </w:pPr>
      <w:r>
        <w:rPr>
          <w:rFonts w:ascii="Arial" w:cs="Arial" w:eastAsia="Arial" w:hAnsi="Arial"/>
          <w:color w:val="1A202C"/>
          <w:sz w:val="22"/>
          <w:szCs w:val="22"/>
        </w:rPr>
        <w:t xml:space="preserve">11. Operating Modes</w:t>
      </w:r>
    </w:p>
    <w:p>
      <w:pPr>
        <w:spacing w:after="90"/>
      </w:pPr>
      <w:r>
        <w:rPr>
          <w:rFonts w:ascii="Arial" w:cs="Arial" w:eastAsia="Arial" w:hAnsi="Arial"/>
          <w:color w:val="1A202C"/>
          <w:sz w:val="22"/>
          <w:szCs w:val="22"/>
        </w:rPr>
        <w:t xml:space="preserve">12. Risk Meter &amp; Portfolio Health</w:t>
      </w:r>
    </w:p>
    <w:p>
      <w:pPr>
        <w:spacing w:after="90"/>
      </w:pPr>
      <w:r>
        <w:rPr>
          <w:rFonts w:ascii="Arial" w:cs="Arial" w:eastAsia="Arial" w:hAnsi="Arial"/>
          <w:color w:val="1A202C"/>
          <w:sz w:val="22"/>
          <w:szCs w:val="22"/>
        </w:rPr>
        <w:t xml:space="preserve">13. FX &amp; Base Currency</w:t>
      </w:r>
    </w:p>
    <w:p>
      <w:pPr>
        <w:spacing w:after="90"/>
      </w:pPr>
      <w:r>
        <w:rPr>
          <w:rFonts w:ascii="Arial" w:cs="Arial" w:eastAsia="Arial" w:hAnsi="Arial"/>
          <w:color w:val="1A202C"/>
          <w:sz w:val="22"/>
          <w:szCs w:val="22"/>
        </w:rPr>
        <w:t xml:space="preserve">14. Safety &amp; Risk Architecture</w:t>
      </w:r>
    </w:p>
    <w:p>
      <w:pPr>
        <w:spacing w:after="90"/>
      </w:pPr>
      <w:r>
        <w:rPr>
          <w:rFonts w:ascii="Arial" w:cs="Arial" w:eastAsia="Arial" w:hAnsi="Arial"/>
          <w:color w:val="1A202C"/>
          <w:sz w:val="22"/>
          <w:szCs w:val="22"/>
        </w:rPr>
        <w:t xml:space="preserve">15. User Experience</w:t>
      </w:r>
    </w:p>
    <w:p>
      <w:pPr>
        <w:spacing w:after="90"/>
      </w:pPr>
      <w:r>
        <w:rPr>
          <w:rFonts w:ascii="Arial" w:cs="Arial" w:eastAsia="Arial" w:hAnsi="Arial"/>
          <w:color w:val="1A202C"/>
          <w:sz w:val="22"/>
          <w:szCs w:val="22"/>
        </w:rPr>
        <w:t xml:space="preserve">16. Monetization Strategy</w:t>
      </w:r>
    </w:p>
    <w:p>
      <w:pPr>
        <w:spacing w:after="90"/>
      </w:pPr>
      <w:r>
        <w:rPr>
          <w:rFonts w:ascii="Arial" w:cs="Arial" w:eastAsia="Arial" w:hAnsi="Arial"/>
          <w:color w:val="1A202C"/>
          <w:sz w:val="22"/>
          <w:szCs w:val="22"/>
        </w:rPr>
        <w:t xml:space="preserve">17. Development Roadmap</w:t>
      </w:r>
    </w:p>
    <w:p>
      <w:pPr>
        <w:spacing w:after="90"/>
      </w:pPr>
      <w:r>
        <w:rPr>
          <w:rFonts w:ascii="Arial" w:cs="Arial" w:eastAsia="Arial" w:hAnsi="Arial"/>
          <w:color w:val="1A202C"/>
          <w:sz w:val="22"/>
          <w:szCs w:val="22"/>
        </w:rPr>
        <w:t xml:space="preserve">18. Regulatory Considerations</w:t>
      </w:r>
    </w:p>
    <w:p>
      <w:pPr>
        <w:spacing w:after="90"/>
      </w:pPr>
      <w:r>
        <w:rPr>
          <w:rFonts w:ascii="Arial" w:cs="Arial" w:eastAsia="Arial" w:hAnsi="Arial"/>
          <w:color w:val="1A202C"/>
          <w:sz w:val="22"/>
          <w:szCs w:val="22"/>
        </w:rPr>
        <w:t xml:space="preserve">19. Success Metrics</w:t>
      </w:r>
    </w:p>
    <w:p>
      <w:pPr>
        <w:spacing w:after="90"/>
      </w:pPr>
      <w:r>
        <w:rPr>
          <w:rFonts w:ascii="Arial" w:cs="Arial" w:eastAsia="Arial" w:hAnsi="Arial"/>
          <w:color w:val="1A202C"/>
          <w:sz w:val="22"/>
          <w:szCs w:val="22"/>
        </w:rPr>
        <w:t xml:space="preserve">20. Risks &amp; Mitigations</w:t>
      </w:r>
    </w:p>
    <w:p>
      <w:pPr>
        <w:spacing w:after="90"/>
      </w:pPr>
      <w:r>
        <w:rPr>
          <w:rFonts w:ascii="Arial" w:cs="Arial" w:eastAsia="Arial" w:hAnsi="Arial"/>
          <w:color w:val="1A202C"/>
          <w:sz w:val="22"/>
          <w:szCs w:val="22"/>
        </w:rPr>
        <w:t xml:space="preserve">21. Open Questions</w:t>
      </w:r>
    </w:p>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A365D"/>
          <w:sz w:val="36"/>
          <w:szCs w:val="36"/>
        </w:rPr>
        <w:t xml:space="preserve">1. Executive Summary</w:t>
      </w:r>
    </w:p>
    <w:p>
      <w:pPr>
        <w:spacing w:after="120"/>
      </w:pPr>
      <w:r>
        <w:rPr>
          <w:rFonts w:ascii="Arial" w:cs="Arial" w:eastAsia="Arial" w:hAnsi="Arial"/>
          <w:color w:val="4A5568"/>
          <w:sz w:val="21"/>
          <w:szCs w:val="21"/>
        </w:rPr>
        <w:t xml:space="preserve">InvestIQ is an AI-powered investment intelligence platform that acts as a smart middleware layer between retail/active traders and their existing brokerage accounts. It is not a broker — it connects to Zerodha (India) and Alpaca (US) via their official APIs using OAuth-based authentication.</w:t>
      </w:r>
    </w:p>
    <w:p>
      <w:pPr>
        <w:spacing w:after="120"/>
      </w:pPr>
      <w:r>
        <w:rPr>
          <w:rFonts w:ascii="Arial" w:cs="Arial" w:eastAsia="Arial" w:hAnsi="Arial"/>
          <w:color w:val="4A5568"/>
          <w:sz w:val="21"/>
          <w:szCs w:val="21"/>
        </w:rPr>
        <w:t xml:space="preserve">The platform aggregates market data exclusively from free and open-source providers, applies technical, fundamental, and sentiment analysis through a hybrid engine (classical math + open-source ML + optional LLM), and operates across five modes — from passive portfolio intelligence to fully automated trading with strict safety guardrails.</w:t>
      </w:r>
    </w:p>
    <w:p>
      <w:pPr>
        <w:spacing w:after="40"/>
      </w:pPr>
    </w:p>
    <w:p>
      <w:pPr>
        <w:pStyle w:val="Heading2"/>
        <w:spacing w:before="300" w:after="160"/>
      </w:pPr>
      <w:r>
        <w:rPr>
          <w:rFonts w:ascii="Arial" w:cs="Arial" w:eastAsia="Arial" w:hAnsi="Arial"/>
          <w:b/>
          <w:bCs/>
          <w:color w:val="2B6CB0"/>
          <w:sz w:val="28"/>
          <w:szCs w:val="28"/>
        </w:rPr>
        <w:t xml:space="preserve">1.1 Key Differentiators</w:t>
      </w:r>
    </w:p>
    <w:p>
      <w:pPr>
        <w:pStyle w:val="ListParagraph"/>
        <w:numPr>
          <w:ilvl w:val="0"/>
          <w:numId w:val="2"/>
        </w:numPr>
        <w:spacing w:after="60"/>
      </w:pPr>
      <w:r>
        <w:rPr>
          <w:rFonts w:ascii="Arial" w:cs="Arial" w:eastAsia="Arial" w:hAnsi="Arial"/>
          <w:b/>
          <w:bCs/>
          <w:color w:val="4A5568"/>
          <w:sz w:val="21"/>
          <w:szCs w:val="21"/>
        </w:rPr>
        <w:t xml:space="preserve">Middleware, not broker: </w:t>
      </w:r>
      <w:r>
        <w:rPr>
          <w:rFonts w:ascii="Arial" w:cs="Arial" w:eastAsia="Arial" w:hAnsi="Arial"/>
          <w:color w:val="4A5568"/>
          <w:sz w:val="21"/>
          <w:szCs w:val="21"/>
        </w:rPr>
        <w:t xml:space="preserve">No custody of funds. No broker-dealer overhead.</w:t>
      </w:r>
    </w:p>
    <w:p>
      <w:pPr>
        <w:pStyle w:val="ListParagraph"/>
        <w:numPr>
          <w:ilvl w:val="0"/>
          <w:numId w:val="2"/>
        </w:numPr>
        <w:spacing w:after="60"/>
      </w:pPr>
      <w:r>
        <w:rPr>
          <w:rFonts w:ascii="Arial" w:cs="Arial" w:eastAsia="Arial" w:hAnsi="Arial"/>
          <w:b/>
          <w:bCs/>
          <w:color w:val="4A5568"/>
          <w:sz w:val="21"/>
          <w:szCs w:val="21"/>
        </w:rPr>
        <w:t xml:space="preserve">Zero data cost (Phase 1): </w:t>
      </w:r>
      <w:r>
        <w:rPr>
          <w:rFonts w:ascii="Arial" w:cs="Arial" w:eastAsia="Arial" w:hAnsi="Arial"/>
          <w:color w:val="4A5568"/>
          <w:sz w:val="21"/>
          <w:szCs w:val="21"/>
        </w:rPr>
        <w:t xml:space="preserve">All data from free sources (with documented caveats — see Section 8).</w:t>
      </w:r>
    </w:p>
    <w:p>
      <w:pPr>
        <w:pStyle w:val="ListParagraph"/>
        <w:numPr>
          <w:ilvl w:val="0"/>
          <w:numId w:val="2"/>
        </w:numPr>
        <w:spacing w:after="60"/>
      </w:pPr>
      <w:r>
        <w:rPr>
          <w:rFonts w:ascii="Arial" w:cs="Arial" w:eastAsia="Arial" w:hAnsi="Arial"/>
          <w:b/>
          <w:bCs/>
          <w:color w:val="4A5568"/>
          <w:sz w:val="21"/>
          <w:szCs w:val="21"/>
        </w:rPr>
        <w:t xml:space="preserve">Deterministic-first AI: </w:t>
      </w:r>
      <w:r>
        <w:rPr>
          <w:rFonts w:ascii="Arial" w:cs="Arial" w:eastAsia="Arial" w:hAnsi="Arial"/>
          <w:color w:val="4A5568"/>
          <w:sz w:val="21"/>
          <w:szCs w:val="21"/>
        </w:rPr>
        <w:t xml:space="preserve">All analysis is reproducible math/rules. LLM explanations are optional, never required.</w:t>
      </w:r>
    </w:p>
    <w:p>
      <w:pPr>
        <w:pStyle w:val="ListParagraph"/>
        <w:numPr>
          <w:ilvl w:val="0"/>
          <w:numId w:val="2"/>
        </w:numPr>
        <w:spacing w:after="60"/>
      </w:pPr>
      <w:r>
        <w:rPr>
          <w:rFonts w:ascii="Arial" w:cs="Arial" w:eastAsia="Arial" w:hAnsi="Arial"/>
          <w:b/>
          <w:bCs/>
          <w:color w:val="4A5568"/>
          <w:sz w:val="21"/>
          <w:szCs w:val="21"/>
        </w:rPr>
        <w:t xml:space="preserve">Dual-market: </w:t>
      </w:r>
      <w:r>
        <w:rPr>
          <w:rFonts w:ascii="Arial" w:cs="Arial" w:eastAsia="Arial" w:hAnsi="Arial"/>
          <w:color w:val="4A5568"/>
          <w:sz w:val="21"/>
          <w:szCs w:val="21"/>
        </w:rPr>
        <w:t xml:space="preserve">India + US with session-aware scheduling.</w:t>
      </w:r>
    </w:p>
    <w:p>
      <w:pPr>
        <w:pStyle w:val="ListParagraph"/>
        <w:numPr>
          <w:ilvl w:val="0"/>
          <w:numId w:val="2"/>
        </w:numPr>
        <w:spacing w:after="60"/>
      </w:pPr>
      <w:r>
        <w:rPr>
          <w:rFonts w:ascii="Arial" w:cs="Arial" w:eastAsia="Arial" w:hAnsi="Arial"/>
          <w:b/>
          <w:bCs/>
          <w:color w:val="4A5568"/>
          <w:sz w:val="21"/>
          <w:szCs w:val="21"/>
        </w:rPr>
        <w:t xml:space="preserve">Safety-first: </w:t>
      </w:r>
      <w:r>
        <w:rPr>
          <w:rFonts w:ascii="Arial" w:cs="Arial" w:eastAsia="Arial" w:hAnsi="Arial"/>
          <w:color w:val="4A5568"/>
          <w:sz w:val="21"/>
          <w:szCs w:val="21"/>
        </w:rPr>
        <w:t xml:space="preserve">Kill switch, loss limits, position sizing built into core. MVP is strictly read-only.</w:t>
      </w:r>
    </w:p>
    <w:p>
      <w:pPr>
        <w:pStyle w:val="ListParagraph"/>
        <w:numPr>
          <w:ilvl w:val="0"/>
          <w:numId w:val="2"/>
        </w:numPr>
        <w:spacing w:after="60"/>
      </w:pPr>
      <w:r>
        <w:rPr>
          <w:rFonts w:ascii="Arial" w:cs="Arial" w:eastAsia="Arial" w:hAnsi="Arial"/>
          <w:b/>
          <w:bCs/>
          <w:color w:val="4A5568"/>
          <w:sz w:val="21"/>
          <w:szCs w:val="21"/>
        </w:rPr>
        <w:t xml:space="preserve">Live accounts: </w:t>
      </w:r>
      <w:r>
        <w:rPr>
          <w:rFonts w:ascii="Arial" w:cs="Arial" w:eastAsia="Arial" w:hAnsi="Arial"/>
          <w:color w:val="4A5568"/>
          <w:sz w:val="21"/>
          <w:szCs w:val="21"/>
        </w:rPr>
        <w:t xml:space="preserve">Developer has active Zerodha and Alpaca accounts for real API testing.</w:t>
      </w:r>
    </w:p>
    <w:p>
      <w:pPr>
        <w:spacing w:after="40"/>
      </w:pPr>
    </w:p>
    <w:p>
      <w:pPr>
        <w:pStyle w:val="Heading2"/>
        <w:spacing w:before="300" w:after="160"/>
      </w:pPr>
      <w:r>
        <w:rPr>
          <w:rFonts w:ascii="Arial" w:cs="Arial" w:eastAsia="Arial" w:hAnsi="Arial"/>
          <w:b/>
          <w:bCs/>
          <w:color w:val="2B6CB0"/>
          <w:sz w:val="28"/>
          <w:szCs w:val="28"/>
        </w:rPr>
        <w:t xml:space="preserve">1.2 MVP Testing Posture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B6CB0" w:sz="12"/>
              <w:bottom w:val="none" w:sz="0"/>
              <w:right w:val="none" w:sz="0"/>
            </w:tcBorders>
            <w:shd w:fill="EBF4FF" w:val="clear"/>
            <w:tcMar>
              <w:top w:type="dxa" w:w="120"/>
              <w:left w:type="dxa" w:w="200"/>
              <w:bottom w:type="dxa" w:w="120"/>
              <w:right w:type="dxa" w:w="200"/>
            </w:tcMar>
          </w:tcPr>
          <w:p>
            <w:r>
              <w:rPr>
                <w:rFonts w:ascii="Arial" w:cs="Arial" w:eastAsia="Arial" w:hAnsi="Arial"/>
                <w:i/>
                <w:iCs/>
                <w:color w:val="2B6CB0"/>
                <w:sz w:val="21"/>
                <w:szCs w:val="21"/>
              </w:rPr>
              <w:t xml:space="preserve">MVP default: Alpaca paper trading. All features are validated against Alpaca’s paper trading environment before any live broker interaction. Zerodha can be connected for portfolio sync but operates in “limited mode” until the user completes daily login (Kite token expires daily). No write operations to any broker in MVP.</w:t>
            </w:r>
          </w:p>
        </w:tc>
      </w:tr>
    </w:tbl>
    <w:p>
      <w:pPr>
        <w:sectPr>
          <w:headerReference w:type="default" r:id="rId8"/>
          <w:footerReference w:type="default" r:id="rId9"/>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A365D"/>
          <w:sz w:val="36"/>
          <w:szCs w:val="36"/>
        </w:rPr>
        <w:t xml:space="preserve">2. Product Vision &amp; Scope</w:t>
      </w:r>
    </w:p>
    <w:p>
      <w:pPr>
        <w:pStyle w:val="Heading2"/>
        <w:spacing w:before="300" w:after="160"/>
      </w:pPr>
      <w:r>
        <w:rPr>
          <w:rFonts w:ascii="Arial" w:cs="Arial" w:eastAsia="Arial" w:hAnsi="Arial"/>
          <w:b/>
          <w:bCs/>
          <w:color w:val="2B6CB0"/>
          <w:sz w:val="28"/>
          <w:szCs w:val="28"/>
        </w:rPr>
        <w:t xml:space="preserve">2.1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B6CB0" w:sz="12"/>
              <w:bottom w:val="none" w:sz="0"/>
              <w:right w:val="none" w:sz="0"/>
            </w:tcBorders>
            <w:shd w:fill="EBF4FF" w:val="clear"/>
            <w:tcMar>
              <w:top w:type="dxa" w:w="120"/>
              <w:left w:type="dxa" w:w="200"/>
              <w:bottom w:type="dxa" w:w="120"/>
              <w:right w:type="dxa" w:w="200"/>
            </w:tcMar>
          </w:tcPr>
          <w:p>
            <w:r>
              <w:rPr>
                <w:rFonts w:ascii="Arial" w:cs="Arial" w:eastAsia="Arial" w:hAnsi="Arial"/>
                <w:i/>
                <w:iCs/>
                <w:color w:val="2B6CB0"/>
                <w:sz w:val="21"/>
                <w:szCs w:val="21"/>
              </w:rPr>
              <w:t xml:space="preserve">Make institutional-grade investment intelligence accessible to every trader — through an AI layer that connects to the broker they already trust.</w:t>
            </w:r>
          </w:p>
        </w:tc>
      </w:tr>
    </w:tbl>
    <w:p>
      <w:pPr>
        <w:spacing w:after="40"/>
      </w:pPr>
    </w:p>
    <w:p>
      <w:pPr>
        <w:pStyle w:val="Heading2"/>
        <w:spacing w:before="300" w:after="160"/>
      </w:pPr>
      <w:r>
        <w:rPr>
          <w:rFonts w:ascii="Arial" w:cs="Arial" w:eastAsia="Arial" w:hAnsi="Arial"/>
          <w:b/>
          <w:bCs/>
          <w:color w:val="2B6CB0"/>
          <w:sz w:val="28"/>
          <w:szCs w:val="28"/>
        </w:rPr>
        <w:t xml:space="preserve">2.2 In Scope (MVP)</w:t>
      </w:r>
    </w:p>
    <w:p>
      <w:pPr>
        <w:pStyle w:val="ListParagraph"/>
        <w:numPr>
          <w:ilvl w:val="0"/>
          <w:numId w:val="3"/>
        </w:numPr>
        <w:spacing w:after="60"/>
      </w:pPr>
      <w:r>
        <w:rPr>
          <w:rFonts w:ascii="Arial" w:cs="Arial" w:eastAsia="Arial" w:hAnsi="Arial"/>
          <w:color w:val="4A5568"/>
          <w:sz w:val="21"/>
          <w:szCs w:val="21"/>
        </w:rPr>
        <w:t xml:space="preserve">Broker connectivity: Alpaca (paper trading default) + Zerodha (sync-only, limited mode)</w:t>
      </w:r>
    </w:p>
    <w:p>
      <w:pPr>
        <w:pStyle w:val="ListParagraph"/>
        <w:numPr>
          <w:ilvl w:val="0"/>
          <w:numId w:val="3"/>
        </w:numPr>
        <w:spacing w:after="60"/>
      </w:pPr>
      <w:r>
        <w:rPr>
          <w:rFonts w:ascii="Arial" w:cs="Arial" w:eastAsia="Arial" w:hAnsi="Arial"/>
          <w:color w:val="4A5568"/>
          <w:sz w:val="21"/>
          <w:szCs w:val="21"/>
        </w:rPr>
        <w:t xml:space="preserve">Portfolio sync: positions, orders, balances, trade history — READ-ONLY, no write operations</w:t>
      </w:r>
    </w:p>
    <w:p>
      <w:pPr>
        <w:pStyle w:val="ListParagraph"/>
        <w:numPr>
          <w:ilvl w:val="0"/>
          <w:numId w:val="3"/>
        </w:numPr>
        <w:spacing w:after="60"/>
      </w:pPr>
      <w:r>
        <w:rPr>
          <w:rFonts w:ascii="Arial" w:cs="Arial" w:eastAsia="Arial" w:hAnsi="Arial"/>
          <w:color w:val="4A5568"/>
          <w:sz w:val="21"/>
          <w:szCs w:val="21"/>
        </w:rPr>
        <w:t xml:space="preserve">Market data: Alpaca free real-time (US), Yahoo Finance historical (with caveats)</w:t>
      </w:r>
    </w:p>
    <w:p>
      <w:pPr>
        <w:pStyle w:val="ListParagraph"/>
        <w:numPr>
          <w:ilvl w:val="0"/>
          <w:numId w:val="3"/>
        </w:numPr>
        <w:spacing w:after="60"/>
      </w:pPr>
      <w:r>
        <w:rPr>
          <w:rFonts w:ascii="Arial" w:cs="Arial" w:eastAsia="Arial" w:hAnsi="Arial"/>
          <w:color w:val="4A5568"/>
          <w:sz w:val="21"/>
          <w:szCs w:val="21"/>
        </w:rPr>
        <w:t xml:space="preserve">Technical analysis: RSI, MACD, SMA/EMA, Bollinger Bands, ATR via pandas-ta</w:t>
      </w:r>
    </w:p>
    <w:p>
      <w:pPr>
        <w:pStyle w:val="ListParagraph"/>
        <w:numPr>
          <w:ilvl w:val="0"/>
          <w:numId w:val="3"/>
        </w:numPr>
        <w:spacing w:after="60"/>
      </w:pPr>
      <w:r>
        <w:rPr>
          <w:rFonts w:ascii="Arial" w:cs="Arial" w:eastAsia="Arial" w:hAnsi="Arial"/>
          <w:color w:val="4A5568"/>
          <w:sz w:val="21"/>
          <w:szCs w:val="21"/>
        </w:rPr>
        <w:t xml:space="preserve">Basic fundamentals: P/E, revenue, earnings via Yahoo Finance + SEC EDGAR</w:t>
      </w:r>
    </w:p>
    <w:p>
      <w:pPr>
        <w:pStyle w:val="ListParagraph"/>
        <w:numPr>
          <w:ilvl w:val="0"/>
          <w:numId w:val="3"/>
        </w:numPr>
        <w:spacing w:after="60"/>
      </w:pPr>
      <w:r>
        <w:rPr>
          <w:rFonts w:ascii="Arial" w:cs="Arial" w:eastAsia="Arial" w:hAnsi="Arial"/>
          <w:color w:val="4A5568"/>
          <w:sz w:val="21"/>
          <w:szCs w:val="21"/>
        </w:rPr>
        <w:t xml:space="preserve">News + sentiment: GNews free tier + FinBERT (local, open-source)</w:t>
      </w:r>
    </w:p>
    <w:p>
      <w:pPr>
        <w:pStyle w:val="ListParagraph"/>
        <w:numPr>
          <w:ilvl w:val="0"/>
          <w:numId w:val="3"/>
        </w:numPr>
        <w:spacing w:after="60"/>
      </w:pPr>
      <w:r>
        <w:rPr>
          <w:rFonts w:ascii="Arial" w:cs="Arial" w:eastAsia="Arial" w:hAnsi="Arial"/>
          <w:color w:val="4A5568"/>
          <w:sz w:val="21"/>
          <w:szCs w:val="21"/>
        </w:rPr>
        <w:t xml:space="preserve">Recommendation Mode (A): deterministic AI suggestions with confidence scores</w:t>
      </w:r>
    </w:p>
    <w:p>
      <w:pPr>
        <w:pStyle w:val="ListParagraph"/>
        <w:numPr>
          <w:ilvl w:val="0"/>
          <w:numId w:val="3"/>
        </w:numPr>
        <w:spacing w:after="60"/>
      </w:pPr>
      <w:r>
        <w:rPr>
          <w:rFonts w:ascii="Arial" w:cs="Arial" w:eastAsia="Arial" w:hAnsi="Arial"/>
          <w:color w:val="4A5568"/>
          <w:sz w:val="21"/>
          <w:szCs w:val="21"/>
        </w:rPr>
        <w:t xml:space="preserve">Portfolio Intelligence (D): diversification, sector allocation, risk concentration</w:t>
      </w:r>
    </w:p>
    <w:p>
      <w:pPr>
        <w:pStyle w:val="ListParagraph"/>
        <w:numPr>
          <w:ilvl w:val="0"/>
          <w:numId w:val="3"/>
        </w:numPr>
        <w:spacing w:after="60"/>
      </w:pPr>
      <w:r>
        <w:rPr>
          <w:rFonts w:ascii="Arial" w:cs="Arial" w:eastAsia="Arial" w:hAnsi="Arial"/>
          <w:color w:val="4A5568"/>
          <w:sz w:val="21"/>
          <w:szCs w:val="21"/>
        </w:rPr>
        <w:t xml:space="preserve">Risk Guardian (E): alerts for volatility, earnings, macro events</w:t>
      </w:r>
    </w:p>
    <w:p>
      <w:pPr>
        <w:pStyle w:val="ListParagraph"/>
        <w:numPr>
          <w:ilvl w:val="0"/>
          <w:numId w:val="3"/>
        </w:numPr>
        <w:spacing w:after="60"/>
      </w:pPr>
      <w:r>
        <w:rPr>
          <w:rFonts w:ascii="Arial" w:cs="Arial" w:eastAsia="Arial" w:hAnsi="Arial"/>
          <w:color w:val="4A5568"/>
          <w:sz w:val="21"/>
          <w:szCs w:val="21"/>
        </w:rPr>
        <w:t xml:space="preserve">Safety layer: loss limits, kill switch, position limits, audit trail</w:t>
      </w:r>
    </w:p>
    <w:p>
      <w:pPr>
        <w:pStyle w:val="ListParagraph"/>
        <w:numPr>
          <w:ilvl w:val="0"/>
          <w:numId w:val="3"/>
        </w:numPr>
        <w:spacing w:after="60"/>
      </w:pPr>
      <w:r>
        <w:rPr>
          <w:rFonts w:ascii="Arial" w:cs="Arial" w:eastAsia="Arial" w:hAnsi="Arial"/>
          <w:color w:val="4A5568"/>
          <w:sz w:val="21"/>
          <w:szCs w:val="21"/>
        </w:rPr>
        <w:t xml:space="preserve">Web dashboard: portfolio view, risk meter, insight feed</w:t>
      </w:r>
    </w:p>
    <w:p>
      <w:pPr>
        <w:pStyle w:val="ListParagraph"/>
        <w:numPr>
          <w:ilvl w:val="0"/>
          <w:numId w:val="3"/>
        </w:numPr>
        <w:spacing w:after="60"/>
      </w:pPr>
      <w:r>
        <w:rPr>
          <w:rFonts w:ascii="Arial" w:cs="Arial" w:eastAsia="Arial" w:hAnsi="Arial"/>
          <w:color w:val="4A5568"/>
          <w:sz w:val="21"/>
          <w:szCs w:val="21"/>
        </w:rPr>
        <w:t xml:space="preserve">Explanations: template-based by default. LLM optional, off by default.</w:t>
      </w:r>
    </w:p>
    <w:p>
      <w:pPr>
        <w:spacing w:after="40"/>
      </w:pPr>
    </w:p>
    <w:p>
      <w:pPr>
        <w:pStyle w:val="Heading2"/>
        <w:spacing w:before="300" w:after="160"/>
      </w:pPr>
      <w:r>
        <w:rPr>
          <w:rFonts w:ascii="Arial" w:cs="Arial" w:eastAsia="Arial" w:hAnsi="Arial"/>
          <w:b/>
          <w:bCs/>
          <w:color w:val="2B6CB0"/>
          <w:sz w:val="28"/>
          <w:szCs w:val="28"/>
        </w:rPr>
        <w:t xml:space="preserve">2.3 Explicitly NOT in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DD6B20" w:sz="12"/>
              <w:bottom w:val="none" w:sz="0"/>
              <w:right w:val="none" w:sz="0"/>
            </w:tcBorders>
            <w:shd w:fill="FFF8F0" w:val="clear"/>
            <w:tcMar>
              <w:top w:type="dxa" w:w="120"/>
              <w:left w:type="dxa" w:w="200"/>
              <w:bottom w:type="dxa" w:w="120"/>
              <w:right w:type="dxa" w:w="200"/>
            </w:tcMar>
          </w:tcPr>
          <w:p>
            <w:r>
              <w:rPr>
                <w:rFonts w:ascii="Arial" w:cs="Arial" w:eastAsia="Arial" w:hAnsi="Arial"/>
                <w:i/>
                <w:iCs/>
                <w:color w:val="DD6B20"/>
                <w:sz w:val="21"/>
                <w:szCs w:val="21"/>
              </w:rPr>
              <w:t xml:space="preserve">No write operations to any broker API. No order placement. No assisted or automated trading. No mobile app. No paid data providers. These are Phase 2+.</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c>
          <w:tcPr>
            <w:tcW w:type="dxa" w:w="38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278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78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Prerequisite</w:t>
            </w:r>
          </w:p>
        </w:tc>
      </w:tr>
      <w:tr>
        <w:tc>
          <w:tcPr>
            <w:tcW w:type="dxa" w:w="3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Assisted trading (Mode B)</w:t>
            </w:r>
          </w:p>
        </w:tc>
        <w:tc>
          <w:tcPr>
            <w:tcW w:type="dxa" w:w="27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Phase 2</w:t>
            </w:r>
          </w:p>
        </w:tc>
        <w:tc>
          <w:tcPr>
            <w:tcW w:type="dxa" w:w="27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3+ months safety validation</w:t>
            </w:r>
          </w:p>
        </w:tc>
      </w:tr>
      <w:tr>
        <w:tc>
          <w:tcPr>
            <w:tcW w:type="dxa" w:w="3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Automated trading (Mode C)</w:t>
            </w:r>
          </w:p>
        </w:tc>
        <w:tc>
          <w:tcPr>
            <w:tcW w:type="dxa" w:w="27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Phase 2+</w:t>
            </w:r>
          </w:p>
        </w:tc>
        <w:tc>
          <w:tcPr>
            <w:tcW w:type="dxa" w:w="27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Backtesting + legal review</w:t>
            </w:r>
          </w:p>
        </w:tc>
      </w:tr>
      <w:tr>
        <w:tc>
          <w:tcPr>
            <w:tcW w:type="dxa" w:w="3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Backtesting engine</w:t>
            </w:r>
          </w:p>
        </w:tc>
        <w:tc>
          <w:tcPr>
            <w:tcW w:type="dxa" w:w="27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Phase 2</w:t>
            </w:r>
          </w:p>
        </w:tc>
        <w:tc>
          <w:tcPr>
            <w:tcW w:type="dxa" w:w="27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Historical data pipeline</w:t>
            </w:r>
          </w:p>
        </w:tc>
      </w:tr>
      <w:tr>
        <w:tc>
          <w:tcPr>
            <w:tcW w:type="dxa" w:w="3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Mobile application</w:t>
            </w:r>
          </w:p>
        </w:tc>
        <w:tc>
          <w:tcPr>
            <w:tcW w:type="dxa" w:w="27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Phase 2</w:t>
            </w:r>
          </w:p>
        </w:tc>
        <w:tc>
          <w:tcPr>
            <w:tcW w:type="dxa" w:w="27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Stable web app</w:t>
            </w:r>
          </w:p>
        </w:tc>
      </w:tr>
      <w:tr>
        <w:tc>
          <w:tcPr>
            <w:tcW w:type="dxa" w:w="3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Additional brokers (IBKR)</w:t>
            </w:r>
          </w:p>
        </w:tc>
        <w:tc>
          <w:tcPr>
            <w:tcW w:type="dxa" w:w="27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Phase 2+</w:t>
            </w:r>
          </w:p>
        </w:tc>
        <w:tc>
          <w:tcPr>
            <w:tcW w:type="dxa" w:w="27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Broker abstraction tested</w:t>
            </w:r>
          </w:p>
        </w:tc>
      </w:tr>
      <w:tr>
        <w:tc>
          <w:tcPr>
            <w:tcW w:type="dxa" w:w="3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Options / Crypto</w:t>
            </w:r>
          </w:p>
        </w:tc>
        <w:tc>
          <w:tcPr>
            <w:tcW w:type="dxa" w:w="27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Phase 3</w:t>
            </w:r>
          </w:p>
        </w:tc>
        <w:tc>
          <w:tcPr>
            <w:tcW w:type="dxa" w:w="27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Paid data provider</w:t>
            </w:r>
          </w:p>
        </w:tc>
      </w:tr>
      <w:tr>
        <w:tc>
          <w:tcPr>
            <w:tcW w:type="dxa" w:w="3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Strategy marketplace</w:t>
            </w:r>
          </w:p>
        </w:tc>
        <w:tc>
          <w:tcPr>
            <w:tcW w:type="dxa" w:w="27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Phase 3+</w:t>
            </w:r>
          </w:p>
        </w:tc>
        <w:tc>
          <w:tcPr>
            <w:tcW w:type="dxa" w:w="27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User base + backtesting</w:t>
            </w:r>
          </w:p>
        </w:tc>
      </w:tr>
      <w:tr>
        <w:tc>
          <w:tcPr>
            <w:tcW w:type="dxa" w:w="3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Custom ML pipeline</w:t>
            </w:r>
          </w:p>
        </w:tc>
        <w:tc>
          <w:tcPr>
            <w:tcW w:type="dxa" w:w="27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Phase 3</w:t>
            </w:r>
          </w:p>
        </w:tc>
        <w:tc>
          <w:tcPr>
            <w:tcW w:type="dxa" w:w="27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Sufficient training data</w:t>
            </w:r>
          </w:p>
        </w:tc>
      </w:tr>
    </w:tbl>
    <w:p>
      <w:pPr>
        <w:spacing w:after="40"/>
      </w:pPr>
    </w:p>
    <w:p>
      <w:pPr>
        <w:pStyle w:val="Heading2"/>
        <w:spacing w:before="300" w:after="160"/>
      </w:pPr>
      <w:r>
        <w:rPr>
          <w:rFonts w:ascii="Arial" w:cs="Arial" w:eastAsia="Arial" w:hAnsi="Arial"/>
          <w:b/>
          <w:bCs/>
          <w:color w:val="2B6CB0"/>
          <w:sz w:val="28"/>
          <w:szCs w:val="28"/>
        </w:rPr>
        <w:t xml:space="preserve">2.4 Constraints</w:t>
      </w:r>
    </w:p>
    <w:p>
      <w:pPr>
        <w:pStyle w:val="ListParagraph"/>
        <w:numPr>
          <w:ilvl w:val="0"/>
          <w:numId w:val="4"/>
        </w:numPr>
        <w:spacing w:after="60"/>
      </w:pPr>
      <w:r>
        <w:rPr>
          <w:rFonts w:ascii="Arial" w:cs="Arial" w:eastAsia="Arial" w:hAnsi="Arial"/>
          <w:b/>
          <w:bCs/>
          <w:color w:val="4A5568"/>
          <w:sz w:val="21"/>
          <w:szCs w:val="21"/>
        </w:rPr>
        <w:t xml:space="preserve">Solo developer: </w:t>
      </w:r>
      <w:r>
        <w:rPr>
          <w:rFonts w:ascii="Arial" w:cs="Arial" w:eastAsia="Arial" w:hAnsi="Arial"/>
          <w:color w:val="4A5568"/>
          <w:sz w:val="21"/>
          <w:szCs w:val="21"/>
        </w:rPr>
        <w:t xml:space="preserve">Monolith-modular. No microservices until team grows.</w:t>
      </w:r>
    </w:p>
    <w:p>
      <w:pPr>
        <w:pStyle w:val="ListParagraph"/>
        <w:numPr>
          <w:ilvl w:val="0"/>
          <w:numId w:val="4"/>
        </w:numPr>
        <w:spacing w:after="60"/>
      </w:pPr>
      <w:r>
        <w:rPr>
          <w:rFonts w:ascii="Arial" w:cs="Arial" w:eastAsia="Arial" w:hAnsi="Arial"/>
          <w:b/>
          <w:bCs/>
          <w:color w:val="4A5568"/>
          <w:sz w:val="21"/>
          <w:szCs w:val="21"/>
        </w:rPr>
        <w:t xml:space="preserve">Free data only: </w:t>
      </w:r>
      <w:r>
        <w:rPr>
          <w:rFonts w:ascii="Arial" w:cs="Arial" w:eastAsia="Arial" w:hAnsi="Arial"/>
          <w:color w:val="4A5568"/>
          <w:sz w:val="21"/>
          <w:szCs w:val="21"/>
        </w:rPr>
        <w:t xml:space="preserve">15-min delay on some data. Documented ToS/licensing risks (Section 8).</w:t>
      </w:r>
    </w:p>
    <w:p>
      <w:pPr>
        <w:pStyle w:val="ListParagraph"/>
        <w:numPr>
          <w:ilvl w:val="0"/>
          <w:numId w:val="4"/>
        </w:numPr>
        <w:spacing w:after="60"/>
      </w:pPr>
      <w:r>
        <w:rPr>
          <w:rFonts w:ascii="Arial" w:cs="Arial" w:eastAsia="Arial" w:hAnsi="Arial"/>
          <w:b/>
          <w:bCs/>
          <w:color w:val="4A5568"/>
          <w:sz w:val="21"/>
          <w:szCs w:val="21"/>
        </w:rPr>
        <w:t xml:space="preserve">Fixed costs: </w:t>
      </w:r>
      <w:r>
        <w:rPr>
          <w:rFonts w:ascii="Arial" w:cs="Arial" w:eastAsia="Arial" w:hAnsi="Arial"/>
          <w:color w:val="4A5568"/>
          <w:sz w:val="21"/>
          <w:szCs w:val="21"/>
        </w:rPr>
        <w:t xml:space="preserve">Zerodha Kite ₹2K/mo. LLM API optional ($0–$150/mo). Hosting $0–$50/mo. Everything else: $0.</w:t>
      </w:r>
    </w:p>
    <w:p>
      <w:pPr>
        <w:pStyle w:val="ListParagraph"/>
        <w:numPr>
          <w:ilvl w:val="0"/>
          <w:numId w:val="4"/>
        </w:numPr>
        <w:spacing w:after="60"/>
      </w:pPr>
      <w:r>
        <w:rPr>
          <w:rFonts w:ascii="Arial" w:cs="Arial" w:eastAsia="Arial" w:hAnsi="Arial"/>
          <w:b/>
          <w:bCs/>
          <w:color w:val="4A5568"/>
          <w:sz w:val="21"/>
          <w:szCs w:val="21"/>
        </w:rPr>
        <w:t xml:space="preserve">Paper trading first: </w:t>
      </w:r>
      <w:r>
        <w:rPr>
          <w:rFonts w:ascii="Arial" w:cs="Arial" w:eastAsia="Arial" w:hAnsi="Arial"/>
          <w:color w:val="4A5568"/>
          <w:sz w:val="21"/>
          <w:szCs w:val="21"/>
        </w:rPr>
        <w:t xml:space="preserve">All execution testing via Alpaca paper. No real money until safety layer validated.</w:t>
      </w:r>
    </w:p>
    <w:p>
      <w:pPr>
        <w:sectPr>
          <w:headerReference w:type="default" r:id="rId10"/>
          <w:footerReference w:type="default" r:id="rId11"/>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A365D"/>
          <w:sz w:val="36"/>
          <w:szCs w:val="36"/>
        </w:rPr>
        <w:t xml:space="preserve">3. Target Users &amp; Personas</w:t>
      </w:r>
    </w:p>
    <w:p>
      <w:pPr>
        <w:pStyle w:val="Heading2"/>
        <w:spacing w:before="300" w:after="160"/>
      </w:pPr>
      <w:r>
        <w:rPr>
          <w:rFonts w:ascii="Arial" w:cs="Arial" w:eastAsia="Arial" w:hAnsi="Arial"/>
          <w:b/>
          <w:bCs/>
          <w:color w:val="2B6CB0"/>
          <w:sz w:val="28"/>
          <w:szCs w:val="28"/>
        </w:rPr>
        <w:t xml:space="preserve">3.1 Primary: Active Retail Trader</w:t>
      </w:r>
    </w:p>
    <w:p>
      <w:pPr>
        <w:spacing w:after="120"/>
      </w:pPr>
      <w:r>
        <w:rPr>
          <w:rFonts w:ascii="Arial" w:cs="Arial" w:eastAsia="Arial" w:hAnsi="Arial"/>
          <w:color w:val="4A5568"/>
          <w:sz w:val="21"/>
          <w:szCs w:val="21"/>
        </w:rPr>
        <w:t xml:space="preserve">Age 25–45. Trades 5–20x/month. Portfolio ₹5L–₹50L or $10K–$200K. Uses Zerodha or Alpaca. Follows markets daily, lacks time for deep analysis. Wants AI-assisted insights while staying in control.</w:t>
      </w:r>
    </w:p>
    <w:p>
      <w:pPr>
        <w:spacing w:after="40"/>
      </w:pPr>
    </w:p>
    <w:p>
      <w:pPr>
        <w:pStyle w:val="Heading2"/>
        <w:spacing w:before="300" w:after="160"/>
      </w:pPr>
      <w:r>
        <w:rPr>
          <w:rFonts w:ascii="Arial" w:cs="Arial" w:eastAsia="Arial" w:hAnsi="Arial"/>
          <w:b/>
          <w:bCs/>
          <w:color w:val="2B6CB0"/>
          <w:sz w:val="28"/>
          <w:szCs w:val="28"/>
        </w:rPr>
        <w:t xml:space="preserve">3.2 Secondary: Passive Investor</w:t>
      </w:r>
    </w:p>
    <w:p>
      <w:pPr>
        <w:spacing w:after="120"/>
      </w:pPr>
      <w:r>
        <w:rPr>
          <w:rFonts w:ascii="Arial" w:cs="Arial" w:eastAsia="Arial" w:hAnsi="Arial"/>
          <w:color w:val="4A5568"/>
          <w:sz w:val="21"/>
          <w:szCs w:val="21"/>
        </w:rPr>
        <w:t xml:space="preserve">Age 30–55. MFs, ETFs, some stocks. Trades 1–5x/month. Wants portfolio health monitoring, rebalancing suggestions, risk alerts.</w:t>
      </w:r>
    </w:p>
    <w:p>
      <w:pPr>
        <w:spacing w:after="40"/>
      </w:pPr>
    </w:p>
    <w:p>
      <w:pPr>
        <w:pStyle w:val="Heading2"/>
        <w:spacing w:before="300" w:after="160"/>
      </w:pPr>
      <w:r>
        <w:rPr>
          <w:rFonts w:ascii="Arial" w:cs="Arial" w:eastAsia="Arial" w:hAnsi="Arial"/>
          <w:b/>
          <w:bCs/>
          <w:color w:val="2B6CB0"/>
          <w:sz w:val="28"/>
          <w:szCs w:val="28"/>
        </w:rPr>
        <w:t xml:space="preserve">3.3 Future: Algorithmic Trader</w:t>
      </w:r>
    </w:p>
    <w:p>
      <w:pPr>
        <w:spacing w:after="120"/>
      </w:pPr>
      <w:r>
        <w:rPr>
          <w:rFonts w:ascii="Arial" w:cs="Arial" w:eastAsia="Arial" w:hAnsi="Arial"/>
          <w:color w:val="4A5568"/>
          <w:sz w:val="21"/>
          <w:szCs w:val="21"/>
        </w:rPr>
        <w:t xml:space="preserve">Technically sophisticated. Custom strategies + auto-execution. Served by Phase 2+. Deferred until safety is battle-tested.</w:t>
      </w:r>
    </w:p>
    <w:p>
      <w:pPr>
        <w:spacing w:after="40"/>
      </w:pPr>
    </w:p>
    <w:p>
      <w:pPr>
        <w:pStyle w:val="Heading2"/>
        <w:spacing w:before="300" w:after="160"/>
      </w:pPr>
      <w:r>
        <w:rPr>
          <w:rFonts w:ascii="Arial" w:cs="Arial" w:eastAsia="Arial" w:hAnsi="Arial"/>
          <w:b/>
          <w:bCs/>
          <w:color w:val="2B6CB0"/>
          <w:sz w:val="28"/>
          <w:szCs w:val="28"/>
        </w:rPr>
        <w:t xml:space="preserve">3.4 MVP User Journey</w:t>
      </w:r>
    </w:p>
    <w:p>
      <w:pPr>
        <w:pStyle w:val="ListParagraph"/>
        <w:numPr>
          <w:ilvl w:val="0"/>
          <w:numId w:val="5"/>
        </w:numPr>
        <w:spacing w:after="60"/>
      </w:pPr>
      <w:r>
        <w:rPr>
          <w:rFonts w:ascii="Arial" w:cs="Arial" w:eastAsia="Arial" w:hAnsi="Arial"/>
          <w:color w:val="4A5568"/>
          <w:sz w:val="21"/>
          <w:szCs w:val="21"/>
        </w:rPr>
        <w:t xml:space="preserve">Sign up, select broker (Alpaca recommended for full experience)</w:t>
      </w:r>
    </w:p>
    <w:p>
      <w:pPr>
        <w:pStyle w:val="ListParagraph"/>
        <w:numPr>
          <w:ilvl w:val="0"/>
          <w:numId w:val="5"/>
        </w:numPr>
        <w:spacing w:after="60"/>
      </w:pPr>
      <w:r>
        <w:rPr>
          <w:rFonts w:ascii="Arial" w:cs="Arial" w:eastAsia="Arial" w:hAnsi="Arial"/>
          <w:color w:val="4A5568"/>
          <w:sz w:val="21"/>
          <w:szCs w:val="21"/>
        </w:rPr>
        <w:t xml:space="preserve">OAuth flow — authenticate directly with broker</w:t>
      </w:r>
    </w:p>
    <w:p>
      <w:pPr>
        <w:pStyle w:val="ListParagraph"/>
        <w:numPr>
          <w:ilvl w:val="0"/>
          <w:numId w:val="5"/>
        </w:numPr>
        <w:spacing w:after="60"/>
      </w:pPr>
      <w:r>
        <w:rPr>
          <w:rFonts w:ascii="Arial" w:cs="Arial" w:eastAsia="Arial" w:hAnsi="Arial"/>
          <w:color w:val="4A5568"/>
          <w:sz w:val="21"/>
          <w:szCs w:val="21"/>
        </w:rPr>
        <w:t xml:space="preserve">Portfolio syncs: positions, balances, order history (read-only)</w:t>
      </w:r>
    </w:p>
    <w:p>
      <w:pPr>
        <w:pStyle w:val="ListParagraph"/>
        <w:numPr>
          <w:ilvl w:val="0"/>
          <w:numId w:val="5"/>
        </w:numPr>
        <w:spacing w:after="60"/>
      </w:pPr>
      <w:r>
        <w:rPr>
          <w:rFonts w:ascii="Arial" w:cs="Arial" w:eastAsia="Arial" w:hAnsi="Arial"/>
          <w:color w:val="4A5568"/>
          <w:sz w:val="21"/>
          <w:szCs w:val="21"/>
        </w:rPr>
        <w:t xml:space="preserve">AI engine runs analysis: technical + fundamental + sentiment</w:t>
      </w:r>
    </w:p>
    <w:p>
      <w:pPr>
        <w:pStyle w:val="ListParagraph"/>
        <w:numPr>
          <w:ilvl w:val="0"/>
          <w:numId w:val="5"/>
        </w:numPr>
        <w:spacing w:after="60"/>
      </w:pPr>
      <w:r>
        <w:rPr>
          <w:rFonts w:ascii="Arial" w:cs="Arial" w:eastAsia="Arial" w:hAnsi="Arial"/>
          <w:color w:val="4A5568"/>
          <w:sz w:val="21"/>
          <w:szCs w:val="21"/>
        </w:rPr>
        <w:t xml:space="preserve">Dashboard: portfolio health score, risk meter, AI insight feed</w:t>
      </w:r>
    </w:p>
    <w:p>
      <w:pPr>
        <w:pStyle w:val="ListParagraph"/>
        <w:numPr>
          <w:ilvl w:val="0"/>
          <w:numId w:val="5"/>
        </w:numPr>
        <w:spacing w:after="60"/>
      </w:pPr>
      <w:r>
        <w:rPr>
          <w:rFonts w:ascii="Arial" w:cs="Arial" w:eastAsia="Arial" w:hAnsi="Arial"/>
          <w:color w:val="4A5568"/>
          <w:sz w:val="21"/>
          <w:szCs w:val="21"/>
        </w:rPr>
        <w:t xml:space="preserve">User reviews recommendations, executes manually on broker platform</w:t>
      </w:r>
    </w:p>
    <w:p>
      <w:pPr>
        <w:pStyle w:val="ListParagraph"/>
        <w:numPr>
          <w:ilvl w:val="0"/>
          <w:numId w:val="5"/>
        </w:numPr>
        <w:spacing w:after="60"/>
      </w:pPr>
      <w:r>
        <w:rPr>
          <w:rFonts w:ascii="Arial" w:cs="Arial" w:eastAsia="Arial" w:hAnsi="Arial"/>
          <w:color w:val="4A5568"/>
          <w:sz w:val="21"/>
          <w:szCs w:val="21"/>
        </w:rPr>
        <w:t xml:space="preserve">Risk Guardian monitors and sends alerts for abnormal events</w:t>
      </w:r>
    </w:p>
    <w:p>
      <w:pPr>
        <w:sectPr>
          <w:headerReference w:type="default" r:id="rId12"/>
          <w:footerReference w:type="default" r:id="rId13"/>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A365D"/>
          <w:sz w:val="36"/>
          <w:szCs w:val="36"/>
        </w:rPr>
        <w:t xml:space="preserve">4. System Architecture</w:t>
      </w:r>
    </w:p>
    <w:p>
      <w:pPr>
        <w:pStyle w:val="Heading2"/>
        <w:spacing w:before="300" w:after="160"/>
      </w:pPr>
      <w:r>
        <w:rPr>
          <w:rFonts w:ascii="Arial" w:cs="Arial" w:eastAsia="Arial" w:hAnsi="Arial"/>
          <w:b/>
          <w:bCs/>
          <w:color w:val="2B6CB0"/>
          <w:sz w:val="28"/>
          <w:szCs w:val="28"/>
        </w:rPr>
        <w:t xml:space="preserve">4.1 Philosophy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B6CB0" w:sz="12"/>
              <w:bottom w:val="none" w:sz="0"/>
              <w:right w:val="none" w:sz="0"/>
            </w:tcBorders>
            <w:shd w:fill="EBF4FF" w:val="clear"/>
            <w:tcMar>
              <w:top w:type="dxa" w:w="120"/>
              <w:left w:type="dxa" w:w="200"/>
              <w:bottom w:type="dxa" w:w="120"/>
              <w:right w:type="dxa" w:w="200"/>
            </w:tcMar>
          </w:tcPr>
          <w:p>
            <w:r>
              <w:rPr>
                <w:rFonts w:ascii="Arial" w:cs="Arial" w:eastAsia="Arial" w:hAnsi="Arial"/>
                <w:i/>
                <w:iCs/>
                <w:color w:val="2B6CB0"/>
                <w:sz w:val="21"/>
                <w:szCs w:val="21"/>
              </w:rPr>
              <w:t xml:space="preserve">Monolith-modular: single deployable app with clean module boundaries. Extract to services when team grows to 3+. FastAPI is the sole auth authority — no NextAuth.</w:t>
            </w:r>
          </w:p>
        </w:tc>
      </w:tr>
    </w:tbl>
    <w:p>
      <w:pPr>
        <w:spacing w:after="40"/>
      </w:pPr>
    </w:p>
    <w:p>
      <w:pPr>
        <w:pStyle w:val="Heading2"/>
        <w:spacing w:before="300" w:after="160"/>
      </w:pPr>
      <w:r>
        <w:rPr>
          <w:rFonts w:ascii="Arial" w:cs="Arial" w:eastAsia="Arial" w:hAnsi="Arial"/>
          <w:b/>
          <w:bCs/>
          <w:color w:val="2B6CB0"/>
          <w:sz w:val="28"/>
          <w:szCs w:val="28"/>
        </w:rPr>
        <w:t xml:space="preserve">4.2 Layers</w:t>
      </w:r>
    </w:p>
    <w:p>
      <w:pPr>
        <w:pStyle w:val="ListParagraph"/>
        <w:numPr>
          <w:ilvl w:val="0"/>
          <w:numId w:val="6"/>
        </w:numPr>
        <w:spacing w:after="60"/>
      </w:pPr>
      <w:r>
        <w:rPr>
          <w:rFonts w:ascii="Arial" w:cs="Arial" w:eastAsia="Arial" w:hAnsi="Arial"/>
          <w:b/>
          <w:bCs/>
          <w:color w:val="4A5568"/>
          <w:sz w:val="21"/>
          <w:szCs w:val="21"/>
        </w:rPr>
        <w:t xml:space="preserve">Layer 1 — Broker Abstraction: </w:t>
      </w:r>
      <w:r>
        <w:rPr>
          <w:rFonts w:ascii="Arial" w:cs="Arial" w:eastAsia="Arial" w:hAnsi="Arial"/>
          <w:color w:val="4A5568"/>
          <w:sz w:val="21"/>
          <w:szCs w:val="21"/>
        </w:rPr>
        <w:t xml:space="preserve">Unified interface. OAuth, token mgmt, portfolio sync. Feature-flagged per broker.</w:t>
      </w:r>
    </w:p>
    <w:p>
      <w:pPr>
        <w:pStyle w:val="ListParagraph"/>
        <w:numPr>
          <w:ilvl w:val="0"/>
          <w:numId w:val="6"/>
        </w:numPr>
        <w:spacing w:after="60"/>
      </w:pPr>
      <w:r>
        <w:rPr>
          <w:rFonts w:ascii="Arial" w:cs="Arial" w:eastAsia="Arial" w:hAnsi="Arial"/>
          <w:b/>
          <w:bCs/>
          <w:color w:val="4A5568"/>
          <w:sz w:val="21"/>
          <w:szCs w:val="21"/>
        </w:rPr>
        <w:t xml:space="preserve">Layer 2 — Data Aggregation: </w:t>
      </w:r>
      <w:r>
        <w:rPr>
          <w:rFonts w:ascii="Arial" w:cs="Arial" w:eastAsia="Arial" w:hAnsi="Arial"/>
          <w:color w:val="4A5568"/>
          <w:sz w:val="21"/>
          <w:szCs w:val="21"/>
        </w:rPr>
        <w:t xml:space="preserve">Free sources, normalized format, caching.</w:t>
      </w:r>
    </w:p>
    <w:p>
      <w:pPr>
        <w:pStyle w:val="ListParagraph"/>
        <w:numPr>
          <w:ilvl w:val="0"/>
          <w:numId w:val="6"/>
        </w:numPr>
        <w:spacing w:after="60"/>
      </w:pPr>
      <w:r>
        <w:rPr>
          <w:rFonts w:ascii="Arial" w:cs="Arial" w:eastAsia="Arial" w:hAnsi="Arial"/>
          <w:b/>
          <w:bCs/>
          <w:color w:val="4A5568"/>
          <w:sz w:val="21"/>
          <w:szCs w:val="21"/>
        </w:rPr>
        <w:t xml:space="preserve">Layer 3 — Analysis Engine: </w:t>
      </w:r>
      <w:r>
        <w:rPr>
          <w:rFonts w:ascii="Arial" w:cs="Arial" w:eastAsia="Arial" w:hAnsi="Arial"/>
          <w:color w:val="4A5568"/>
          <w:sz w:val="21"/>
          <w:szCs w:val="21"/>
        </w:rPr>
        <w:t xml:space="preserve">Technical (pandas-ta), fundamental, sentiment (FinBERT), risk. All deterministic, independently testable.</w:t>
      </w:r>
    </w:p>
    <w:p>
      <w:pPr>
        <w:pStyle w:val="ListParagraph"/>
        <w:numPr>
          <w:ilvl w:val="0"/>
          <w:numId w:val="6"/>
        </w:numPr>
        <w:spacing w:after="60"/>
      </w:pPr>
      <w:r>
        <w:rPr>
          <w:rFonts w:ascii="Arial" w:cs="Arial" w:eastAsia="Arial" w:hAnsi="Arial"/>
          <w:b/>
          <w:bCs/>
          <w:color w:val="4A5568"/>
          <w:sz w:val="21"/>
          <w:szCs w:val="21"/>
        </w:rPr>
        <w:t xml:space="preserve">Layer 4 — Intelligence: </w:t>
      </w:r>
      <w:r>
        <w:rPr>
          <w:rFonts w:ascii="Arial" w:cs="Arial" w:eastAsia="Arial" w:hAnsi="Arial"/>
          <w:color w:val="4A5568"/>
          <w:sz w:val="21"/>
          <w:szCs w:val="21"/>
        </w:rPr>
        <w:t xml:space="preserve">Weighted composite scoring. Template-based explanations (default) or LLM (optional).</w:t>
      </w:r>
    </w:p>
    <w:p>
      <w:pPr>
        <w:pStyle w:val="ListParagraph"/>
        <w:numPr>
          <w:ilvl w:val="0"/>
          <w:numId w:val="6"/>
        </w:numPr>
        <w:spacing w:after="60"/>
      </w:pPr>
      <w:r>
        <w:rPr>
          <w:rFonts w:ascii="Arial" w:cs="Arial" w:eastAsia="Arial" w:hAnsi="Arial"/>
          <w:b/>
          <w:bCs/>
          <w:color w:val="4A5568"/>
          <w:sz w:val="21"/>
          <w:szCs w:val="21"/>
        </w:rPr>
        <w:t xml:space="preserve">Layer 5 — Safety: </w:t>
      </w:r>
      <w:r>
        <w:rPr>
          <w:rFonts w:ascii="Arial" w:cs="Arial" w:eastAsia="Arial" w:hAnsi="Arial"/>
          <w:color w:val="4A5568"/>
          <w:sz w:val="21"/>
          <w:szCs w:val="21"/>
        </w:rPr>
        <w:t xml:space="preserve">Between intelligence and any future execution. All guardrails enforced. Nothing bypasses.</w:t>
      </w:r>
    </w:p>
    <w:p>
      <w:pPr>
        <w:pStyle w:val="ListParagraph"/>
        <w:numPr>
          <w:ilvl w:val="0"/>
          <w:numId w:val="6"/>
        </w:numPr>
        <w:spacing w:after="60"/>
      </w:pPr>
      <w:r>
        <w:rPr>
          <w:rFonts w:ascii="Arial" w:cs="Arial" w:eastAsia="Arial" w:hAnsi="Arial"/>
          <w:b/>
          <w:bCs/>
          <w:color w:val="4A5568"/>
          <w:sz w:val="21"/>
          <w:szCs w:val="21"/>
        </w:rPr>
        <w:t xml:space="preserve">Layer 6 — Presentation: </w:t>
      </w:r>
      <w:r>
        <w:rPr>
          <w:rFonts w:ascii="Arial" w:cs="Arial" w:eastAsia="Arial" w:hAnsi="Arial"/>
          <w:color w:val="4A5568"/>
          <w:sz w:val="21"/>
          <w:szCs w:val="21"/>
        </w:rPr>
        <w:t xml:space="preserve">Next.js frontend (pure consumer). FastAPI serves API + WebSocket.</w:t>
      </w:r>
    </w:p>
    <w:p>
      <w:pPr>
        <w:spacing w:after="40"/>
      </w:pPr>
    </w:p>
    <w:p>
      <w:pPr>
        <w:pStyle w:val="Heading2"/>
        <w:spacing w:before="300" w:after="160"/>
      </w:pPr>
      <w:r>
        <w:rPr>
          <w:rFonts w:ascii="Arial" w:cs="Arial" w:eastAsia="Arial" w:hAnsi="Arial"/>
          <w:b/>
          <w:bCs/>
          <w:color w:val="2B6CB0"/>
          <w:sz w:val="28"/>
          <w:szCs w:val="28"/>
        </w:rPr>
        <w:t xml:space="preserve">4.3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38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38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1A202C"/>
                <w:sz w:val="20"/>
                <w:szCs w:val="20"/>
              </w:rPr>
              <w:t xml:space="preserve">Backend + Auth</w:t>
            </w:r>
          </w:p>
        </w:tc>
        <w:tc>
          <w:tcPr>
            <w:tcW w:type="dxa" w:w="33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Python / FastAPI (JWT issuer)</w:t>
            </w:r>
          </w:p>
        </w:tc>
        <w:tc>
          <w:tcPr>
            <w:tcW w:type="dxa" w:w="33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Sole auth authority. Financial/ML ecosystem.</w:t>
            </w:r>
          </w:p>
        </w:tc>
      </w:tr>
      <w:tr>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A202C"/>
                <w:sz w:val="20"/>
                <w:szCs w:val="20"/>
              </w:rPr>
              <w:t xml:space="preserve">Frontend</w:t>
            </w:r>
          </w:p>
        </w:tc>
        <w:tc>
          <w:tcPr>
            <w:tcW w:type="dxa" w:w="33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Next.js + TailwindCSS</w:t>
            </w:r>
          </w:p>
        </w:tc>
        <w:tc>
          <w:tcPr>
            <w:tcW w:type="dxa" w:w="33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Pure API consumer. No NextAuth.</w:t>
            </w:r>
          </w:p>
        </w:tc>
      </w:tr>
      <w:tr>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1A202C"/>
                <w:sz w:val="20"/>
                <w:szCs w:val="20"/>
              </w:rPr>
              <w:t xml:space="preserve">Database</w:t>
            </w:r>
          </w:p>
        </w:tc>
        <w:tc>
          <w:tcPr>
            <w:tcW w:type="dxa" w:w="33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PostgreSQL + Redis</w:t>
            </w:r>
          </w:p>
        </w:tc>
        <w:tc>
          <w:tcPr>
            <w:tcW w:type="dxa" w:w="33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Relational + caching/sessions</w:t>
            </w:r>
          </w:p>
        </w:tc>
      </w:tr>
      <w:tr>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A202C"/>
                <w:sz w:val="20"/>
                <w:szCs w:val="20"/>
              </w:rPr>
              <w:t xml:space="preserve">Real-time</w:t>
            </w:r>
          </w:p>
        </w:tc>
        <w:tc>
          <w:tcPr>
            <w:tcW w:type="dxa" w:w="33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WebSockets (FastAPI)</w:t>
            </w:r>
          </w:p>
        </w:tc>
        <w:tc>
          <w:tcPr>
            <w:tcW w:type="dxa" w:w="33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Portfolio updates, alerts</w:t>
            </w:r>
          </w:p>
        </w:tc>
      </w:tr>
      <w:tr>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1A202C"/>
                <w:sz w:val="20"/>
                <w:szCs w:val="20"/>
              </w:rPr>
              <w:t xml:space="preserve">Task Queue</w:t>
            </w:r>
          </w:p>
        </w:tc>
        <w:tc>
          <w:tcPr>
            <w:tcW w:type="dxa" w:w="33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Celery + Redis</w:t>
            </w:r>
          </w:p>
        </w:tc>
        <w:tc>
          <w:tcPr>
            <w:tcW w:type="dxa" w:w="33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Session-aware background jobs</w:t>
            </w:r>
          </w:p>
        </w:tc>
      </w:tr>
      <w:tr>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A202C"/>
                <w:sz w:val="20"/>
                <w:szCs w:val="20"/>
              </w:rPr>
              <w:t xml:space="preserve">Technical Analysis</w:t>
            </w:r>
          </w:p>
        </w:tc>
        <w:tc>
          <w:tcPr>
            <w:tcW w:type="dxa" w:w="33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pandas-ta</w:t>
            </w:r>
          </w:p>
        </w:tc>
        <w:tc>
          <w:tcPr>
            <w:tcW w:type="dxa" w:w="33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All indicators, zero cost, deterministic</w:t>
            </w:r>
          </w:p>
        </w:tc>
      </w:tr>
      <w:tr>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1A202C"/>
                <w:sz w:val="20"/>
                <w:szCs w:val="20"/>
              </w:rPr>
              <w:t xml:space="preserve">Sentiment</w:t>
            </w:r>
          </w:p>
        </w:tc>
        <w:tc>
          <w:tcPr>
            <w:tcW w:type="dxa" w:w="33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FinBERT (local HuggingFace)</w:t>
            </w:r>
          </w:p>
        </w:tc>
        <w:tc>
          <w:tcPr>
            <w:tcW w:type="dxa" w:w="33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Financial NLP, free, runs on CPU</w:t>
            </w:r>
          </w:p>
        </w:tc>
      </w:tr>
      <w:tr>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A202C"/>
                <w:sz w:val="20"/>
                <w:szCs w:val="20"/>
              </w:rPr>
              <w:t xml:space="preserve">Explanations</w:t>
            </w:r>
          </w:p>
        </w:tc>
        <w:tc>
          <w:tcPr>
            <w:tcW w:type="dxa" w:w="33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TemplateExplainer (default)</w:t>
            </w:r>
          </w:p>
        </w:tc>
        <w:tc>
          <w:tcPr>
            <w:tcW w:type="dxa" w:w="33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Deterministic. LLM optional behind flag.</w:t>
            </w:r>
          </w:p>
        </w:tc>
      </w:tr>
      <w:tr>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1A202C"/>
                <w:sz w:val="20"/>
                <w:szCs w:val="20"/>
              </w:rPr>
              <w:t xml:space="preserve">Market Calendar</w:t>
            </w:r>
          </w:p>
        </w:tc>
        <w:tc>
          <w:tcPr>
            <w:tcW w:type="dxa" w:w="33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exchange_calendars (Python)</w:t>
            </w:r>
          </w:p>
        </w:tc>
        <w:tc>
          <w:tcPr>
            <w:tcW w:type="dxa" w:w="33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Trading hours, holidays, session scheduling</w:t>
            </w:r>
          </w:p>
        </w:tc>
      </w:tr>
      <w:tr>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A202C"/>
                <w:sz w:val="20"/>
                <w:szCs w:val="20"/>
              </w:rPr>
              <w:t xml:space="preserve">Deployment</w:t>
            </w:r>
          </w:p>
        </w:tc>
        <w:tc>
          <w:tcPr>
            <w:tcW w:type="dxa" w:w="33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Docker Compose (local) / Railway</w:t>
            </w:r>
          </w:p>
        </w:tc>
        <w:tc>
          <w:tcPr>
            <w:tcW w:type="dxa" w:w="33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$0 local path or $20–$50/mo hosted</w:t>
            </w:r>
          </w:p>
        </w:tc>
      </w:tr>
      <w:tr>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1A202C"/>
                <w:sz w:val="20"/>
                <w:szCs w:val="20"/>
              </w:rPr>
              <w:t xml:space="preserve">Encryption</w:t>
            </w:r>
          </w:p>
        </w:tc>
        <w:tc>
          <w:tcPr>
            <w:tcW w:type="dxa" w:w="33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AES-256-GCM, TLS 1.3</w:t>
            </w:r>
          </w:p>
        </w:tc>
        <w:tc>
          <w:tcPr>
            <w:tcW w:type="dxa" w:w="33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Tokens encrypted at rest</w:t>
            </w:r>
          </w:p>
        </w:tc>
      </w:tr>
    </w:tbl>
    <w:p>
      <w:pPr>
        <w:sectPr>
          <w:headerReference w:type="default" r:id="rId14"/>
          <w:footerReference w:type="default" r:id="rId15"/>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A365D"/>
          <w:sz w:val="36"/>
          <w:szCs w:val="36"/>
        </w:rPr>
        <w:t xml:space="preserve">5. Broker Integration Layer</w:t>
      </w:r>
    </w:p>
    <w:p>
      <w:pPr>
        <w:pStyle w:val="Heading2"/>
        <w:spacing w:before="300" w:after="160"/>
      </w:pPr>
      <w:r>
        <w:rPr>
          <w:rFonts w:ascii="Arial" w:cs="Arial" w:eastAsia="Arial" w:hAnsi="Arial"/>
          <w:b/>
          <w:bCs/>
          <w:color w:val="2B6CB0"/>
          <w:sz w:val="28"/>
          <w:szCs w:val="28"/>
        </w:rPr>
        <w:t xml:space="preserve">5.1 Unified Adapter Interface</w:t>
      </w:r>
    </w:p>
    <w:p>
      <w:pPr>
        <w:spacing w:after="120"/>
      </w:pPr>
      <w:r>
        <w:rPr>
          <w:rFonts w:ascii="Arial" w:cs="Arial" w:eastAsia="Arial" w:hAnsi="Arial"/>
          <w:color w:val="4A5568"/>
          <w:sz w:val="21"/>
          <w:szCs w:val="21"/>
        </w:rPr>
        <w:t xml:space="preserve">Abstract BrokerAdapter with feature flags per broker. Each adapter exposes: authenticate(), refresh_token(), get_positions(), get_balances(), get_orders(), get_order_history(), get_portfolio_summary(). In MVP, place_order() and cancel_order() exist in the interface but raise NotImplementedError — ensuring no accidental execution.</w:t>
      </w:r>
    </w:p>
    <w:p>
      <w:pPr>
        <w:spacing w:after="40"/>
      </w:pPr>
    </w:p>
    <w:p>
      <w:pPr>
        <w:pStyle w:val="Heading2"/>
        <w:spacing w:before="300" w:after="160"/>
      </w:pPr>
      <w:r>
        <w:rPr>
          <w:rFonts w:ascii="Arial" w:cs="Arial" w:eastAsia="Arial" w:hAnsi="Arial"/>
          <w:b/>
          <w:bCs/>
          <w:color w:val="2B6CB0"/>
          <w:sz w:val="28"/>
          <w:szCs w:val="28"/>
        </w:rPr>
        <w:t xml:space="preserve">5.2 Feature Flags &amp; Conformance</w:t>
      </w:r>
    </w:p>
    <w:p>
      <w:pPr>
        <w:spacing w:after="120"/>
      </w:pPr>
      <w:r>
        <w:rPr>
          <w:rFonts w:ascii="Arial" w:cs="Arial" w:eastAsia="Arial" w:hAnsi="Arial"/>
          <w:color w:val="4A5568"/>
          <w:sz w:val="21"/>
          <w:szCs w:val="21"/>
        </w:rPr>
        <w:t xml:space="preserve">Each adapter declares capabilities via a features dict: supports_realtime_streaming, supports_paper_trading, requires_daily_reauth, supports_order_placement (False in MVP). A conformance test suite validates that both adapters return identical normalized data models for the same logical operation.</w:t>
      </w:r>
    </w:p>
    <w:p>
      <w:pPr>
        <w:spacing w:after="40"/>
      </w:pPr>
    </w:p>
    <w:p>
      <w:pPr>
        <w:pStyle w:val="Heading2"/>
        <w:spacing w:before="300" w:after="160"/>
      </w:pPr>
      <w:r>
        <w:rPr>
          <w:rFonts w:ascii="Arial" w:cs="Arial" w:eastAsia="Arial" w:hAnsi="Arial"/>
          <w:b/>
          <w:bCs/>
          <w:color w:val="2B6CB0"/>
          <w:sz w:val="28"/>
          <w:szCs w:val="28"/>
        </w:rPr>
        <w:t xml:space="preserve">5.3 Zerodha Kite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63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1A202C"/>
                <w:sz w:val="20"/>
                <w:szCs w:val="20"/>
              </w:rPr>
              <w:t xml:space="preserve">API</w:t>
            </w:r>
          </w:p>
        </w:tc>
        <w:tc>
          <w:tcPr>
            <w:tcW w:type="dxa" w:w="6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Kite Connect v3</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A202C"/>
                <w:sz w:val="20"/>
                <w:szCs w:val="20"/>
              </w:rPr>
              <w:t xml:space="preserve">Auth</w:t>
            </w:r>
          </w:p>
        </w:tc>
        <w:tc>
          <w:tcPr>
            <w:tcW w:type="dxa" w:w="6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OAuth-like: redirect → request_token → access_token</w:t>
            </w:r>
          </w:p>
        </w:tc>
      </w:tr>
      <w:tr>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1A202C"/>
                <w:sz w:val="20"/>
                <w:szCs w:val="20"/>
              </w:rPr>
              <w:t xml:space="preserve">Token Life</w:t>
            </w:r>
          </w:p>
        </w:tc>
        <w:tc>
          <w:tcPr>
            <w:tcW w:type="dxa" w:w="6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One trading day (~6 AM IST next day). Requires daily re-login.</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A202C"/>
                <w:sz w:val="20"/>
                <w:szCs w:val="20"/>
              </w:rPr>
              <w:t xml:space="preserve">MVP Posture</w:t>
            </w:r>
          </w:p>
        </w:tc>
        <w:tc>
          <w:tcPr>
            <w:tcW w:type="dxa" w:w="6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Limited mode: sync available only after daily login. Dashboard shows status badge.</w:t>
            </w:r>
          </w:p>
        </w:tc>
      </w:tr>
      <w:tr>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1A202C"/>
                <w:sz w:val="20"/>
                <w:szCs w:val="20"/>
              </w:rPr>
              <w:t xml:space="preserve">Rate Limits</w:t>
            </w:r>
          </w:p>
        </w:tc>
        <w:tc>
          <w:tcPr>
            <w:tcW w:type="dxa" w:w="6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10 req/sec. Orders: 5/sec (N/A in MVP).</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A202C"/>
                <w:sz w:val="20"/>
                <w:szCs w:val="20"/>
              </w:rPr>
              <w:t xml:space="preserve">Cost</w:t>
            </w:r>
          </w:p>
        </w:tc>
        <w:tc>
          <w:tcPr>
            <w:tcW w:type="dxa" w:w="6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₹2,000/month (mandatory for app registration)</w:t>
            </w:r>
          </w:p>
        </w:tc>
      </w:tr>
    </w:tbl>
    <w:p>
      <w:pPr>
        <w:spacing w:after="40"/>
      </w:pPr>
    </w:p>
    <w:p>
      <w:pPr>
        <w:pStyle w:val="Heading2"/>
        <w:spacing w:before="300" w:after="160"/>
      </w:pPr>
      <w:r>
        <w:rPr>
          <w:rFonts w:ascii="Arial" w:cs="Arial" w:eastAsia="Arial" w:hAnsi="Arial"/>
          <w:b/>
          <w:bCs/>
          <w:color w:val="2B6CB0"/>
          <w:sz w:val="28"/>
          <w:szCs w:val="28"/>
        </w:rPr>
        <w:t xml:space="preserve">5.4 Alpaca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63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1A202C"/>
                <w:sz w:val="20"/>
                <w:szCs w:val="20"/>
              </w:rPr>
              <w:t xml:space="preserve">API</w:t>
            </w:r>
          </w:p>
        </w:tc>
        <w:tc>
          <w:tcPr>
            <w:tcW w:type="dxa" w:w="6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Trading API v2 + Market Data API</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A202C"/>
                <w:sz w:val="20"/>
                <w:szCs w:val="20"/>
              </w:rPr>
              <w:t xml:space="preserve">Auth</w:t>
            </w:r>
          </w:p>
        </w:tc>
        <w:tc>
          <w:tcPr>
            <w:tcW w:type="dxa" w:w="6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OAuth2 standard + API key/secret for dev</w:t>
            </w:r>
          </w:p>
        </w:tc>
      </w:tr>
      <w:tr>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1A202C"/>
                <w:sz w:val="20"/>
                <w:szCs w:val="20"/>
              </w:rPr>
              <w:t xml:space="preserve">MVP Posture</w:t>
            </w:r>
          </w:p>
        </w:tc>
        <w:tc>
          <w:tcPr>
            <w:tcW w:type="dxa" w:w="6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Default broker. Paper trading environment for all validation.</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A202C"/>
                <w:sz w:val="20"/>
                <w:szCs w:val="20"/>
              </w:rPr>
              <w:t xml:space="preserve">Cost</w:t>
            </w:r>
          </w:p>
        </w:tc>
        <w:tc>
          <w:tcPr>
            <w:tcW w:type="dxa" w:w="6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Free (including real-time IEX + paper trading)</w:t>
            </w:r>
          </w:p>
        </w:tc>
      </w:tr>
      <w:tr>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1A202C"/>
                <w:sz w:val="20"/>
                <w:szCs w:val="20"/>
              </w:rPr>
              <w:t xml:space="preserve">Paper Trading</w:t>
            </w:r>
          </w:p>
        </w:tc>
        <w:tc>
          <w:tcPr>
            <w:tcW w:type="dxa" w:w="6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Same API, separate endpoint. Ideal for testing.</w:t>
            </w:r>
          </w:p>
        </w:tc>
      </w:tr>
    </w:tbl>
    <w:p>
      <w:pPr>
        <w:spacing w:after="40"/>
      </w:pPr>
    </w:p>
    <w:p>
      <w:pPr>
        <w:pStyle w:val="Heading2"/>
        <w:spacing w:before="300" w:after="160"/>
      </w:pPr>
      <w:r>
        <w:rPr>
          <w:rFonts w:ascii="Arial" w:cs="Arial" w:eastAsia="Arial" w:hAnsi="Arial"/>
          <w:b/>
          <w:bCs/>
          <w:color w:val="2B6CB0"/>
          <w:sz w:val="28"/>
          <w:szCs w:val="28"/>
        </w:rPr>
        <w:t xml:space="preserve">5.5 Security Requirements</w:t>
      </w:r>
    </w:p>
    <w:p>
      <w:pPr>
        <w:pStyle w:val="ListParagraph"/>
        <w:numPr>
          <w:ilvl w:val="0"/>
          <w:numId w:val="7"/>
        </w:numPr>
        <w:spacing w:after="60"/>
      </w:pPr>
      <w:r>
        <w:rPr>
          <w:rFonts w:ascii="Arial" w:cs="Arial" w:eastAsia="Arial" w:hAnsi="Arial"/>
          <w:b/>
          <w:bCs/>
          <w:color w:val="4A5568"/>
          <w:sz w:val="21"/>
          <w:szCs w:val="21"/>
        </w:rPr>
        <w:t xml:space="preserve">Encryption: </w:t>
      </w:r>
      <w:r>
        <w:rPr>
          <w:rFonts w:ascii="Arial" w:cs="Arial" w:eastAsia="Arial" w:hAnsi="Arial"/>
          <w:color w:val="4A5568"/>
          <w:sz w:val="21"/>
          <w:szCs w:val="21"/>
        </w:rPr>
        <w:t xml:space="preserve">AES-256-GCM for all tokens at rest. Per-user key derived via HKDF.</w:t>
      </w:r>
    </w:p>
    <w:p>
      <w:pPr>
        <w:pStyle w:val="ListParagraph"/>
        <w:numPr>
          <w:ilvl w:val="0"/>
          <w:numId w:val="7"/>
        </w:numPr>
        <w:spacing w:after="60"/>
      </w:pPr>
      <w:r>
        <w:rPr>
          <w:rFonts w:ascii="Arial" w:cs="Arial" w:eastAsia="Arial" w:hAnsi="Arial"/>
          <w:b/>
          <w:bCs/>
          <w:color w:val="4A5568"/>
          <w:sz w:val="21"/>
          <w:szCs w:val="21"/>
        </w:rPr>
        <w:t xml:space="preserve">Scope: </w:t>
      </w:r>
      <w:r>
        <w:rPr>
          <w:rFonts w:ascii="Arial" w:cs="Arial" w:eastAsia="Arial" w:hAnsi="Arial"/>
          <w:color w:val="4A5568"/>
          <w:sz w:val="21"/>
          <w:szCs w:val="21"/>
        </w:rPr>
        <w:t xml:space="preserve">Minimum OAuth scopes. Read-only in MVP. No trading scopes requested.</w:t>
      </w:r>
    </w:p>
    <w:p>
      <w:pPr>
        <w:pStyle w:val="ListParagraph"/>
        <w:numPr>
          <w:ilvl w:val="0"/>
          <w:numId w:val="7"/>
        </w:numPr>
        <w:spacing w:after="60"/>
      </w:pPr>
      <w:r>
        <w:rPr>
          <w:rFonts w:ascii="Arial" w:cs="Arial" w:eastAsia="Arial" w:hAnsi="Arial"/>
          <w:b/>
          <w:bCs/>
          <w:color w:val="4A5568"/>
          <w:sz w:val="21"/>
          <w:szCs w:val="21"/>
        </w:rPr>
        <w:t xml:space="preserve">Audit: </w:t>
      </w:r>
      <w:r>
        <w:rPr>
          <w:rFonts w:ascii="Arial" w:cs="Arial" w:eastAsia="Arial" w:hAnsi="Arial"/>
          <w:color w:val="4A5568"/>
          <w:sz w:val="21"/>
          <w:szCs w:val="21"/>
        </w:rPr>
        <w:t xml:space="preserve">Every broker API call logged.</w:t>
      </w:r>
    </w:p>
    <w:p>
      <w:pPr>
        <w:pStyle w:val="ListParagraph"/>
        <w:numPr>
          <w:ilvl w:val="0"/>
          <w:numId w:val="7"/>
        </w:numPr>
        <w:spacing w:after="60"/>
      </w:pPr>
      <w:r>
        <w:rPr>
          <w:rFonts w:ascii="Arial" w:cs="Arial" w:eastAsia="Arial" w:hAnsi="Arial"/>
          <w:b/>
          <w:bCs/>
          <w:color w:val="4A5568"/>
          <w:sz w:val="21"/>
          <w:szCs w:val="21"/>
        </w:rPr>
        <w:t xml:space="preserve">Rate limiting: </w:t>
      </w:r>
      <w:r>
        <w:rPr>
          <w:rFonts w:ascii="Arial" w:cs="Arial" w:eastAsia="Arial" w:hAnsi="Arial"/>
          <w:color w:val="4A5568"/>
          <w:sz w:val="21"/>
          <w:szCs w:val="21"/>
        </w:rPr>
        <w:t xml:space="preserve">Client-side limiter with exponential backoff on 429s.</w:t>
      </w:r>
    </w:p>
    <w:p>
      <w:pPr>
        <w:sectPr>
          <w:headerReference w:type="default" r:id="rId16"/>
          <w:footerReference w:type="default" r:id="rId17"/>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A365D"/>
          <w:sz w:val="36"/>
          <w:szCs w:val="36"/>
        </w:rPr>
        <w:t xml:space="preserve">6. Market Sessions &amp; 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B6CB0" w:sz="12"/>
              <w:bottom w:val="none" w:sz="0"/>
              <w:right w:val="none" w:sz="0"/>
            </w:tcBorders>
            <w:shd w:fill="EBF4FF" w:val="clear"/>
            <w:tcMar>
              <w:top w:type="dxa" w:w="120"/>
              <w:left w:type="dxa" w:w="200"/>
              <w:bottom w:type="dxa" w:w="120"/>
              <w:right w:type="dxa" w:w="200"/>
            </w:tcMar>
          </w:tcPr>
          <w:p>
            <w:r>
              <w:rPr>
                <w:rFonts w:ascii="Arial" w:cs="Arial" w:eastAsia="Arial" w:hAnsi="Arial"/>
                <w:i/>
                <w:iCs/>
                <w:color w:val="2B6CB0"/>
                <w:sz w:val="21"/>
                <w:szCs w:val="21"/>
              </w:rPr>
              <w:t xml:space="preserve">InvestIQ operates across two time zones. All scheduling must be session-aware to avoid wasted API calls and stale data.</w:t>
            </w:r>
          </w:p>
        </w:tc>
      </w:tr>
    </w:tbl>
    <w:p>
      <w:pPr>
        <w:spacing w:after="40"/>
      </w:pPr>
    </w:p>
    <w:p>
      <w:pPr>
        <w:pStyle w:val="Heading2"/>
        <w:spacing w:before="300" w:after="160"/>
      </w:pPr>
      <w:r>
        <w:rPr>
          <w:rFonts w:ascii="Arial" w:cs="Arial" w:eastAsia="Arial" w:hAnsi="Arial"/>
          <w:b/>
          <w:bCs/>
          <w:color w:val="2B6CB0"/>
          <w:sz w:val="28"/>
          <w:szCs w:val="28"/>
        </w:rPr>
        <w:t xml:space="preserve">6.1 Trading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500"/>
        <w:gridCol w:w="2460"/>
      </w:tblGrid>
      <w:tr>
        <w:tc>
          <w:tcPr>
            <w:tcW w:type="dxa" w:w="20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Market</w:t>
            </w:r>
          </w:p>
        </w:tc>
        <w:tc>
          <w:tcPr>
            <w:tcW w:type="dxa" w:w="24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Hours (Local)</w:t>
            </w:r>
          </w:p>
        </w:tc>
        <w:tc>
          <w:tcPr>
            <w:tcW w:type="dxa" w:w="25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Hours (UTC)</w:t>
            </w:r>
          </w:p>
        </w:tc>
        <w:tc>
          <w:tcPr>
            <w:tcW w:type="dxa" w:w="24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Pre/Post</w:t>
            </w:r>
          </w:p>
        </w:tc>
      </w:tr>
      <w:tr>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1A202C"/>
                <w:sz w:val="20"/>
                <w:szCs w:val="20"/>
              </w:rPr>
              <w:t xml:space="preserve">NSE/BSE (India)</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9:15 AM – 3:30 PM IST</w:t>
            </w:r>
          </w:p>
        </w:tc>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3:45 AM – 10:00 AM UTC</w:t>
            </w:r>
          </w:p>
        </w:tc>
        <w:tc>
          <w:tcPr>
            <w:tcW w:type="dxa" w:w="24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9:00–9:15 AM pre-open</w:t>
            </w:r>
          </w:p>
        </w:tc>
      </w:tr>
      <w:tr>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A202C"/>
                <w:sz w:val="20"/>
                <w:szCs w:val="20"/>
              </w:rPr>
              <w:t xml:space="preserve">NYSE/NASDAQ (US)</w:t>
            </w:r>
          </w:p>
        </w:tc>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9:30 AM – 4:00 PM ET</w:t>
            </w:r>
          </w:p>
        </w:tc>
        <w:tc>
          <w:tcPr>
            <w:tcW w:type="dxa" w:w="2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2:30 PM – 9:00 PM UTC*</w:t>
            </w:r>
          </w:p>
        </w:tc>
        <w:tc>
          <w:tcPr>
            <w:tcW w:type="dxa" w:w="24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4:00–9:30 AM pre, 4:00–8:00 PM post</w:t>
            </w:r>
          </w:p>
        </w:tc>
      </w:tr>
    </w:tbl>
    <w:p>
      <w:pPr>
        <w:spacing w:after="120"/>
      </w:pPr>
      <w:r>
        <w:rPr>
          <w:rFonts w:ascii="Arial" w:cs="Arial" w:eastAsia="Arial" w:hAnsi="Arial"/>
          <w:i/>
          <w:iCs/>
          <w:color w:val="4A5568"/>
          <w:sz w:val="21"/>
          <w:szCs w:val="21"/>
        </w:rPr>
        <w:t xml:space="preserve">* US hours shift by 1 hour during DST transitions. Use exchange_calendars library for accurate handling.</w:t>
      </w:r>
    </w:p>
    <w:p>
      <w:pPr>
        <w:spacing w:after="40"/>
      </w:pPr>
    </w:p>
    <w:p>
      <w:pPr>
        <w:pStyle w:val="Heading2"/>
        <w:spacing w:before="300" w:after="160"/>
      </w:pPr>
      <w:r>
        <w:rPr>
          <w:rFonts w:ascii="Arial" w:cs="Arial" w:eastAsia="Arial" w:hAnsi="Arial"/>
          <w:b/>
          <w:bCs/>
          <w:color w:val="2B6CB0"/>
          <w:sz w:val="28"/>
          <w:szCs w:val="28"/>
        </w:rPr>
        <w:t xml:space="preserve">6.2 Session Overlap</w:t>
      </w:r>
    </w:p>
    <w:p>
      <w:pPr>
        <w:spacing w:after="120"/>
      </w:pPr>
      <w:r>
        <w:rPr>
          <w:rFonts w:ascii="Arial" w:cs="Arial" w:eastAsia="Arial" w:hAnsi="Arial"/>
          <w:color w:val="4A5568"/>
          <w:sz w:val="21"/>
          <w:szCs w:val="21"/>
        </w:rPr>
        <w:t xml:space="preserve">NSE closes at 3:30 PM IST (10:00 AM UTC). US pre-market opens at 4:00 AM ET (9:00 AM UTC during EST). This creates a ~1 hour overlap where both markets have some activity. The scheduler should handle this by running independent per-market job queues.</w:t>
      </w:r>
    </w:p>
    <w:p>
      <w:pPr>
        <w:spacing w:after="40"/>
      </w:pPr>
    </w:p>
    <w:p>
      <w:pPr>
        <w:pStyle w:val="Heading2"/>
        <w:spacing w:before="300" w:after="160"/>
      </w:pPr>
      <w:r>
        <w:rPr>
          <w:rFonts w:ascii="Arial" w:cs="Arial" w:eastAsia="Arial" w:hAnsi="Arial"/>
          <w:b/>
          <w:bCs/>
          <w:color w:val="2B6CB0"/>
          <w:sz w:val="28"/>
          <w:szCs w:val="28"/>
        </w:rPr>
        <w:t xml:space="preserve">6.3 Session-Aware Scheduler</w:t>
      </w:r>
    </w:p>
    <w:p>
      <w:pPr>
        <w:spacing w:after="120"/>
      </w:pPr>
      <w:r>
        <w:rPr>
          <w:rFonts w:ascii="Arial" w:cs="Arial" w:eastAsia="Arial" w:hAnsi="Arial"/>
          <w:color w:val="4A5568"/>
          <w:sz w:val="21"/>
          <w:szCs w:val="21"/>
        </w:rPr>
        <w:t xml:space="preserve">Celery Beat schedules are dynamic, not fixed cron. The scheduler uses exchange_calendars to determine: is a given market open today (holidays), is the market currently in session, and what is the next open/close time. Jobs are categorized:</w:t>
      </w:r>
    </w:p>
    <w:p>
      <w:pPr>
        <w:pStyle w:val="ListParagraph"/>
        <w:numPr>
          <w:ilvl w:val="0"/>
          <w:numId w:val="8"/>
        </w:numPr>
        <w:spacing w:after="60"/>
      </w:pPr>
      <w:r>
        <w:rPr>
          <w:rFonts w:ascii="Arial" w:cs="Arial" w:eastAsia="Arial" w:hAnsi="Arial"/>
          <w:b/>
          <w:bCs/>
          <w:color w:val="4A5568"/>
          <w:sz w:val="21"/>
          <w:szCs w:val="21"/>
        </w:rPr>
        <w:t xml:space="preserve">Market-hours jobs: </w:t>
      </w:r>
      <w:r>
        <w:rPr>
          <w:rFonts w:ascii="Arial" w:cs="Arial" w:eastAsia="Arial" w:hAnsi="Arial"/>
          <w:color w:val="4A5568"/>
          <w:sz w:val="21"/>
          <w:szCs w:val="21"/>
        </w:rPr>
        <w:t xml:space="preserve">Real-time streaming, 5-min indicator recalc, hourly portfolio sync. Run only during session.</w:t>
      </w:r>
    </w:p>
    <w:p>
      <w:pPr>
        <w:pStyle w:val="ListParagraph"/>
        <w:numPr>
          <w:ilvl w:val="0"/>
          <w:numId w:val="8"/>
        </w:numPr>
        <w:spacing w:after="60"/>
      </w:pPr>
      <w:r>
        <w:rPr>
          <w:rFonts w:ascii="Arial" w:cs="Arial" w:eastAsia="Arial" w:hAnsi="Arial"/>
          <w:b/>
          <w:bCs/>
          <w:color w:val="4A5568"/>
          <w:sz w:val="21"/>
          <w:szCs w:val="21"/>
        </w:rPr>
        <w:t xml:space="preserve">Post-close jobs: </w:t>
      </w:r>
      <w:r>
        <w:rPr>
          <w:rFonts w:ascii="Arial" w:cs="Arial" w:eastAsia="Arial" w:hAnsi="Arial"/>
          <w:color w:val="4A5568"/>
          <w:sz w:val="21"/>
          <w:szCs w:val="21"/>
        </w:rPr>
        <w:t xml:space="preserve">Daily OHLCV update, fundamental refresh, risk model recalc, portfolio snapshot. Triggered by session close event.</w:t>
      </w:r>
    </w:p>
    <w:p>
      <w:pPr>
        <w:pStyle w:val="ListParagraph"/>
        <w:numPr>
          <w:ilvl w:val="0"/>
          <w:numId w:val="8"/>
        </w:numPr>
        <w:spacing w:after="60"/>
      </w:pPr>
      <w:r>
        <w:rPr>
          <w:rFonts w:ascii="Arial" w:cs="Arial" w:eastAsia="Arial" w:hAnsi="Arial"/>
          <w:b/>
          <w:bCs/>
          <w:color w:val="4A5568"/>
          <w:sz w:val="21"/>
          <w:szCs w:val="21"/>
        </w:rPr>
        <w:t xml:space="preserve">Market-independent: </w:t>
      </w:r>
      <w:r>
        <w:rPr>
          <w:rFonts w:ascii="Arial" w:cs="Arial" w:eastAsia="Arial" w:hAnsi="Arial"/>
          <w:color w:val="4A5568"/>
          <w:sz w:val="21"/>
          <w:szCs w:val="21"/>
        </w:rPr>
        <w:t xml:space="preserve">News fetch (15 min), sentiment batch, daily maintenance. Run regardless of session.</w:t>
      </w:r>
    </w:p>
    <w:p>
      <w:pPr>
        <w:pStyle w:val="ListParagraph"/>
        <w:numPr>
          <w:ilvl w:val="0"/>
          <w:numId w:val="8"/>
        </w:numPr>
        <w:spacing w:after="60"/>
      </w:pPr>
      <w:r>
        <w:rPr>
          <w:rFonts w:ascii="Arial" w:cs="Arial" w:eastAsia="Arial" w:hAnsi="Arial"/>
          <w:b/>
          <w:bCs/>
          <w:color w:val="4A5568"/>
          <w:sz w:val="21"/>
          <w:szCs w:val="21"/>
        </w:rPr>
        <w:t xml:space="preserve">Holiday handling: </w:t>
      </w:r>
      <w:r>
        <w:rPr>
          <w:rFonts w:ascii="Arial" w:cs="Arial" w:eastAsia="Arial" w:hAnsi="Arial"/>
          <w:color w:val="4A5568"/>
          <w:sz w:val="21"/>
          <w:szCs w:val="21"/>
        </w:rPr>
        <w:t xml:space="preserve">Skip market-hours jobs. Still run market-independent jobs.</w:t>
      </w:r>
    </w:p>
    <w:p>
      <w:pPr>
        <w:sectPr>
          <w:headerReference w:type="default" r:id="rId18"/>
          <w:footerReference w:type="default" r:id="rId19"/>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A365D"/>
          <w:sz w:val="36"/>
          <w:szCs w:val="36"/>
        </w:rPr>
        <w:t xml:space="preserve">7. Core Data Layer (Free-Only Stack)</w:t>
      </w:r>
    </w:p>
    <w:p>
      <w:pPr>
        <w:pStyle w:val="Heading2"/>
        <w:spacing w:before="300" w:after="160"/>
      </w:pPr>
      <w:r>
        <w:rPr>
          <w:rFonts w:ascii="Arial" w:cs="Arial" w:eastAsia="Arial" w:hAnsi="Arial"/>
          <w:b/>
          <w:bCs/>
          <w:color w:val="2B6CB0"/>
          <w:sz w:val="28"/>
          <w:szCs w:val="28"/>
        </w:rPr>
        <w:t xml:space="preserve">7.1 Data Source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400"/>
        <w:gridCol w:w="1760"/>
        <w:gridCol w:w="2000"/>
      </w:tblGrid>
      <w:tr>
        <w:tc>
          <w:tcPr>
            <w:tcW w:type="dxa" w:w="20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Type</w:t>
            </w:r>
          </w:p>
        </w:tc>
        <w:tc>
          <w:tcPr>
            <w:tcW w:type="dxa" w:w="22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14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Cost</w:t>
            </w:r>
          </w:p>
        </w:tc>
        <w:tc>
          <w:tcPr>
            <w:tcW w:type="dxa" w:w="17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Latency</w:t>
            </w:r>
          </w:p>
        </w:tc>
        <w:tc>
          <w:tcPr>
            <w:tcW w:type="dxa" w:w="20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r>
      <w:tr>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US Real-time</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Alpaca Market Data</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Free</w:t>
            </w:r>
          </w:p>
        </w:tc>
        <w:tc>
          <w:tcPr>
            <w:tcW w:type="dxa" w:w="1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Real-time</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38A169"/>
                <w:sz w:val="20"/>
                <w:szCs w:val="20"/>
              </w:rPr>
              <w:t xml:space="preserve">Low (official API)</w:t>
            </w:r>
          </w:p>
        </w:tc>
      </w:tr>
      <w:tr>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IN Real-time</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Zerodha Kite Ticker</w:t>
            </w:r>
          </w:p>
        </w:tc>
        <w:tc>
          <w:tcPr>
            <w:tcW w:type="dxa" w:w="1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₹2K/mo</w:t>
            </w:r>
          </w:p>
        </w:tc>
        <w:tc>
          <w:tcPr>
            <w:tcW w:type="dxa" w:w="1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Real-time</w:t>
            </w:r>
          </w:p>
        </w:tc>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38A169"/>
                <w:sz w:val="20"/>
                <w:szCs w:val="20"/>
              </w:rPr>
              <w:t xml:space="preserve">Low (official API)</w:t>
            </w:r>
          </w:p>
        </w:tc>
      </w:tr>
      <w:tr>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Historical OHLCV</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Yahoo Finance</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Free</w:t>
            </w:r>
          </w:p>
        </w:tc>
        <w:tc>
          <w:tcPr>
            <w:tcW w:type="dxa" w:w="1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15-min delay</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E53E3E"/>
                <w:sz w:val="20"/>
                <w:szCs w:val="20"/>
              </w:rPr>
              <w:t xml:space="preserve">HIGH (see Sec 8)</w:t>
            </w:r>
          </w:p>
        </w:tc>
      </w:tr>
      <w:tr>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US Fundamentals</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SEC EDGAR API</w:t>
            </w:r>
          </w:p>
        </w:tc>
        <w:tc>
          <w:tcPr>
            <w:tcW w:type="dxa" w:w="1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Free</w:t>
            </w:r>
          </w:p>
        </w:tc>
        <w:tc>
          <w:tcPr>
            <w:tcW w:type="dxa" w:w="1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Quarterly</w:t>
            </w:r>
          </w:p>
        </w:tc>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38A169"/>
                <w:sz w:val="20"/>
                <w:szCs w:val="20"/>
              </w:rPr>
              <w:t xml:space="preserve">Low (gov API)</w:t>
            </w:r>
          </w:p>
        </w:tc>
      </w:tr>
      <w:tr>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IN Fundamentals</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Yahoo Finance</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Free</w:t>
            </w:r>
          </w:p>
        </w:tc>
        <w:tc>
          <w:tcPr>
            <w:tcW w:type="dxa" w:w="1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Daily</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E53E3E"/>
                <w:sz w:val="20"/>
                <w:szCs w:val="20"/>
              </w:rPr>
              <w:t xml:space="preserve">HIGH (see Sec 8)</w:t>
            </w:r>
          </w:p>
        </w:tc>
      </w:tr>
      <w:tr>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Economic Data</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FRED API</w:t>
            </w:r>
          </w:p>
        </w:tc>
        <w:tc>
          <w:tcPr>
            <w:tcW w:type="dxa" w:w="1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Free</w:t>
            </w:r>
          </w:p>
        </w:tc>
        <w:tc>
          <w:tcPr>
            <w:tcW w:type="dxa" w:w="1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Daily</w:t>
            </w:r>
          </w:p>
        </w:tc>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38A169"/>
                <w:sz w:val="20"/>
                <w:szCs w:val="20"/>
              </w:rPr>
              <w:t xml:space="preserve">Low (gov API)</w:t>
            </w:r>
          </w:p>
        </w:tc>
      </w:tr>
      <w:tr>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News</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GNews API</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Free tier</w:t>
            </w:r>
          </w:p>
        </w:tc>
        <w:tc>
          <w:tcPr>
            <w:tcW w:type="dxa" w:w="1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Near RT</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DD6B20"/>
                <w:sz w:val="20"/>
                <w:szCs w:val="20"/>
              </w:rPr>
              <w:t xml:space="preserve">Medium (rate limits)</w:t>
            </w:r>
          </w:p>
        </w:tc>
      </w:tr>
      <w:tr>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Sentiment</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FinBERT (local)</w:t>
            </w:r>
          </w:p>
        </w:tc>
        <w:tc>
          <w:tcPr>
            <w:tcW w:type="dxa" w:w="1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Free</w:t>
            </w:r>
          </w:p>
        </w:tc>
        <w:tc>
          <w:tcPr>
            <w:tcW w:type="dxa" w:w="1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&lt; 1 sec</w:t>
            </w:r>
          </w:p>
        </w:tc>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38A169"/>
                <w:sz w:val="20"/>
                <w:szCs w:val="20"/>
              </w:rPr>
              <w:t xml:space="preserve">Low (self-hosted)</w:t>
            </w:r>
          </w:p>
        </w:tc>
      </w:tr>
      <w:tr>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Social</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Reddit API</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Free</w:t>
            </w:r>
          </w:p>
        </w:tc>
        <w:tc>
          <w:tcPr>
            <w:tcW w:type="dxa" w:w="1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Polling</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DD6B20"/>
                <w:sz w:val="20"/>
                <w:szCs w:val="20"/>
              </w:rPr>
              <w:t xml:space="preserve">Medium (TOS changes)</w:t>
            </w:r>
          </w:p>
        </w:tc>
      </w:tr>
      <w:tr>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Indicators</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pandas-ta (local)</w:t>
            </w:r>
          </w:p>
        </w:tc>
        <w:tc>
          <w:tcPr>
            <w:tcW w:type="dxa" w:w="1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Free</w:t>
            </w:r>
          </w:p>
        </w:tc>
        <w:tc>
          <w:tcPr>
            <w:tcW w:type="dxa" w:w="1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Computed</w:t>
            </w:r>
          </w:p>
        </w:tc>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38A169"/>
                <w:sz w:val="20"/>
                <w:szCs w:val="20"/>
              </w:rPr>
              <w:t xml:space="preserve">None (local math)</w:t>
            </w:r>
          </w:p>
        </w:tc>
      </w:tr>
      <w:tr>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FX Rates</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FRED / ECB (free)</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Free</w:t>
            </w:r>
          </w:p>
        </w:tc>
        <w:tc>
          <w:tcPr>
            <w:tcW w:type="dxa" w:w="1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Daily</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38A169"/>
                <w:sz w:val="20"/>
                <w:szCs w:val="20"/>
              </w:rPr>
              <w:t xml:space="preserve">Low (gov sources)</w:t>
            </w:r>
          </w:p>
        </w:tc>
      </w:tr>
    </w:tbl>
    <w:p>
      <w:pPr>
        <w:spacing w:after="40"/>
      </w:pPr>
    </w:p>
    <w:p>
      <w:pPr>
        <w:pStyle w:val="Heading2"/>
        <w:spacing w:before="300" w:after="160"/>
      </w:pPr>
      <w:r>
        <w:rPr>
          <w:rFonts w:ascii="Arial" w:cs="Arial" w:eastAsia="Arial" w:hAnsi="Arial"/>
          <w:b/>
          <w:bCs/>
          <w:color w:val="2B6CB0"/>
          <w:sz w:val="28"/>
          <w:szCs w:val="28"/>
        </w:rPr>
        <w:t xml:space="preserve">7.2 Collection Schedule (Session-Aware)</w:t>
      </w:r>
    </w:p>
    <w:p>
      <w:pPr>
        <w:pStyle w:val="ListParagraph"/>
        <w:numPr>
          <w:ilvl w:val="0"/>
          <w:numId w:val="9"/>
        </w:numPr>
        <w:spacing w:after="60"/>
      </w:pPr>
      <w:r>
        <w:rPr>
          <w:rFonts w:ascii="Arial" w:cs="Arial" w:eastAsia="Arial" w:hAnsi="Arial"/>
          <w:b/>
          <w:bCs/>
          <w:color w:val="4A5568"/>
          <w:sz w:val="21"/>
          <w:szCs w:val="21"/>
        </w:rPr>
        <w:t xml:space="preserve">Real-time (WebSocket): </w:t>
      </w:r>
      <w:r>
        <w:rPr>
          <w:rFonts w:ascii="Arial" w:cs="Arial" w:eastAsia="Arial" w:hAnsi="Arial"/>
          <w:color w:val="4A5568"/>
          <w:sz w:val="21"/>
          <w:szCs w:val="21"/>
        </w:rPr>
        <w:t xml:space="preserve">Alpaca streaming (US session), Kite Ticker (IN session). Off outside hours.</w:t>
      </w:r>
    </w:p>
    <w:p>
      <w:pPr>
        <w:pStyle w:val="ListParagraph"/>
        <w:numPr>
          <w:ilvl w:val="0"/>
          <w:numId w:val="9"/>
        </w:numPr>
        <w:spacing w:after="60"/>
      </w:pPr>
      <w:r>
        <w:rPr>
          <w:rFonts w:ascii="Arial" w:cs="Arial" w:eastAsia="Arial" w:hAnsi="Arial"/>
          <w:b/>
          <w:bCs/>
          <w:color w:val="4A5568"/>
          <w:sz w:val="21"/>
          <w:szCs w:val="21"/>
        </w:rPr>
        <w:t xml:space="preserve">Every 5 min (in-session): </w:t>
      </w:r>
      <w:r>
        <w:rPr>
          <w:rFonts w:ascii="Arial" w:cs="Arial" w:eastAsia="Arial" w:hAnsi="Arial"/>
          <w:color w:val="4A5568"/>
          <w:sz w:val="21"/>
          <w:szCs w:val="21"/>
        </w:rPr>
        <w:t xml:space="preserve">Technical indicator recalculation.</w:t>
      </w:r>
    </w:p>
    <w:p>
      <w:pPr>
        <w:pStyle w:val="ListParagraph"/>
        <w:numPr>
          <w:ilvl w:val="0"/>
          <w:numId w:val="9"/>
        </w:numPr>
        <w:spacing w:after="60"/>
      </w:pPr>
      <w:r>
        <w:rPr>
          <w:rFonts w:ascii="Arial" w:cs="Arial" w:eastAsia="Arial" w:hAnsi="Arial"/>
          <w:b/>
          <w:bCs/>
          <w:color w:val="4A5568"/>
          <w:sz w:val="21"/>
          <w:szCs w:val="21"/>
        </w:rPr>
        <w:t xml:space="preserve">Every 15 min (always): </w:t>
      </w:r>
      <w:r>
        <w:rPr>
          <w:rFonts w:ascii="Arial" w:cs="Arial" w:eastAsia="Arial" w:hAnsi="Arial"/>
          <w:color w:val="4A5568"/>
          <w:sz w:val="21"/>
          <w:szCs w:val="21"/>
        </w:rPr>
        <w:t xml:space="preserve">News fetch + sentiment batch.</w:t>
      </w:r>
    </w:p>
    <w:p>
      <w:pPr>
        <w:pStyle w:val="ListParagraph"/>
        <w:numPr>
          <w:ilvl w:val="0"/>
          <w:numId w:val="9"/>
        </w:numPr>
        <w:spacing w:after="60"/>
      </w:pPr>
      <w:r>
        <w:rPr>
          <w:rFonts w:ascii="Arial" w:cs="Arial" w:eastAsia="Arial" w:hAnsi="Arial"/>
          <w:b/>
          <w:bCs/>
          <w:color w:val="4A5568"/>
          <w:sz w:val="21"/>
          <w:szCs w:val="21"/>
        </w:rPr>
        <w:t xml:space="preserve">Hourly (in-session): </w:t>
      </w:r>
      <w:r>
        <w:rPr>
          <w:rFonts w:ascii="Arial" w:cs="Arial" w:eastAsia="Arial" w:hAnsi="Arial"/>
          <w:color w:val="4A5568"/>
          <w:sz w:val="21"/>
          <w:szCs w:val="21"/>
        </w:rPr>
        <w:t xml:space="preserve">Portfolio sync with broker.</w:t>
      </w:r>
    </w:p>
    <w:p>
      <w:pPr>
        <w:pStyle w:val="ListParagraph"/>
        <w:numPr>
          <w:ilvl w:val="0"/>
          <w:numId w:val="9"/>
        </w:numPr>
        <w:spacing w:after="60"/>
      </w:pPr>
      <w:r>
        <w:rPr>
          <w:rFonts w:ascii="Arial" w:cs="Arial" w:eastAsia="Arial" w:hAnsi="Arial"/>
          <w:b/>
          <w:bCs/>
          <w:color w:val="4A5568"/>
          <w:sz w:val="21"/>
          <w:szCs w:val="21"/>
        </w:rPr>
        <w:t xml:space="preserve">Post-close (per market): </w:t>
      </w:r>
      <w:r>
        <w:rPr>
          <w:rFonts w:ascii="Arial" w:cs="Arial" w:eastAsia="Arial" w:hAnsi="Arial"/>
          <w:color w:val="4A5568"/>
          <w:sz w:val="21"/>
          <w:szCs w:val="21"/>
        </w:rPr>
        <w:t xml:space="preserve">OHLCV, fundamentals, risk models, portfolio snapshot.</w:t>
      </w:r>
    </w:p>
    <w:p>
      <w:pPr>
        <w:pStyle w:val="ListParagraph"/>
        <w:numPr>
          <w:ilvl w:val="0"/>
          <w:numId w:val="9"/>
        </w:numPr>
        <w:spacing w:after="60"/>
      </w:pPr>
      <w:r>
        <w:rPr>
          <w:rFonts w:ascii="Arial" w:cs="Arial" w:eastAsia="Arial" w:hAnsi="Arial"/>
          <w:b/>
          <w:bCs/>
          <w:color w:val="4A5568"/>
          <w:sz w:val="21"/>
          <w:szCs w:val="21"/>
        </w:rPr>
        <w:t xml:space="preserve">Daily (morning): </w:t>
      </w:r>
      <w:r>
        <w:rPr>
          <w:rFonts w:ascii="Arial" w:cs="Arial" w:eastAsia="Arial" w:hAnsi="Arial"/>
          <w:color w:val="4A5568"/>
          <w:sz w:val="21"/>
          <w:szCs w:val="21"/>
        </w:rPr>
        <w:t xml:space="preserve">FX rate refresh from FRED/ECB.</w:t>
      </w:r>
    </w:p>
    <w:p>
      <w:pPr>
        <w:pStyle w:val="ListParagraph"/>
        <w:numPr>
          <w:ilvl w:val="0"/>
          <w:numId w:val="9"/>
        </w:numPr>
        <w:spacing w:after="60"/>
      </w:pPr>
      <w:r>
        <w:rPr>
          <w:rFonts w:ascii="Arial" w:cs="Arial" w:eastAsia="Arial" w:hAnsi="Arial"/>
          <w:b/>
          <w:bCs/>
          <w:color w:val="4A5568"/>
          <w:sz w:val="21"/>
          <w:szCs w:val="21"/>
        </w:rPr>
        <w:t xml:space="preserve">Weekly: </w:t>
      </w:r>
      <w:r>
        <w:rPr>
          <w:rFonts w:ascii="Arial" w:cs="Arial" w:eastAsia="Arial" w:hAnsi="Arial"/>
          <w:color w:val="4A5568"/>
          <w:sz w:val="21"/>
          <w:szCs w:val="21"/>
        </w:rPr>
        <w:t xml:space="preserve">SEC EDGAR filings, economic calendar update.</w:t>
      </w:r>
    </w:p>
    <w:p>
      <w:pPr>
        <w:sectPr>
          <w:headerReference w:type="default" r:id="rId20"/>
          <w:footerReference w:type="default" r:id="rId21"/>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A365D"/>
          <w:sz w:val="36"/>
          <w:szCs w:val="36"/>
        </w:rPr>
        <w:t xml:space="preserve">8. Free Data: Productization Caveats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DD6B20" w:sz="12"/>
              <w:bottom w:val="none" w:sz="0"/>
              <w:right w:val="none" w:sz="0"/>
            </w:tcBorders>
            <w:shd w:fill="FFF8F0" w:val="clear"/>
            <w:tcMar>
              <w:top w:type="dxa" w:w="120"/>
              <w:left w:type="dxa" w:w="200"/>
              <w:bottom w:type="dxa" w:w="120"/>
              <w:right w:type="dxa" w:w="200"/>
            </w:tcMar>
          </w:tcPr>
          <w:p>
            <w:r>
              <w:rPr>
                <w:rFonts w:ascii="Arial" w:cs="Arial" w:eastAsia="Arial" w:hAnsi="Arial"/>
                <w:i/>
                <w:iCs/>
                <w:color w:val="DD6B20"/>
                <w:sz w:val="21"/>
                <w:szCs w:val="21"/>
              </w:rPr>
              <w:t xml:space="preserve">This section documents the risks of relying on free/unofficial data sources and defines the escape hatch to paid providers. Every free data dependency has a documented reliability rating and a named paid alternative.</w:t>
            </w:r>
          </w:p>
        </w:tc>
      </w:tr>
    </w:tbl>
    <w:p>
      <w:pPr>
        <w:spacing w:after="40"/>
      </w:pPr>
    </w:p>
    <w:p>
      <w:pPr>
        <w:pStyle w:val="Heading2"/>
        <w:spacing w:before="300" w:after="160"/>
      </w:pPr>
      <w:r>
        <w:rPr>
          <w:rFonts w:ascii="Arial" w:cs="Arial" w:eastAsia="Arial" w:hAnsi="Arial"/>
          <w:b/>
          <w:bCs/>
          <w:color w:val="2B6CB0"/>
          <w:sz w:val="28"/>
          <w:szCs w:val="28"/>
        </w:rPr>
        <w:t xml:space="preserve">8.1 Yahoo Finance (yfinance)</w:t>
      </w:r>
    </w:p>
    <w:p>
      <w:pPr>
        <w:pStyle w:val="ListParagraph"/>
        <w:numPr>
          <w:ilvl w:val="0"/>
          <w:numId w:val="10"/>
        </w:numPr>
        <w:spacing w:after="60"/>
      </w:pPr>
      <w:r>
        <w:rPr>
          <w:rFonts w:ascii="Arial" w:cs="Arial" w:eastAsia="Arial" w:hAnsi="Arial"/>
          <w:b/>
          <w:bCs/>
          <w:color w:val="4A5568"/>
          <w:sz w:val="21"/>
          <w:szCs w:val="21"/>
        </w:rPr>
        <w:t xml:space="preserve">What it provides: </w:t>
      </w:r>
      <w:r>
        <w:rPr>
          <w:rFonts w:ascii="Arial" w:cs="Arial" w:eastAsia="Arial" w:hAnsi="Arial"/>
          <w:color w:val="4A5568"/>
          <w:sz w:val="21"/>
          <w:szCs w:val="21"/>
        </w:rPr>
        <w:t xml:space="preserve">Historical OHLCV, basic fundamentals, quote data for global markets.</w:t>
      </w:r>
    </w:p>
    <w:p>
      <w:pPr>
        <w:pStyle w:val="ListParagraph"/>
        <w:numPr>
          <w:ilvl w:val="0"/>
          <w:numId w:val="10"/>
        </w:numPr>
        <w:spacing w:after="60"/>
      </w:pPr>
      <w:r>
        <w:rPr>
          <w:rFonts w:ascii="Arial" w:cs="Arial" w:eastAsia="Arial" w:hAnsi="Arial"/>
          <w:b/>
          <w:bCs/>
          <w:color w:val="4A5568"/>
          <w:sz w:val="21"/>
          <w:szCs w:val="21"/>
        </w:rPr>
        <w:t xml:space="preserve">Licensing risk: </w:t>
      </w:r>
      <w:r>
        <w:rPr>
          <w:rFonts w:ascii="Arial" w:cs="Arial" w:eastAsia="Arial" w:hAnsi="Arial"/>
          <w:color w:val="4A5568"/>
          <w:sz w:val="21"/>
          <w:szCs w:val="21"/>
        </w:rPr>
        <w:t xml:space="preserve">Yahoo Finance does not offer a public API. The yfinance library scrapes Yahoo’s internal endpoints. Yahoo’s ToS prohibits automated scraping. This means Yahoo can block access at any time without notice.</w:t>
      </w:r>
    </w:p>
    <w:p>
      <w:pPr>
        <w:pStyle w:val="ListParagraph"/>
        <w:numPr>
          <w:ilvl w:val="0"/>
          <w:numId w:val="10"/>
        </w:numPr>
        <w:spacing w:after="60"/>
      </w:pPr>
      <w:r>
        <w:rPr>
          <w:rFonts w:ascii="Arial" w:cs="Arial" w:eastAsia="Arial" w:hAnsi="Arial"/>
          <w:b/>
          <w:bCs/>
          <w:color w:val="4A5568"/>
          <w:sz w:val="21"/>
          <w:szCs w:val="21"/>
        </w:rPr>
        <w:t xml:space="preserve">Reliability: </w:t>
      </w:r>
      <w:r>
        <w:rPr>
          <w:rFonts w:ascii="Arial" w:cs="Arial" w:eastAsia="Arial" w:hAnsi="Arial"/>
          <w:color w:val="4A5568"/>
          <w:sz w:val="21"/>
          <w:szCs w:val="21"/>
        </w:rPr>
        <w:t xml:space="preserve">Generally stable (used by millions of developers) but occasional outages and format changes break the library. Updates usually ship within days.</w:t>
      </w:r>
    </w:p>
    <w:p>
      <w:pPr>
        <w:pStyle w:val="ListParagraph"/>
        <w:numPr>
          <w:ilvl w:val="0"/>
          <w:numId w:val="10"/>
        </w:numPr>
        <w:spacing w:after="60"/>
      </w:pPr>
      <w:r>
        <w:rPr>
          <w:rFonts w:ascii="Arial" w:cs="Arial" w:eastAsia="Arial" w:hAnsi="Arial"/>
          <w:b/>
          <w:bCs/>
          <w:color w:val="4A5568"/>
          <w:sz w:val="21"/>
          <w:szCs w:val="21"/>
        </w:rPr>
        <w:t xml:space="preserve">Mitigation: </w:t>
      </w:r>
      <w:r>
        <w:rPr>
          <w:rFonts w:ascii="Arial" w:cs="Arial" w:eastAsia="Arial" w:hAnsi="Arial"/>
          <w:color w:val="4A5568"/>
          <w:sz w:val="21"/>
          <w:szCs w:val="21"/>
        </w:rPr>
        <w:t xml:space="preserve">Cache aggressively (24h for fundamentals, 1h for OHLCV). Abstract behind DataProvider interface. Never assume availability.</w:t>
      </w:r>
    </w:p>
    <w:p>
      <w:pPr>
        <w:pStyle w:val="ListParagraph"/>
        <w:numPr>
          <w:ilvl w:val="0"/>
          <w:numId w:val="10"/>
        </w:numPr>
        <w:spacing w:after="60"/>
      </w:pPr>
      <w:r>
        <w:rPr>
          <w:rFonts w:ascii="Arial" w:cs="Arial" w:eastAsia="Arial" w:hAnsi="Arial"/>
          <w:b/>
          <w:bCs/>
          <w:color w:val="4A5568"/>
          <w:sz w:val="21"/>
          <w:szCs w:val="21"/>
        </w:rPr>
        <w:t xml:space="preserve">Paid escape hatch: </w:t>
      </w:r>
      <w:r>
        <w:rPr>
          <w:rFonts w:ascii="Arial" w:cs="Arial" w:eastAsia="Arial" w:hAnsi="Arial"/>
          <w:color w:val="4A5568"/>
          <w:sz w:val="21"/>
          <w:szCs w:val="21"/>
        </w:rPr>
        <w:t xml:space="preserve">Polygon.io ($29/mo for stocks) or Twelve Data (free tier + paid). Same DataProvider interface, swap implementation.</w:t>
      </w:r>
    </w:p>
    <w:p>
      <w:pPr>
        <w:spacing w:after="40"/>
      </w:pPr>
    </w:p>
    <w:p>
      <w:pPr>
        <w:pStyle w:val="Heading2"/>
        <w:spacing w:before="300" w:after="160"/>
      </w:pPr>
      <w:r>
        <w:rPr>
          <w:rFonts w:ascii="Arial" w:cs="Arial" w:eastAsia="Arial" w:hAnsi="Arial"/>
          <w:b/>
          <w:bCs/>
          <w:color w:val="2B6CB0"/>
          <w:sz w:val="28"/>
          <w:szCs w:val="28"/>
        </w:rPr>
        <w:t xml:space="preserve">8.2 GNews API</w:t>
      </w:r>
    </w:p>
    <w:p>
      <w:pPr>
        <w:pStyle w:val="ListParagraph"/>
        <w:numPr>
          <w:ilvl w:val="0"/>
          <w:numId w:val="11"/>
        </w:numPr>
        <w:spacing w:after="60"/>
      </w:pPr>
      <w:r>
        <w:rPr>
          <w:rFonts w:ascii="Arial" w:cs="Arial" w:eastAsia="Arial" w:hAnsi="Arial"/>
          <w:b/>
          <w:bCs/>
          <w:color w:val="4A5568"/>
          <w:sz w:val="21"/>
          <w:szCs w:val="21"/>
        </w:rPr>
        <w:t xml:space="preserve">Licensing: </w:t>
      </w:r>
      <w:r>
        <w:rPr>
          <w:rFonts w:ascii="Arial" w:cs="Arial" w:eastAsia="Arial" w:hAnsi="Arial"/>
          <w:color w:val="4A5568"/>
          <w:sz w:val="21"/>
          <w:szCs w:val="21"/>
        </w:rPr>
        <w:t xml:space="preserve">Official free tier. 100 requests/day. Commercial use allowed on free tier.</w:t>
      </w:r>
    </w:p>
    <w:p>
      <w:pPr>
        <w:pStyle w:val="ListParagraph"/>
        <w:numPr>
          <w:ilvl w:val="0"/>
          <w:numId w:val="11"/>
        </w:numPr>
        <w:spacing w:after="60"/>
      </w:pPr>
      <w:r>
        <w:rPr>
          <w:rFonts w:ascii="Arial" w:cs="Arial" w:eastAsia="Arial" w:hAnsi="Arial"/>
          <w:b/>
          <w:bCs/>
          <w:color w:val="4A5568"/>
          <w:sz w:val="21"/>
          <w:szCs w:val="21"/>
        </w:rPr>
        <w:t xml:space="preserve">Reliability: </w:t>
      </w:r>
      <w:r>
        <w:rPr>
          <w:rFonts w:ascii="Arial" w:cs="Arial" w:eastAsia="Arial" w:hAnsi="Arial"/>
          <w:color w:val="4A5568"/>
          <w:sz w:val="21"/>
          <w:szCs w:val="21"/>
        </w:rPr>
        <w:t xml:space="preserve">Stable but rate-limited. 100 req/day is tight for multi-stock monitoring.</w:t>
      </w:r>
    </w:p>
    <w:p>
      <w:pPr>
        <w:pStyle w:val="ListParagraph"/>
        <w:numPr>
          <w:ilvl w:val="0"/>
          <w:numId w:val="11"/>
        </w:numPr>
        <w:spacing w:after="60"/>
      </w:pPr>
      <w:r>
        <w:rPr>
          <w:rFonts w:ascii="Arial" w:cs="Arial" w:eastAsia="Arial" w:hAnsi="Arial"/>
          <w:b/>
          <w:bCs/>
          <w:color w:val="4A5568"/>
          <w:sz w:val="21"/>
          <w:szCs w:val="21"/>
        </w:rPr>
        <w:t xml:space="preserve">Mitigation: </w:t>
      </w:r>
      <w:r>
        <w:rPr>
          <w:rFonts w:ascii="Arial" w:cs="Arial" w:eastAsia="Arial" w:hAnsi="Arial"/>
          <w:color w:val="4A5568"/>
          <w:sz w:val="21"/>
          <w:szCs w:val="21"/>
        </w:rPr>
        <w:t xml:space="preserve">Batch queries by sector (not per-stock). Supplement with free RSS feeds.</w:t>
      </w:r>
    </w:p>
    <w:p>
      <w:pPr>
        <w:pStyle w:val="ListParagraph"/>
        <w:numPr>
          <w:ilvl w:val="0"/>
          <w:numId w:val="11"/>
        </w:numPr>
        <w:spacing w:after="60"/>
      </w:pPr>
      <w:r>
        <w:rPr>
          <w:rFonts w:ascii="Arial" w:cs="Arial" w:eastAsia="Arial" w:hAnsi="Arial"/>
          <w:b/>
          <w:bCs/>
          <w:color w:val="4A5568"/>
          <w:sz w:val="21"/>
          <w:szCs w:val="21"/>
        </w:rPr>
        <w:t xml:space="preserve">Paid escape hatch: </w:t>
      </w:r>
      <w:r>
        <w:rPr>
          <w:rFonts w:ascii="Arial" w:cs="Arial" w:eastAsia="Arial" w:hAnsi="Arial"/>
          <w:color w:val="4A5568"/>
          <w:sz w:val="21"/>
          <w:szCs w:val="21"/>
        </w:rPr>
        <w:t xml:space="preserve">NewsAPI.org ($449/mo for business) or Aylien News API.</w:t>
      </w:r>
    </w:p>
    <w:p>
      <w:pPr>
        <w:spacing w:after="40"/>
      </w:pPr>
    </w:p>
    <w:p>
      <w:pPr>
        <w:pStyle w:val="Heading2"/>
        <w:spacing w:before="300" w:after="160"/>
      </w:pPr>
      <w:r>
        <w:rPr>
          <w:rFonts w:ascii="Arial" w:cs="Arial" w:eastAsia="Arial" w:hAnsi="Arial"/>
          <w:b/>
          <w:bCs/>
          <w:color w:val="2B6CB0"/>
          <w:sz w:val="28"/>
          <w:szCs w:val="28"/>
        </w:rPr>
        <w:t xml:space="preserve">8.3 Reddit API</w:t>
      </w:r>
    </w:p>
    <w:p>
      <w:pPr>
        <w:pStyle w:val="ListParagraph"/>
        <w:numPr>
          <w:ilvl w:val="0"/>
          <w:numId w:val="12"/>
        </w:numPr>
        <w:spacing w:after="60"/>
      </w:pPr>
      <w:r>
        <w:rPr>
          <w:rFonts w:ascii="Arial" w:cs="Arial" w:eastAsia="Arial" w:hAnsi="Arial"/>
          <w:b/>
          <w:bCs/>
          <w:color w:val="4A5568"/>
          <w:sz w:val="21"/>
          <w:szCs w:val="21"/>
        </w:rPr>
        <w:t xml:space="preserve">Licensing: </w:t>
      </w:r>
      <w:r>
        <w:rPr>
          <w:rFonts w:ascii="Arial" w:cs="Arial" w:eastAsia="Arial" w:hAnsi="Arial"/>
          <w:color w:val="4A5568"/>
          <w:sz w:val="21"/>
          <w:szCs w:val="21"/>
        </w:rPr>
        <w:t xml:space="preserve">Official API. Free tier rate-limited. Reddit has tightened API access (2023 changes).</w:t>
      </w:r>
    </w:p>
    <w:p>
      <w:pPr>
        <w:pStyle w:val="ListParagraph"/>
        <w:numPr>
          <w:ilvl w:val="0"/>
          <w:numId w:val="12"/>
        </w:numPr>
        <w:spacing w:after="60"/>
      </w:pPr>
      <w:r>
        <w:rPr>
          <w:rFonts w:ascii="Arial" w:cs="Arial" w:eastAsia="Arial" w:hAnsi="Arial"/>
          <w:b/>
          <w:bCs/>
          <w:color w:val="4A5568"/>
          <w:sz w:val="21"/>
          <w:szCs w:val="21"/>
        </w:rPr>
        <w:t xml:space="preserve">Reliability: </w:t>
      </w:r>
      <w:r>
        <w:rPr>
          <w:rFonts w:ascii="Arial" w:cs="Arial" w:eastAsia="Arial" w:hAnsi="Arial"/>
          <w:color w:val="4A5568"/>
          <w:sz w:val="21"/>
          <w:szCs w:val="21"/>
        </w:rPr>
        <w:t xml:space="preserve">API access could be further restricted or priced. Not a critical dependency.</w:t>
      </w:r>
    </w:p>
    <w:p>
      <w:pPr>
        <w:pStyle w:val="ListParagraph"/>
        <w:numPr>
          <w:ilvl w:val="0"/>
          <w:numId w:val="12"/>
        </w:numPr>
        <w:spacing w:after="60"/>
      </w:pPr>
      <w:r>
        <w:rPr>
          <w:rFonts w:ascii="Arial" w:cs="Arial" w:eastAsia="Arial" w:hAnsi="Arial"/>
          <w:b/>
          <w:bCs/>
          <w:color w:val="4A5568"/>
          <w:sz w:val="21"/>
          <w:szCs w:val="21"/>
        </w:rPr>
        <w:t xml:space="preserve">Mitigation: </w:t>
      </w:r>
      <w:r>
        <w:rPr>
          <w:rFonts w:ascii="Arial" w:cs="Arial" w:eastAsia="Arial" w:hAnsi="Arial"/>
          <w:color w:val="4A5568"/>
          <w:sz w:val="21"/>
          <w:szCs w:val="21"/>
        </w:rPr>
        <w:t xml:space="preserve">Social sentiment is weighted at only 20% of composite. If Reddit becomes unavailable, degrade gracefully (remove social component, reweight remaining signals).</w:t>
      </w:r>
    </w:p>
    <w:p>
      <w:pPr>
        <w:spacing w:after="40"/>
      </w:pPr>
    </w:p>
    <w:p>
      <w:pPr>
        <w:pStyle w:val="Heading2"/>
        <w:spacing w:before="300" w:after="160"/>
      </w:pPr>
      <w:r>
        <w:rPr>
          <w:rFonts w:ascii="Arial" w:cs="Arial" w:eastAsia="Arial" w:hAnsi="Arial"/>
          <w:b/>
          <w:bCs/>
          <w:color w:val="2B6CB0"/>
          <w:sz w:val="28"/>
          <w:szCs w:val="28"/>
        </w:rPr>
        <w:t xml:space="preserve">8.4 Escape Hatch Strategy</w:t>
      </w:r>
    </w:p>
    <w:p>
      <w:pPr>
        <w:spacing w:after="120"/>
      </w:pPr>
      <w:r>
        <w:rPr>
          <w:rFonts w:ascii="Arial" w:cs="Arial" w:eastAsia="Arial" w:hAnsi="Arial"/>
          <w:color w:val="4A5568"/>
          <w:sz w:val="21"/>
          <w:szCs w:val="21"/>
        </w:rPr>
        <w:t xml:space="preserve">Every data source is accessed through a DataProvider abstraction. The interface defines: fetch_historical(symbol, start, end), fetch_quote(symbol), fetch_fundamentals(symbol). Swapping from Yahoo to Polygon requires only a new PolygonProvider implementation — no changes to analysis or intelligence layers. The trigger to upgrade: either the free source becomes unreliable (&gt;3 outages/month) OR user base justifies the cost (revenue &gt; 5x data cost).</w:t>
      </w:r>
    </w:p>
    <w:p>
      <w:pPr>
        <w:sectPr>
          <w:headerReference w:type="default" r:id="rId22"/>
          <w:footerReference w:type="default" r:id="rId23"/>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A365D"/>
          <w:sz w:val="36"/>
          <w:szCs w:val="36"/>
        </w:rPr>
        <w:t xml:space="preserve">9. AI &amp; Analysis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B6CB0" w:sz="12"/>
              <w:bottom w:val="none" w:sz="0"/>
              <w:right w:val="none" w:sz="0"/>
            </w:tcBorders>
            <w:shd w:fill="EBF4FF" w:val="clear"/>
            <w:tcMar>
              <w:top w:type="dxa" w:w="120"/>
              <w:left w:type="dxa" w:w="200"/>
              <w:bottom w:type="dxa" w:w="120"/>
              <w:right w:type="dxa" w:w="200"/>
            </w:tcMar>
          </w:tcPr>
          <w:p>
            <w:r>
              <w:rPr>
                <w:rFonts w:ascii="Arial" w:cs="Arial" w:eastAsia="Arial" w:hAnsi="Arial"/>
                <w:i/>
                <w:iCs/>
                <w:color w:val="2B6CB0"/>
                <w:sz w:val="21"/>
                <w:szCs w:val="21"/>
              </w:rPr>
              <w:t xml:space="preserve">All analysis is deterministic and reproducible. Given the same input data, the system produces the same output every time. LLMs are never in the decision loop — only in the explanation layer.</w:t>
            </w:r>
          </w:p>
        </w:tc>
      </w:tr>
    </w:tbl>
    <w:p>
      <w:pPr>
        <w:spacing w:after="40"/>
      </w:pPr>
    </w:p>
    <w:p>
      <w:pPr>
        <w:pStyle w:val="Heading2"/>
        <w:spacing w:before="300" w:after="160"/>
      </w:pPr>
      <w:r>
        <w:rPr>
          <w:rFonts w:ascii="Arial" w:cs="Arial" w:eastAsia="Arial" w:hAnsi="Arial"/>
          <w:b/>
          <w:bCs/>
          <w:color w:val="2B6CB0"/>
          <w:sz w:val="28"/>
          <w:szCs w:val="28"/>
        </w:rPr>
        <w:t xml:space="preserve">9.1 Technical Analysis (pandas-ta)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Indicator</w:t>
            </w:r>
          </w:p>
        </w:tc>
        <w:tc>
          <w:tcPr>
            <w:tcW w:type="dxa" w:w="41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30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RSI (14)</w:t>
            </w:r>
          </w:p>
        </w:tc>
        <w:tc>
          <w:tcPr>
            <w:tcW w:type="dxa" w:w="4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Overbought/oversold</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0–100 + zone</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MACD</w:t>
            </w:r>
          </w:p>
        </w:tc>
        <w:tc>
          <w:tcPr>
            <w:tcW w:type="dxa" w:w="4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Trend momentum, crossovers</w:t>
            </w:r>
          </w:p>
        </w:tc>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Bullish/Bearish/Neutral</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SMA/EMA (20,50,200)</w:t>
            </w:r>
          </w:p>
        </w:tc>
        <w:tc>
          <w:tcPr>
            <w:tcW w:type="dxa" w:w="4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Trend, support/resistance</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Above/Below + crossovers</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Bollinger Bands</w:t>
            </w:r>
          </w:p>
        </w:tc>
        <w:tc>
          <w:tcPr>
            <w:tcW w:type="dxa" w:w="4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Volatility, mean reversion</w:t>
            </w:r>
          </w:p>
        </w:tc>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Squeeze/Expansion</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ATR (14)</w:t>
            </w:r>
          </w:p>
        </w:tc>
        <w:tc>
          <w:tcPr>
            <w:tcW w:type="dxa" w:w="4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Volatility for sizing</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Value + percentile</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Volume Profile</w:t>
            </w:r>
          </w:p>
        </w:tc>
        <w:tc>
          <w:tcPr>
            <w:tcW w:type="dxa" w:w="4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Volume confirmation</w:t>
            </w:r>
          </w:p>
        </w:tc>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Above/Below avg</w:t>
            </w:r>
          </w:p>
        </w:tc>
      </w:tr>
    </w:tbl>
    <w:p>
      <w:pPr>
        <w:spacing w:after="120"/>
      </w:pPr>
      <w:r>
        <w:rPr>
          <w:rFonts w:ascii="Arial" w:cs="Arial" w:eastAsia="Arial" w:hAnsi="Arial"/>
          <w:color w:val="4A5568"/>
          <w:sz w:val="21"/>
          <w:szCs w:val="21"/>
        </w:rPr>
        <w:t xml:space="preserve">Composite: RSI 20%, MACD 20%, MA alignment 25%, Bollinger 15%, Volume 10%, ATR 10%. Output: −1 to +1 → Strong Sell to Strong Buy.</w:t>
      </w:r>
    </w:p>
    <w:p>
      <w:pPr>
        <w:spacing w:after="40"/>
      </w:pPr>
    </w:p>
    <w:p>
      <w:pPr>
        <w:pStyle w:val="Heading2"/>
        <w:spacing w:before="300" w:after="160"/>
      </w:pPr>
      <w:r>
        <w:rPr>
          <w:rFonts w:ascii="Arial" w:cs="Arial" w:eastAsia="Arial" w:hAnsi="Arial"/>
          <w:b/>
          <w:bCs/>
          <w:color w:val="2B6CB0"/>
          <w:sz w:val="28"/>
          <w:szCs w:val="28"/>
        </w:rPr>
        <w:t xml:space="preserve">9.2 Fundamental Analysis</w:t>
      </w:r>
    </w:p>
    <w:p>
      <w:pPr>
        <w:spacing w:after="120"/>
      </w:pPr>
      <w:r>
        <w:rPr>
          <w:rFonts w:ascii="Arial" w:cs="Arial" w:eastAsia="Arial" w:hAnsi="Arial"/>
          <w:color w:val="4A5568"/>
          <w:sz w:val="21"/>
          <w:szCs w:val="21"/>
        </w:rPr>
        <w:t xml:space="preserve">Revenue Growth (25%), Earnings Trend (25%), Debt Health (20%), P/E Valuation (15%), Cash Flow (15%). Each metric 0–100 vs. sector peers.</w:t>
      </w:r>
    </w:p>
    <w:p>
      <w:pPr>
        <w:spacing w:after="40"/>
      </w:pPr>
    </w:p>
    <w:p>
      <w:pPr>
        <w:pStyle w:val="Heading2"/>
        <w:spacing w:before="300" w:after="160"/>
      </w:pPr>
      <w:r>
        <w:rPr>
          <w:rFonts w:ascii="Arial" w:cs="Arial" w:eastAsia="Arial" w:hAnsi="Arial"/>
          <w:b/>
          <w:bCs/>
          <w:color w:val="2B6CB0"/>
          <w:sz w:val="28"/>
          <w:szCs w:val="28"/>
        </w:rPr>
        <w:t xml:space="preserve">9.3 Sentiment (FinBERT, Local)</w:t>
      </w:r>
    </w:p>
    <w:p>
      <w:pPr>
        <w:spacing w:after="120"/>
      </w:pPr>
      <w:r>
        <w:rPr>
          <w:rFonts w:ascii="Arial" w:cs="Arial" w:eastAsia="Arial" w:hAnsi="Arial"/>
          <w:color w:val="4A5568"/>
          <w:sz w:val="21"/>
          <w:szCs w:val="21"/>
        </w:rPr>
        <w:t xml:space="preserve">News 50%, Social 20%, Macro 30%. Decay: 24h half-life (news), 1h (social). FinBERT runs on CPU, ~50–100 headlines/sec.</w:t>
      </w:r>
    </w:p>
    <w:p>
      <w:pPr>
        <w:spacing w:after="40"/>
      </w:pPr>
    </w:p>
    <w:p>
      <w:pPr>
        <w:pStyle w:val="Heading2"/>
        <w:spacing w:before="300" w:after="160"/>
      </w:pPr>
      <w:r>
        <w:rPr>
          <w:rFonts w:ascii="Arial" w:cs="Arial" w:eastAsia="Arial" w:hAnsi="Arial"/>
          <w:b/>
          <w:bCs/>
          <w:color w:val="2B6CB0"/>
          <w:sz w:val="28"/>
          <w:szCs w:val="28"/>
        </w:rPr>
        <w:t xml:space="preserve">9.4 Risk Modeling</w:t>
      </w:r>
    </w:p>
    <w:p>
      <w:pPr>
        <w:pStyle w:val="ListParagraph"/>
        <w:numPr>
          <w:ilvl w:val="0"/>
          <w:numId w:val="13"/>
        </w:numPr>
        <w:spacing w:after="60"/>
      </w:pPr>
      <w:r>
        <w:rPr>
          <w:rFonts w:ascii="Arial" w:cs="Arial" w:eastAsia="Arial" w:hAnsi="Arial"/>
          <w:b/>
          <w:bCs/>
          <w:color w:val="4A5568"/>
          <w:sz w:val="21"/>
          <w:szCs w:val="21"/>
        </w:rPr>
        <w:t xml:space="preserve">Historical Volatility: </w:t>
      </w:r>
      <w:r>
        <w:rPr>
          <w:rFonts w:ascii="Arial" w:cs="Arial" w:eastAsia="Arial" w:hAnsi="Arial"/>
          <w:color w:val="4A5568"/>
          <w:sz w:val="21"/>
          <w:szCs w:val="21"/>
        </w:rPr>
        <w:t xml:space="preserve">30d/90d annualized.</w:t>
      </w:r>
    </w:p>
    <w:p>
      <w:pPr>
        <w:pStyle w:val="ListParagraph"/>
        <w:numPr>
          <w:ilvl w:val="0"/>
          <w:numId w:val="13"/>
        </w:numPr>
        <w:spacing w:after="60"/>
      </w:pPr>
      <w:r>
        <w:rPr>
          <w:rFonts w:ascii="Arial" w:cs="Arial" w:eastAsia="Arial" w:hAnsi="Arial"/>
          <w:b/>
          <w:bCs/>
          <w:color w:val="4A5568"/>
          <w:sz w:val="21"/>
          <w:szCs w:val="21"/>
        </w:rPr>
        <w:t xml:space="preserve">VaR: </w:t>
      </w:r>
      <w:r>
        <w:rPr>
          <w:rFonts w:ascii="Arial" w:cs="Arial" w:eastAsia="Arial" w:hAnsi="Arial"/>
          <w:color w:val="4A5568"/>
          <w:sz w:val="21"/>
          <w:szCs w:val="21"/>
        </w:rPr>
        <w:t xml:space="preserve">95%/99% historical simulation. 1-day and 5-day.</w:t>
      </w:r>
    </w:p>
    <w:p>
      <w:pPr>
        <w:pStyle w:val="ListParagraph"/>
        <w:numPr>
          <w:ilvl w:val="0"/>
          <w:numId w:val="13"/>
        </w:numPr>
        <w:spacing w:after="60"/>
      </w:pPr>
      <w:r>
        <w:rPr>
          <w:rFonts w:ascii="Arial" w:cs="Arial" w:eastAsia="Arial" w:hAnsi="Arial"/>
          <w:b/>
          <w:bCs/>
          <w:color w:val="4A5568"/>
          <w:sz w:val="21"/>
          <w:szCs w:val="21"/>
        </w:rPr>
        <w:t xml:space="preserve">Drawdown: </w:t>
      </w:r>
      <w:r>
        <w:rPr>
          <w:rFonts w:ascii="Arial" w:cs="Arial" w:eastAsia="Arial" w:hAnsi="Arial"/>
          <w:color w:val="4A5568"/>
          <w:sz w:val="21"/>
          <w:szCs w:val="21"/>
        </w:rPr>
        <w:t xml:space="preserve">Current from peak + historical recovery.</w:t>
      </w:r>
    </w:p>
    <w:p>
      <w:pPr>
        <w:pStyle w:val="ListParagraph"/>
        <w:numPr>
          <w:ilvl w:val="0"/>
          <w:numId w:val="13"/>
        </w:numPr>
        <w:spacing w:after="60"/>
      </w:pPr>
      <w:r>
        <w:rPr>
          <w:rFonts w:ascii="Arial" w:cs="Arial" w:eastAsia="Arial" w:hAnsi="Arial"/>
          <w:b/>
          <w:bCs/>
          <w:color w:val="4A5568"/>
          <w:sz w:val="21"/>
          <w:szCs w:val="21"/>
        </w:rPr>
        <w:t xml:space="preserve">Position Risk Score: </w:t>
      </w:r>
      <w:r>
        <w:rPr>
          <w:rFonts w:ascii="Arial" w:cs="Arial" w:eastAsia="Arial" w:hAnsi="Arial"/>
          <w:color w:val="4A5568"/>
          <w:sz w:val="21"/>
          <w:szCs w:val="21"/>
        </w:rPr>
        <w:t xml:space="preserve">Composite 0–100.</w:t>
      </w:r>
    </w:p>
    <w:p>
      <w:pPr>
        <w:spacing w:after="40"/>
      </w:pPr>
    </w:p>
    <w:p>
      <w:pPr>
        <w:pStyle w:val="Heading2"/>
        <w:spacing w:before="300" w:after="160"/>
      </w:pPr>
      <w:r>
        <w:rPr>
          <w:rFonts w:ascii="Arial" w:cs="Arial" w:eastAsia="Arial" w:hAnsi="Arial"/>
          <w:b/>
          <w:bCs/>
          <w:color w:val="2B6CB0"/>
          <w:sz w:val="28"/>
          <w:szCs w:val="28"/>
        </w:rPr>
        <w:t xml:space="preserve">9.5 Recommendation Synthesis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c>
          <w:tcPr>
            <w:tcW w:type="dxa" w:w="312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MVP Weight</w:t>
            </w:r>
          </w:p>
        </w:tc>
        <w:tc>
          <w:tcPr>
            <w:tcW w:type="dxa" w:w="312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 2+</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Technical</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40%</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30%</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Fundamental</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25%</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20%</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Sentiment</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20%</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15%</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Risk</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15%</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15%</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Predictive</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N/A</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20%</w:t>
            </w:r>
          </w:p>
        </w:tc>
      </w:tr>
    </w:tbl>
    <w:p>
      <w:pPr>
        <w:sectPr>
          <w:headerReference w:type="default" r:id="rId24"/>
          <w:footerReference w:type="default" r:id="rId25"/>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A365D"/>
          <w:sz w:val="36"/>
          <w:szCs w:val="36"/>
        </w:rPr>
        <w:t xml:space="preserve">10. LLM &amp; Explanation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B6CB0" w:sz="12"/>
              <w:bottom w:val="none" w:sz="0"/>
              <w:right w:val="none" w:sz="0"/>
            </w:tcBorders>
            <w:shd w:fill="EBF4FF" w:val="clear"/>
            <w:tcMar>
              <w:top w:type="dxa" w:w="120"/>
              <w:left w:type="dxa" w:w="200"/>
              <w:bottom w:type="dxa" w:w="120"/>
              <w:right w:type="dxa" w:w="200"/>
            </w:tcMar>
          </w:tcPr>
          <w:p>
            <w:r>
              <w:rPr>
                <w:rFonts w:ascii="Arial" w:cs="Arial" w:eastAsia="Arial" w:hAnsi="Arial"/>
                <w:i/>
                <w:iCs/>
                <w:color w:val="2B6CB0"/>
                <w:sz w:val="21"/>
                <w:szCs w:val="21"/>
              </w:rPr>
              <w:t xml:space="preserve">LLMs are never in the decision loop. They only generate human-readable explanations of decisions already made by deterministic logic. This policy ensures reproducibility, auditability, and zero LLM dependency for core functionality.</w:t>
            </w:r>
          </w:p>
        </w:tc>
      </w:tr>
    </w:tbl>
    <w:p>
      <w:pPr>
        <w:spacing w:after="40"/>
      </w:pPr>
    </w:p>
    <w:p>
      <w:pPr>
        <w:pStyle w:val="Heading2"/>
        <w:spacing w:before="300" w:after="160"/>
      </w:pPr>
      <w:r>
        <w:rPr>
          <w:rFonts w:ascii="Arial" w:cs="Arial" w:eastAsia="Arial" w:hAnsi="Arial"/>
          <w:b/>
          <w:bCs/>
          <w:color w:val="2B6CB0"/>
          <w:sz w:val="28"/>
          <w:szCs w:val="28"/>
        </w:rPr>
        <w:t xml:space="preserve">10.1 Explainer Provider Abstraction</w:t>
      </w:r>
    </w:p>
    <w:p>
      <w:pPr>
        <w:spacing w:after="120"/>
      </w:pPr>
      <w:r>
        <w:rPr>
          <w:rFonts w:ascii="Arial" w:cs="Arial" w:eastAsia="Arial" w:hAnsi="Arial"/>
          <w:color w:val="4A5568"/>
          <w:sz w:val="21"/>
          <w:szCs w:val="21"/>
        </w:rPr>
        <w:t xml:space="preserve">The system uses an ExplainerProvider interface with three implementations: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360"/>
      </w:tblGrid>
      <w:tr>
        <w:tc>
          <w:tcPr>
            <w:tcW w:type="dxa" w:w="24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Provider</w:t>
            </w:r>
          </w:p>
        </w:tc>
        <w:tc>
          <w:tcPr>
            <w:tcW w:type="dxa" w:w="24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Availability</w:t>
            </w:r>
          </w:p>
        </w:tc>
        <w:tc>
          <w:tcPr>
            <w:tcW w:type="dxa" w:w="22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Cost</w:t>
            </w:r>
          </w:p>
        </w:tc>
        <w:tc>
          <w:tcPr>
            <w:tcW w:type="dxa" w:w="23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Quality</w:t>
            </w:r>
          </w:p>
        </w:tc>
      </w:tr>
      <w:t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1A202C"/>
                <w:sz w:val="20"/>
                <w:szCs w:val="20"/>
              </w:rPr>
              <w:t xml:space="preserve">TemplateExplainer</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Always (default)</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$0</w:t>
            </w:r>
          </w:p>
        </w:tc>
        <w:tc>
          <w:tcPr>
            <w:tcW w:type="dxa" w:w="2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Structured, predictable</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A202C"/>
                <w:sz w:val="20"/>
                <w:szCs w:val="20"/>
              </w:rPr>
              <w:t xml:space="preserve">ClaudeCliExplainer</w:t>
            </w:r>
          </w:p>
        </w:tc>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Local/dev only</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$0 (local CLI)</w:t>
            </w:r>
          </w:p>
        </w:tc>
        <w:tc>
          <w:tcPr>
            <w:tcW w:type="dxa" w:w="2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Natural language, high</w:t>
            </w:r>
          </w:p>
        </w:tc>
      </w:tr>
      <w:t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1A202C"/>
                <w:sz w:val="20"/>
                <w:szCs w:val="20"/>
              </w:rPr>
              <w:t xml:space="preserve">ApiExplainer</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BYOK, Phase 2+</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Pay-per-use</w:t>
            </w:r>
          </w:p>
        </w:tc>
        <w:tc>
          <w:tcPr>
            <w:tcW w:type="dxa" w:w="2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Natural language, high</w:t>
            </w:r>
          </w:p>
        </w:tc>
      </w:tr>
    </w:tbl>
    <w:p>
      <w:pPr>
        <w:spacing w:after="40"/>
      </w:pPr>
    </w:p>
    <w:p>
      <w:pPr>
        <w:pStyle w:val="Heading2"/>
        <w:spacing w:before="300" w:after="160"/>
      </w:pPr>
      <w:r>
        <w:rPr>
          <w:rFonts w:ascii="Arial" w:cs="Arial" w:eastAsia="Arial" w:hAnsi="Arial"/>
          <w:b/>
          <w:bCs/>
          <w:color w:val="2B6CB0"/>
          <w:sz w:val="28"/>
          <w:szCs w:val="28"/>
        </w:rPr>
        <w:t xml:space="preserve">10.2 TemplateExplainer (Default)</w:t>
      </w:r>
    </w:p>
    <w:p>
      <w:pPr>
        <w:spacing w:after="120"/>
      </w:pPr>
      <w:r>
        <w:rPr>
          <w:rFonts w:ascii="Arial" w:cs="Arial" w:eastAsia="Arial" w:hAnsi="Arial"/>
          <w:color w:val="4A5568"/>
          <w:sz w:val="21"/>
          <w:szCs w:val="21"/>
        </w:rPr>
        <w:t xml:space="preserve">Deterministic template engine. Takes the analysis outputs (scores, indicators, signals) and produces structured text using predefined templates. Example output: "AAPL rated BUY (confidence 72%). Technical: Bullish (RSI 42, MACD crossover positive). Fundamentals: Strong (revenue +12% YoY, P/E 28 vs sector 31). Sentiment: Positive (3 of 4 recent news items positive). Risk: Low (position 3.2% of portfolio, VaR $412)."</w:t>
      </w:r>
    </w:p>
    <w:p>
      <w:pPr>
        <w:spacing w:after="40"/>
      </w:pPr>
    </w:p>
    <w:p>
      <w:pPr>
        <w:pStyle w:val="Heading2"/>
        <w:spacing w:before="300" w:after="160"/>
      </w:pPr>
      <w:r>
        <w:rPr>
          <w:rFonts w:ascii="Arial" w:cs="Arial" w:eastAsia="Arial" w:hAnsi="Arial"/>
          <w:b/>
          <w:bCs/>
          <w:color w:val="2B6CB0"/>
          <w:sz w:val="28"/>
          <w:szCs w:val="28"/>
        </w:rPr>
        <w:t xml:space="preserve">10.3 ClaudeCliExplainer (Local/Dev)</w:t>
      </w:r>
    </w:p>
    <w:p>
      <w:pPr>
        <w:spacing w:after="120"/>
      </w:pPr>
      <w:r>
        <w:rPr>
          <w:rFonts w:ascii="Arial" w:cs="Arial" w:eastAsia="Arial" w:hAnsi="Arial"/>
          <w:color w:val="4A5568"/>
          <w:sz w:val="21"/>
          <w:szCs w:val="21"/>
        </w:rPr>
        <w:t xml:space="preserve">Invokes Claude CLI (claude -p ... --output-format json) locally. Guarded behind ENABLE_LLM_EXPLAINER=true config flag (default: false). Not available in SaaS deployment — local development and personal use only. Produces more natural, conversational explanations but adds 2–5 second latency and requires Claude CLI installation.</w:t>
      </w:r>
    </w:p>
    <w:p>
      <w:pPr>
        <w:spacing w:after="40"/>
      </w:pPr>
    </w:p>
    <w:p>
      <w:pPr>
        <w:pStyle w:val="Heading2"/>
        <w:spacing w:before="300" w:after="160"/>
      </w:pPr>
      <w:r>
        <w:rPr>
          <w:rFonts w:ascii="Arial" w:cs="Arial" w:eastAsia="Arial" w:hAnsi="Arial"/>
          <w:b/>
          <w:bCs/>
          <w:color w:val="2B6CB0"/>
          <w:sz w:val="28"/>
          <w:szCs w:val="28"/>
        </w:rPr>
        <w:t xml:space="preserve">10.4 ApiExplainer (Future, Phase 2+)</w:t>
      </w:r>
    </w:p>
    <w:p>
      <w:pPr>
        <w:spacing w:after="120"/>
      </w:pPr>
      <w:r>
        <w:rPr>
          <w:rFonts w:ascii="Arial" w:cs="Arial" w:eastAsia="Arial" w:hAnsi="Arial"/>
          <w:color w:val="4A5568"/>
          <w:sz w:val="21"/>
          <w:szCs w:val="21"/>
        </w:rPr>
        <w:t xml:space="preserve">BYOK (Bring Your Own Key) model. User provides their own Claude/OpenAI API key in settings. The platform routes explanation requests to their key. Zero LLM cost for the platform. Available only in Pro/Premium tiers.</w:t>
      </w:r>
    </w:p>
    <w:p>
      <w:pPr>
        <w:spacing w:after="40"/>
      </w:pPr>
    </w:p>
    <w:p>
      <w:pPr>
        <w:pStyle w:val="Heading2"/>
        <w:spacing w:before="300" w:after="160"/>
      </w:pPr>
      <w:r>
        <w:rPr>
          <w:rFonts w:ascii="Arial" w:cs="Arial" w:eastAsia="Arial" w:hAnsi="Arial"/>
          <w:b/>
          <w:bCs/>
          <w:color w:val="2B6CB0"/>
          <w:sz w:val="28"/>
          <w:szCs w:val="28"/>
        </w:rPr>
        <w:t xml:space="preserve">10.5 Key Policy Rules</w:t>
      </w:r>
    </w:p>
    <w:p>
      <w:pPr>
        <w:pStyle w:val="ListParagraph"/>
        <w:numPr>
          <w:ilvl w:val="0"/>
          <w:numId w:val="14"/>
        </w:numPr>
        <w:spacing w:after="60"/>
      </w:pPr>
      <w:r>
        <w:rPr>
          <w:rFonts w:ascii="Arial" w:cs="Arial" w:eastAsia="Arial" w:hAnsi="Arial"/>
          <w:b/>
          <w:bCs/>
          <w:color w:val="4A5568"/>
          <w:sz w:val="21"/>
          <w:szCs w:val="21"/>
        </w:rPr>
        <w:t xml:space="preserve">No LLM in decisions: </w:t>
      </w:r>
      <w:r>
        <w:rPr>
          <w:rFonts w:ascii="Arial" w:cs="Arial" w:eastAsia="Arial" w:hAnsi="Arial"/>
          <w:color w:val="4A5568"/>
          <w:sz w:val="21"/>
          <w:szCs w:val="21"/>
        </w:rPr>
        <w:t xml:space="preserve">Buy/sell/hold actions are purely deterministic. LLM never influences scoring.</w:t>
      </w:r>
    </w:p>
    <w:p>
      <w:pPr>
        <w:pStyle w:val="ListParagraph"/>
        <w:numPr>
          <w:ilvl w:val="0"/>
          <w:numId w:val="14"/>
        </w:numPr>
        <w:spacing w:after="60"/>
      </w:pPr>
      <w:r>
        <w:rPr>
          <w:rFonts w:ascii="Arial" w:cs="Arial" w:eastAsia="Arial" w:hAnsi="Arial"/>
          <w:b/>
          <w:bCs/>
          <w:color w:val="4A5568"/>
          <w:sz w:val="21"/>
          <w:szCs w:val="21"/>
        </w:rPr>
        <w:t xml:space="preserve">Explanations are optional: </w:t>
      </w:r>
      <w:r>
        <w:rPr>
          <w:rFonts w:ascii="Arial" w:cs="Arial" w:eastAsia="Arial" w:hAnsi="Arial"/>
          <w:color w:val="4A5568"/>
          <w:sz w:val="21"/>
          <w:szCs w:val="21"/>
        </w:rPr>
        <w:t xml:space="preserve">Dashboard works fully without any LLM. Template explanations always available.</w:t>
      </w:r>
    </w:p>
    <w:p>
      <w:pPr>
        <w:pStyle w:val="ListParagraph"/>
        <w:numPr>
          <w:ilvl w:val="0"/>
          <w:numId w:val="14"/>
        </w:numPr>
        <w:spacing w:after="60"/>
      </w:pPr>
      <w:r>
        <w:rPr>
          <w:rFonts w:ascii="Arial" w:cs="Arial" w:eastAsia="Arial" w:hAnsi="Arial"/>
          <w:b/>
          <w:bCs/>
          <w:color w:val="4A5568"/>
          <w:sz w:val="21"/>
          <w:szCs w:val="21"/>
        </w:rPr>
        <w:t xml:space="preserve">LLM failures degrade gracefully: </w:t>
      </w:r>
      <w:r>
        <w:rPr>
          <w:rFonts w:ascii="Arial" w:cs="Arial" w:eastAsia="Arial" w:hAnsi="Arial"/>
          <w:color w:val="4A5568"/>
          <w:sz w:val="21"/>
          <w:szCs w:val="21"/>
        </w:rPr>
        <w:t xml:space="preserve">If LLM call fails, fall back to template. Never block the user.</w:t>
      </w:r>
    </w:p>
    <w:p>
      <w:pPr>
        <w:pStyle w:val="ListParagraph"/>
        <w:numPr>
          <w:ilvl w:val="0"/>
          <w:numId w:val="14"/>
        </w:numPr>
        <w:spacing w:after="60"/>
      </w:pPr>
      <w:r>
        <w:rPr>
          <w:rFonts w:ascii="Arial" w:cs="Arial" w:eastAsia="Arial" w:hAnsi="Arial"/>
          <w:b/>
          <w:bCs/>
          <w:color w:val="4A5568"/>
          <w:sz w:val="21"/>
          <w:szCs w:val="21"/>
        </w:rPr>
        <w:t xml:space="preserve">Audit trail records which explainer: </w:t>
      </w:r>
      <w:r>
        <w:rPr>
          <w:rFonts w:ascii="Arial" w:cs="Arial" w:eastAsia="Arial" w:hAnsi="Arial"/>
          <w:color w:val="4A5568"/>
          <w:sz w:val="21"/>
          <w:szCs w:val="21"/>
        </w:rPr>
        <w:t xml:space="preserve">Every recommendation logs which explainer generated the text.</w:t>
      </w:r>
    </w:p>
    <w:p>
      <w:pPr>
        <w:sectPr>
          <w:headerReference w:type="default" r:id="rId26"/>
          <w:footerReference w:type="default" r:id="rId27"/>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A365D"/>
          <w:sz w:val="36"/>
          <w:szCs w:val="36"/>
        </w:rPr>
        <w:t xml:space="preserve">11. Operating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DD6B20" w:sz="12"/>
              <w:bottom w:val="none" w:sz="0"/>
              <w:right w:val="none" w:sz="0"/>
            </w:tcBorders>
            <w:shd w:fill="FFF8F0" w:val="clear"/>
            <w:tcMar>
              <w:top w:type="dxa" w:w="120"/>
              <w:left w:type="dxa" w:w="200"/>
              <w:bottom w:type="dxa" w:w="120"/>
              <w:right w:type="dxa" w:w="200"/>
            </w:tcMar>
          </w:tcPr>
          <w:p>
            <w:r>
              <w:rPr>
                <w:rFonts w:ascii="Arial" w:cs="Arial" w:eastAsia="Arial" w:hAnsi="Arial"/>
                <w:i/>
                <w:iCs/>
                <w:color w:val="DD6B20"/>
                <w:sz w:val="21"/>
                <w:szCs w:val="21"/>
              </w:rPr>
              <w:t xml:space="preserve">MVP scope: Modes A, D, E only. All strictly read-only. No broker write operations. Modes B and C require Phase 2+ with regulatory review.</w:t>
            </w:r>
          </w:p>
        </w:tc>
      </w:tr>
    </w:tbl>
    <w:p>
      <w:pPr>
        <w:spacing w:after="40"/>
      </w:pPr>
    </w:p>
    <w:p>
      <w:pPr>
        <w:pStyle w:val="Heading2"/>
        <w:spacing w:before="300" w:after="160"/>
      </w:pPr>
      <w:r>
        <w:rPr>
          <w:rFonts w:ascii="Arial" w:cs="Arial" w:eastAsia="Arial" w:hAnsi="Arial"/>
          <w:b/>
          <w:bCs/>
          <w:color w:val="2B6CB0"/>
          <w:sz w:val="28"/>
          <w:szCs w:val="28"/>
        </w:rPr>
        <w:t xml:space="preserve">11.1 Mode A: Recommendation [MVP — Read-Only]</w:t>
      </w:r>
    </w:p>
    <w:p>
      <w:pPr>
        <w:pStyle w:val="ListParagraph"/>
        <w:numPr>
          <w:ilvl w:val="0"/>
          <w:numId w:val="15"/>
        </w:numPr>
        <w:spacing w:after="60"/>
      </w:pPr>
      <w:r>
        <w:rPr>
          <w:rFonts w:ascii="Arial" w:cs="Arial" w:eastAsia="Arial" w:hAnsi="Arial"/>
          <w:b/>
          <w:bCs/>
          <w:color w:val="4A5568"/>
          <w:sz w:val="21"/>
          <w:szCs w:val="21"/>
        </w:rPr>
        <w:t xml:space="preserve">Function: </w:t>
      </w:r>
      <w:r>
        <w:rPr>
          <w:rFonts w:ascii="Arial" w:cs="Arial" w:eastAsia="Arial" w:hAnsi="Arial"/>
          <w:color w:val="4A5568"/>
          <w:sz w:val="21"/>
          <w:szCs w:val="21"/>
        </w:rPr>
        <w:t xml:space="preserve">Generates buy/sell/hold per holding + watchlist. Deterministic scoring.</w:t>
      </w:r>
    </w:p>
    <w:p>
      <w:pPr>
        <w:pStyle w:val="ListParagraph"/>
        <w:numPr>
          <w:ilvl w:val="0"/>
          <w:numId w:val="15"/>
        </w:numPr>
        <w:spacing w:after="60"/>
      </w:pPr>
      <w:r>
        <w:rPr>
          <w:rFonts w:ascii="Arial" w:cs="Arial" w:eastAsia="Arial" w:hAnsi="Arial"/>
          <w:b/>
          <w:bCs/>
          <w:color w:val="4A5568"/>
          <w:sz w:val="21"/>
          <w:szCs w:val="21"/>
        </w:rPr>
        <w:t xml:space="preserve">Output: </w:t>
      </w:r>
      <w:r>
        <w:rPr>
          <w:rFonts w:ascii="Arial" w:cs="Arial" w:eastAsia="Arial" w:hAnsi="Arial"/>
          <w:color w:val="4A5568"/>
          <w:sz w:val="21"/>
          <w:szCs w:val="21"/>
        </w:rPr>
        <w:t xml:space="preserve">Action + confidence + explanation (template by default).</w:t>
      </w:r>
    </w:p>
    <w:p>
      <w:pPr>
        <w:pStyle w:val="ListParagraph"/>
        <w:numPr>
          <w:ilvl w:val="0"/>
          <w:numId w:val="15"/>
        </w:numPr>
        <w:spacing w:after="60"/>
      </w:pPr>
      <w:r>
        <w:rPr>
          <w:rFonts w:ascii="Arial" w:cs="Arial" w:eastAsia="Arial" w:hAnsi="Arial"/>
          <w:b/>
          <w:bCs/>
          <w:color w:val="4A5568"/>
          <w:sz w:val="21"/>
          <w:szCs w:val="21"/>
        </w:rPr>
        <w:t xml:space="preserve">Execution: </w:t>
      </w:r>
      <w:r>
        <w:rPr>
          <w:rFonts w:ascii="Arial" w:cs="Arial" w:eastAsia="Arial" w:hAnsi="Arial"/>
          <w:color w:val="4A5568"/>
          <w:sz w:val="21"/>
          <w:szCs w:val="21"/>
        </w:rPr>
        <w:t xml:space="preserve">NONE. User reads and acts manually on broker platform.</w:t>
      </w:r>
    </w:p>
    <w:p>
      <w:pPr>
        <w:pStyle w:val="ListParagraph"/>
        <w:numPr>
          <w:ilvl w:val="0"/>
          <w:numId w:val="15"/>
        </w:numPr>
        <w:spacing w:after="60"/>
      </w:pPr>
      <w:r>
        <w:rPr>
          <w:rFonts w:ascii="Arial" w:cs="Arial" w:eastAsia="Arial" w:hAnsi="Arial"/>
          <w:b/>
          <w:bCs/>
          <w:color w:val="4A5568"/>
          <w:sz w:val="21"/>
          <w:szCs w:val="21"/>
        </w:rPr>
        <w:t xml:space="preserve">Frequency: </w:t>
      </w:r>
      <w:r>
        <w:rPr>
          <w:rFonts w:ascii="Arial" w:cs="Arial" w:eastAsia="Arial" w:hAnsi="Arial"/>
          <w:color w:val="4A5568"/>
          <w:sz w:val="21"/>
          <w:szCs w:val="21"/>
        </w:rPr>
        <w:t xml:space="preserve">On portfolio sync (hourly) and on-demand.</w:t>
      </w:r>
    </w:p>
    <w:p>
      <w:pPr>
        <w:spacing w:after="40"/>
      </w:pPr>
    </w:p>
    <w:p>
      <w:pPr>
        <w:pStyle w:val="Heading2"/>
        <w:spacing w:before="300" w:after="160"/>
      </w:pPr>
      <w:r>
        <w:rPr>
          <w:rFonts w:ascii="Arial" w:cs="Arial" w:eastAsia="Arial" w:hAnsi="Arial"/>
          <w:b/>
          <w:bCs/>
          <w:color w:val="2B6CB0"/>
          <w:sz w:val="28"/>
          <w:szCs w:val="28"/>
        </w:rPr>
        <w:t xml:space="preserve">11.2 Mode B: Assisted Trading [Phase 2]</w:t>
      </w:r>
    </w:p>
    <w:p>
      <w:pPr>
        <w:pStyle w:val="ListParagraph"/>
        <w:numPr>
          <w:ilvl w:val="0"/>
          <w:numId w:val="16"/>
        </w:numPr>
        <w:spacing w:after="60"/>
      </w:pPr>
      <w:r>
        <w:rPr>
          <w:rFonts w:ascii="Arial" w:cs="Arial" w:eastAsia="Arial" w:hAnsi="Arial"/>
          <w:b/>
          <w:bCs/>
          <w:color w:val="4A5568"/>
          <w:sz w:val="21"/>
          <w:szCs w:val="21"/>
        </w:rPr>
        <w:t xml:space="preserve">Prerequisite: </w:t>
      </w:r>
      <w:r>
        <w:rPr>
          <w:rFonts w:ascii="Arial" w:cs="Arial" w:eastAsia="Arial" w:hAnsi="Arial"/>
          <w:color w:val="4A5568"/>
          <w:sz w:val="21"/>
          <w:szCs w:val="21"/>
        </w:rPr>
        <w:t xml:space="preserve">3+ months of Mode A in production. Safety layer validated. Regulatory review done.</w:t>
      </w:r>
    </w:p>
    <w:p>
      <w:pPr>
        <w:pStyle w:val="ListParagraph"/>
        <w:numPr>
          <w:ilvl w:val="0"/>
          <w:numId w:val="16"/>
        </w:numPr>
        <w:spacing w:after="60"/>
      </w:pPr>
      <w:r>
        <w:rPr>
          <w:rFonts w:ascii="Arial" w:cs="Arial" w:eastAsia="Arial" w:hAnsi="Arial"/>
          <w:b/>
          <w:bCs/>
          <w:color w:val="4A5568"/>
          <w:sz w:val="21"/>
          <w:szCs w:val="21"/>
        </w:rPr>
        <w:t xml:space="preserve">Flow: </w:t>
      </w:r>
      <w:r>
        <w:rPr>
          <w:rFonts w:ascii="Arial" w:cs="Arial" w:eastAsia="Arial" w:hAnsi="Arial"/>
          <w:color w:val="4A5568"/>
          <w:sz w:val="21"/>
          <w:szCs w:val="21"/>
        </w:rPr>
        <w:t xml:space="preserve">AI suggests → User reviews → Explicit approve → System executes.</w:t>
      </w:r>
    </w:p>
    <w:p>
      <w:pPr>
        <w:spacing w:after="40"/>
      </w:pPr>
    </w:p>
    <w:p>
      <w:pPr>
        <w:pStyle w:val="Heading2"/>
        <w:spacing w:before="300" w:after="160"/>
      </w:pPr>
      <w:r>
        <w:rPr>
          <w:rFonts w:ascii="Arial" w:cs="Arial" w:eastAsia="Arial" w:hAnsi="Arial"/>
          <w:b/>
          <w:bCs/>
          <w:color w:val="2B6CB0"/>
          <w:sz w:val="28"/>
          <w:szCs w:val="28"/>
        </w:rPr>
        <w:t xml:space="preserve">11.3 Mode C: Fully Automated [Phase 2+]</w:t>
      </w:r>
    </w:p>
    <w:p>
      <w:pPr>
        <w:pStyle w:val="ListParagraph"/>
        <w:numPr>
          <w:ilvl w:val="0"/>
          <w:numId w:val="17"/>
        </w:numPr>
        <w:spacing w:after="60"/>
      </w:pPr>
      <w:r>
        <w:rPr>
          <w:rFonts w:ascii="Arial" w:cs="Arial" w:eastAsia="Arial" w:hAnsi="Arial"/>
          <w:b/>
          <w:bCs/>
          <w:color w:val="4A5568"/>
          <w:sz w:val="21"/>
          <w:szCs w:val="21"/>
        </w:rPr>
        <w:t xml:space="preserve">Prerequisite: </w:t>
      </w:r>
      <w:r>
        <w:rPr>
          <w:rFonts w:ascii="Arial" w:cs="Arial" w:eastAsia="Arial" w:hAnsi="Arial"/>
          <w:color w:val="4A5568"/>
          <w:sz w:val="21"/>
          <w:szCs w:val="21"/>
        </w:rPr>
        <w:t xml:space="preserve">Backtesting engine. 1+ month paper trading per strategy. Legal review.</w:t>
      </w:r>
    </w:p>
    <w:p>
      <w:pPr>
        <w:spacing w:after="40"/>
      </w:pPr>
    </w:p>
    <w:p>
      <w:pPr>
        <w:pStyle w:val="Heading2"/>
        <w:spacing w:before="300" w:after="160"/>
      </w:pPr>
      <w:r>
        <w:rPr>
          <w:rFonts w:ascii="Arial" w:cs="Arial" w:eastAsia="Arial" w:hAnsi="Arial"/>
          <w:b/>
          <w:bCs/>
          <w:color w:val="2B6CB0"/>
          <w:sz w:val="28"/>
          <w:szCs w:val="28"/>
        </w:rPr>
        <w:t xml:space="preserve">11.4 Mode D: Portfolio Intelligence [MVP — Read-Only]</w:t>
      </w:r>
    </w:p>
    <w:p>
      <w:pPr>
        <w:pStyle w:val="ListParagraph"/>
        <w:numPr>
          <w:ilvl w:val="0"/>
          <w:numId w:val="18"/>
        </w:numPr>
        <w:spacing w:after="60"/>
      </w:pPr>
      <w:r>
        <w:rPr>
          <w:rFonts w:ascii="Arial" w:cs="Arial" w:eastAsia="Arial" w:hAnsi="Arial"/>
          <w:b/>
          <w:bCs/>
          <w:color w:val="4A5568"/>
          <w:sz w:val="21"/>
          <w:szCs w:val="21"/>
        </w:rPr>
        <w:t xml:space="preserve">Diversification Score: </w:t>
      </w:r>
      <w:r>
        <w:rPr>
          <w:rFonts w:ascii="Arial" w:cs="Arial" w:eastAsia="Arial" w:hAnsi="Arial"/>
          <w:color w:val="4A5568"/>
          <w:sz w:val="21"/>
          <w:szCs w:val="21"/>
        </w:rPr>
        <w:t xml:space="preserve">Sector, geography, asset class distribution. Penalizes concentration.</w:t>
      </w:r>
    </w:p>
    <w:p>
      <w:pPr>
        <w:pStyle w:val="ListParagraph"/>
        <w:numPr>
          <w:ilvl w:val="0"/>
          <w:numId w:val="18"/>
        </w:numPr>
        <w:spacing w:after="60"/>
      </w:pPr>
      <w:r>
        <w:rPr>
          <w:rFonts w:ascii="Arial" w:cs="Arial" w:eastAsia="Arial" w:hAnsi="Arial"/>
          <w:b/>
          <w:bCs/>
          <w:color w:val="4A5568"/>
          <w:sz w:val="21"/>
          <w:szCs w:val="21"/>
        </w:rPr>
        <w:t xml:space="preserve">Risk Concentration: </w:t>
      </w:r>
      <w:r>
        <w:rPr>
          <w:rFonts w:ascii="Arial" w:cs="Arial" w:eastAsia="Arial" w:hAnsi="Arial"/>
          <w:color w:val="4A5568"/>
          <w:sz w:val="21"/>
          <w:szCs w:val="21"/>
        </w:rPr>
        <w:t xml:space="preserve">Correlated positions, single-sector overweight.</w:t>
      </w:r>
    </w:p>
    <w:p>
      <w:pPr>
        <w:pStyle w:val="ListParagraph"/>
        <w:numPr>
          <w:ilvl w:val="0"/>
          <w:numId w:val="18"/>
        </w:numPr>
        <w:spacing w:after="60"/>
      </w:pPr>
      <w:r>
        <w:rPr>
          <w:rFonts w:ascii="Arial" w:cs="Arial" w:eastAsia="Arial" w:hAnsi="Arial"/>
          <w:b/>
          <w:bCs/>
          <w:color w:val="4A5568"/>
          <w:sz w:val="21"/>
          <w:szCs w:val="21"/>
        </w:rPr>
        <w:t xml:space="preserve">Sector Allocation: </w:t>
      </w:r>
      <w:r>
        <w:rPr>
          <w:rFonts w:ascii="Arial" w:cs="Arial" w:eastAsia="Arial" w:hAnsi="Arial"/>
          <w:color w:val="4A5568"/>
          <w:sz w:val="21"/>
          <w:szCs w:val="21"/>
        </w:rPr>
        <w:t xml:space="preserve">GICS breakdown vs. benchmark (Nifty 50 / S&amp;P 500).</w:t>
      </w:r>
    </w:p>
    <w:p>
      <w:pPr>
        <w:pStyle w:val="ListParagraph"/>
        <w:numPr>
          <w:ilvl w:val="0"/>
          <w:numId w:val="18"/>
        </w:numPr>
        <w:spacing w:after="60"/>
      </w:pPr>
      <w:r>
        <w:rPr>
          <w:rFonts w:ascii="Arial" w:cs="Arial" w:eastAsia="Arial" w:hAnsi="Arial"/>
          <w:b/>
          <w:bCs/>
          <w:color w:val="4A5568"/>
          <w:sz w:val="21"/>
          <w:szCs w:val="21"/>
        </w:rPr>
        <w:t xml:space="preserve">Performance Attribution: </w:t>
      </w:r>
      <w:r>
        <w:rPr>
          <w:rFonts w:ascii="Arial" w:cs="Arial" w:eastAsia="Arial" w:hAnsi="Arial"/>
          <w:color w:val="4A5568"/>
          <w:sz w:val="21"/>
          <w:szCs w:val="21"/>
        </w:rPr>
        <w:t xml:space="preserve">P&amp;L decomposition by position and sector.</w:t>
      </w:r>
    </w:p>
    <w:p>
      <w:pPr>
        <w:pStyle w:val="ListParagraph"/>
        <w:numPr>
          <w:ilvl w:val="0"/>
          <w:numId w:val="18"/>
        </w:numPr>
        <w:spacing w:after="60"/>
      </w:pPr>
      <w:r>
        <w:rPr>
          <w:rFonts w:ascii="Arial" w:cs="Arial" w:eastAsia="Arial" w:hAnsi="Arial"/>
          <w:b/>
          <w:bCs/>
          <w:color w:val="4A5568"/>
          <w:sz w:val="21"/>
          <w:szCs w:val="21"/>
        </w:rPr>
        <w:t xml:space="preserve">Rebalancing: </w:t>
      </w:r>
      <w:r>
        <w:rPr>
          <w:rFonts w:ascii="Arial" w:cs="Arial" w:eastAsia="Arial" w:hAnsi="Arial"/>
          <w:color w:val="4A5568"/>
          <w:sz w:val="21"/>
          <w:szCs w:val="21"/>
        </w:rPr>
        <w:t xml:space="preserve">Suggestions only (not executable in MVP).</w:t>
      </w:r>
    </w:p>
    <w:p>
      <w:pPr>
        <w:spacing w:after="40"/>
      </w:pPr>
    </w:p>
    <w:p>
      <w:pPr>
        <w:pStyle w:val="Heading2"/>
        <w:spacing w:before="300" w:after="160"/>
      </w:pPr>
      <w:r>
        <w:rPr>
          <w:rFonts w:ascii="Arial" w:cs="Arial" w:eastAsia="Arial" w:hAnsi="Arial"/>
          <w:b/>
          <w:bCs/>
          <w:color w:val="2B6CB0"/>
          <w:sz w:val="28"/>
          <w:szCs w:val="28"/>
        </w:rPr>
        <w:t xml:space="preserve">11.5 Mode E: Risk Guardian [MVP — Read-Only]</w:t>
      </w:r>
    </w:p>
    <w:p>
      <w:pPr>
        <w:pStyle w:val="ListParagraph"/>
        <w:numPr>
          <w:ilvl w:val="0"/>
          <w:numId w:val="19"/>
        </w:numPr>
        <w:spacing w:after="60"/>
      </w:pPr>
      <w:r>
        <w:rPr>
          <w:rFonts w:ascii="Arial" w:cs="Arial" w:eastAsia="Arial" w:hAnsi="Arial"/>
          <w:b/>
          <w:bCs/>
          <w:color w:val="4A5568"/>
          <w:sz w:val="21"/>
          <w:szCs w:val="21"/>
        </w:rPr>
        <w:t xml:space="preserve">Monitoring: </w:t>
      </w:r>
      <w:r>
        <w:rPr>
          <w:rFonts w:ascii="Arial" w:cs="Arial" w:eastAsia="Arial" w:hAnsi="Arial"/>
          <w:color w:val="4A5568"/>
          <w:sz w:val="21"/>
          <w:szCs w:val="21"/>
        </w:rPr>
        <w:t xml:space="preserve">Real-time P&amp;L, drawdown, volatility per position.</w:t>
      </w:r>
    </w:p>
    <w:p>
      <w:pPr>
        <w:pStyle w:val="ListParagraph"/>
        <w:numPr>
          <w:ilvl w:val="0"/>
          <w:numId w:val="19"/>
        </w:numPr>
        <w:spacing w:after="60"/>
      </w:pPr>
      <w:r>
        <w:rPr>
          <w:rFonts w:ascii="Arial" w:cs="Arial" w:eastAsia="Arial" w:hAnsi="Arial"/>
          <w:b/>
          <w:bCs/>
          <w:color w:val="4A5568"/>
          <w:sz w:val="21"/>
          <w:szCs w:val="21"/>
        </w:rPr>
        <w:t xml:space="preserve">Volatility Alert: </w:t>
      </w:r>
      <w:r>
        <w:rPr>
          <w:rFonts w:ascii="Arial" w:cs="Arial" w:eastAsia="Arial" w:hAnsi="Arial"/>
          <w:color w:val="4A5568"/>
          <w:sz w:val="21"/>
          <w:szCs w:val="21"/>
        </w:rPr>
        <w:t xml:space="preserve">Stock moves &gt; 2x average daily range.</w:t>
      </w:r>
    </w:p>
    <w:p>
      <w:pPr>
        <w:pStyle w:val="ListParagraph"/>
        <w:numPr>
          <w:ilvl w:val="0"/>
          <w:numId w:val="19"/>
        </w:numPr>
        <w:spacing w:after="60"/>
      </w:pPr>
      <w:r>
        <w:rPr>
          <w:rFonts w:ascii="Arial" w:cs="Arial" w:eastAsia="Arial" w:hAnsi="Arial"/>
          <w:b/>
          <w:bCs/>
          <w:color w:val="4A5568"/>
          <w:sz w:val="21"/>
          <w:szCs w:val="21"/>
        </w:rPr>
        <w:t xml:space="preserve">Earnings Alert: </w:t>
      </w:r>
      <w:r>
        <w:rPr>
          <w:rFonts w:ascii="Arial" w:cs="Arial" w:eastAsia="Arial" w:hAnsi="Arial"/>
          <w:color w:val="4A5568"/>
          <w:sz w:val="21"/>
          <w:szCs w:val="21"/>
        </w:rPr>
        <w:t xml:space="preserve">Positions with earnings in next 5 trading days.</w:t>
      </w:r>
    </w:p>
    <w:p>
      <w:pPr>
        <w:pStyle w:val="ListParagraph"/>
        <w:numPr>
          <w:ilvl w:val="0"/>
          <w:numId w:val="19"/>
        </w:numPr>
        <w:spacing w:after="60"/>
      </w:pPr>
      <w:r>
        <w:rPr>
          <w:rFonts w:ascii="Arial" w:cs="Arial" w:eastAsia="Arial" w:hAnsi="Arial"/>
          <w:b/>
          <w:bCs/>
          <w:color w:val="4A5568"/>
          <w:sz w:val="21"/>
          <w:szCs w:val="21"/>
        </w:rPr>
        <w:t xml:space="preserve">Macro Alert: </w:t>
      </w:r>
      <w:r>
        <w:rPr>
          <w:rFonts w:ascii="Arial" w:cs="Arial" w:eastAsia="Arial" w:hAnsi="Arial"/>
          <w:color w:val="4A5568"/>
          <w:sz w:val="21"/>
          <w:szCs w:val="21"/>
        </w:rPr>
        <w:t xml:space="preserve">FRED-sourced rate decisions, CPI, unemployment.</w:t>
      </w:r>
    </w:p>
    <w:p>
      <w:pPr>
        <w:pStyle w:val="ListParagraph"/>
        <w:numPr>
          <w:ilvl w:val="0"/>
          <w:numId w:val="19"/>
        </w:numPr>
        <w:spacing w:after="60"/>
      </w:pPr>
      <w:r>
        <w:rPr>
          <w:rFonts w:ascii="Arial" w:cs="Arial" w:eastAsia="Arial" w:hAnsi="Arial"/>
          <w:b/>
          <w:bCs/>
          <w:color w:val="4A5568"/>
          <w:sz w:val="21"/>
          <w:szCs w:val="21"/>
        </w:rPr>
        <w:t xml:space="preserve">Channels (MVP): </w:t>
      </w:r>
      <w:r>
        <w:rPr>
          <w:rFonts w:ascii="Arial" w:cs="Arial" w:eastAsia="Arial" w:hAnsi="Arial"/>
          <w:color w:val="4A5568"/>
          <w:sz w:val="21"/>
          <w:szCs w:val="21"/>
        </w:rPr>
        <w:t xml:space="preserve">Dashboard notification + email.</w:t>
      </w:r>
    </w:p>
    <w:p>
      <w:pPr>
        <w:sectPr>
          <w:headerReference w:type="default" r:id="rId28"/>
          <w:footerReference w:type="default" r:id="rId29"/>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A365D"/>
          <w:sz w:val="36"/>
          <w:szCs w:val="36"/>
        </w:rPr>
        <w:t xml:space="preserve">12. Risk Meter &amp; Portfolio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B6CB0" w:sz="12"/>
              <w:bottom w:val="none" w:sz="0"/>
              <w:right w:val="none" w:sz="0"/>
            </w:tcBorders>
            <w:shd w:fill="EBF4FF" w:val="clear"/>
            <w:tcMar>
              <w:top w:type="dxa" w:w="120"/>
              <w:left w:type="dxa" w:w="200"/>
              <w:bottom w:type="dxa" w:w="120"/>
              <w:right w:type="dxa" w:w="200"/>
            </w:tcMar>
          </w:tcPr>
          <w:p>
            <w:r>
              <w:rPr>
                <w:rFonts w:ascii="Arial" w:cs="Arial" w:eastAsia="Arial" w:hAnsi="Arial"/>
                <w:i/>
                <w:iCs/>
                <w:color w:val="2B6CB0"/>
                <w:sz w:val="21"/>
                <w:szCs w:val="21"/>
              </w:rPr>
              <w:t xml:space="preserve">The Risk Meter must be deterministic, transparent, and explainable. Users can click the meter to see exactly how the score was computed. No black box.</w:t>
            </w:r>
          </w:p>
        </w:tc>
      </w:tr>
    </w:tbl>
    <w:p>
      <w:pPr>
        <w:spacing w:after="40"/>
      </w:pPr>
    </w:p>
    <w:p>
      <w:pPr>
        <w:pStyle w:val="Heading2"/>
        <w:spacing w:before="300" w:after="160"/>
      </w:pPr>
      <w:r>
        <w:rPr>
          <w:rFonts w:ascii="Arial" w:cs="Arial" w:eastAsia="Arial" w:hAnsi="Arial"/>
          <w:b/>
          <w:bCs/>
          <w:color w:val="2B6CB0"/>
          <w:sz w:val="28"/>
          <w:szCs w:val="28"/>
        </w:rPr>
        <w:t xml:space="preserve">12.1 Risk Meter Formula</w:t>
      </w:r>
    </w:p>
    <w:p>
      <w:pPr>
        <w:spacing w:after="120"/>
      </w:pPr>
      <w:r>
        <w:rPr>
          <w:rFonts w:ascii="Arial" w:cs="Arial" w:eastAsia="Arial" w:hAnsi="Arial"/>
          <w:color w:val="4A5568"/>
          <w:sz w:val="21"/>
          <w:szCs w:val="21"/>
        </w:rPr>
        <w:t xml:space="preserve">The Risk Meter is a single score from 0 (lowest risk) to 100 (highest risk), computed as a weighted sum of four sub-scores: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12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Weight</w:t>
            </w:r>
          </w:p>
        </w:tc>
        <w:tc>
          <w:tcPr>
            <w:tcW w:type="dxa" w:w="55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Calculation</w:t>
            </w:r>
          </w:p>
        </w:tc>
      </w:tr>
      <w:tr>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1A202C"/>
                <w:sz w:val="20"/>
                <w:szCs w:val="20"/>
              </w:rPr>
              <w:t xml:space="preserve">Concentration Risk</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30%</w:t>
            </w:r>
          </w:p>
        </w:tc>
        <w:tc>
          <w:tcPr>
            <w:tcW w:type="dxa" w:w="5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HHI of position weights. 0 = perfectly diversified, 100 = single stock.</w:t>
            </w:r>
          </w:p>
        </w:tc>
      </w:tr>
      <w:tr>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A202C"/>
                <w:sz w:val="20"/>
                <w:szCs w:val="20"/>
              </w:rPr>
              <w:t xml:space="preserve">Volatility / VaR</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30%</w:t>
            </w:r>
          </w:p>
        </w:tc>
        <w:tc>
          <w:tcPr>
            <w:tcW w:type="dxa" w:w="5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Portfolio 95% VaR as % of total value, normalized to 0–100 scale.</w:t>
            </w:r>
          </w:p>
        </w:tc>
      </w:tr>
      <w:tr>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1A202C"/>
                <w:sz w:val="20"/>
                <w:szCs w:val="20"/>
              </w:rPr>
              <w:t xml:space="preserve">Drawdown Status</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20%</w:t>
            </w:r>
          </w:p>
        </w:tc>
        <w:tc>
          <w:tcPr>
            <w:tcW w:type="dxa" w:w="5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Current portfolio drawdown from peak. 0% drawdown = 0, &gt;20% = 100.</w:t>
            </w:r>
          </w:p>
        </w:tc>
      </w:tr>
      <w:tr>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A202C"/>
                <w:sz w:val="20"/>
                <w:szCs w:val="20"/>
              </w:rPr>
              <w:t xml:space="preserve">Upcoming Events</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20%</w:t>
            </w:r>
          </w:p>
        </w:tc>
        <w:tc>
          <w:tcPr>
            <w:tcW w:type="dxa" w:w="5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Count of holdings with earnings/macro events in next 5 days. Scaled 0–100.</w:t>
            </w:r>
          </w:p>
        </w:tc>
      </w:tr>
    </w:tbl>
    <w:p>
      <w:pPr>
        <w:spacing w:after="40"/>
      </w:pPr>
    </w:p>
    <w:p>
      <w:pPr>
        <w:spacing w:after="120"/>
      </w:pPr>
      <w:r>
        <w:rPr>
          <w:rFonts w:ascii="Arial" w:cs="Arial" w:eastAsia="Arial" w:hAnsi="Arial"/>
          <w:color w:val="4A5568"/>
          <w:sz w:val="21"/>
          <w:szCs w:val="21"/>
        </w:rPr>
        <w:t xml:space="preserve">Final score: (Concentration × 0.30) + (VaR × 0.30) + (Drawdown × 0.20) + (Events × 0.20). Displayed as color-coded gauge: 0–30 green, 31–60 yellow, 61–100 red.</w:t>
      </w:r>
    </w:p>
    <w:p>
      <w:pPr>
        <w:spacing w:after="40"/>
      </w:pPr>
    </w:p>
    <w:p>
      <w:pPr>
        <w:pStyle w:val="Heading2"/>
        <w:spacing w:before="300" w:after="160"/>
      </w:pPr>
      <w:r>
        <w:rPr>
          <w:rFonts w:ascii="Arial" w:cs="Arial" w:eastAsia="Arial" w:hAnsi="Arial"/>
          <w:b/>
          <w:bCs/>
          <w:color w:val="2B6CB0"/>
          <w:sz w:val="28"/>
          <w:szCs w:val="28"/>
        </w:rPr>
        <w:t xml:space="preserve">12.2 Portfolio Health Score</w:t>
      </w:r>
    </w:p>
    <w:p>
      <w:pPr>
        <w:spacing w:after="120"/>
      </w:pPr>
      <w:r>
        <w:rPr>
          <w:rFonts w:ascii="Arial" w:cs="Arial" w:eastAsia="Arial" w:hAnsi="Arial"/>
          <w:color w:val="4A5568"/>
          <w:sz w:val="21"/>
          <w:szCs w:val="21"/>
        </w:rPr>
        <w:t xml:space="preserve">Separate from Risk Meter. Composite of: diversification quality (25%), fundamental strength of holdings (25%), technical trend alignment (25%), and risk-adjusted returns vs. benchmark (25%). Scored 0–100 where higher = healthier. Updated daily after market close.</w:t>
      </w:r>
    </w:p>
    <w:p>
      <w:pPr>
        <w:sectPr>
          <w:headerReference w:type="default" r:id="rId30"/>
          <w:footerReference w:type="default" r:id="rId31"/>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A365D"/>
          <w:sz w:val="36"/>
          <w:szCs w:val="36"/>
        </w:rPr>
        <w:t xml:space="preserve">13. FX &amp; Base Currency</w:t>
      </w:r>
    </w:p>
    <w:p>
      <w:pPr>
        <w:pStyle w:val="Heading2"/>
        <w:spacing w:before="300" w:after="160"/>
      </w:pPr>
      <w:r>
        <w:rPr>
          <w:rFonts w:ascii="Arial" w:cs="Arial" w:eastAsia="Arial" w:hAnsi="Arial"/>
          <w:b/>
          <w:bCs/>
          <w:color w:val="2B6CB0"/>
          <w:sz w:val="28"/>
          <w:szCs w:val="28"/>
        </w:rPr>
        <w:t xml:space="preserve">13.1 Base Currency</w:t>
      </w:r>
    </w:p>
    <w:p>
      <w:pPr>
        <w:spacing w:after="120"/>
      </w:pPr>
      <w:r>
        <w:rPr>
          <w:rFonts w:ascii="Arial" w:cs="Arial" w:eastAsia="Arial" w:hAnsi="Arial"/>
          <w:color w:val="4A5568"/>
          <w:sz w:val="21"/>
          <w:szCs w:val="21"/>
        </w:rPr>
        <w:t xml:space="preserve">Each user selects a base currency at setup: INR or USD. All portfolio-level metrics (total value, P&amp;L, allocation percentages) are computed in the user’s base currency. Position-level data shows both native currency and base currency equivalent.</w:t>
      </w:r>
    </w:p>
    <w:p>
      <w:pPr>
        <w:spacing w:after="40"/>
      </w:pPr>
    </w:p>
    <w:p>
      <w:pPr>
        <w:pStyle w:val="Heading2"/>
        <w:spacing w:before="300" w:after="160"/>
      </w:pPr>
      <w:r>
        <w:rPr>
          <w:rFonts w:ascii="Arial" w:cs="Arial" w:eastAsia="Arial" w:hAnsi="Arial"/>
          <w:b/>
          <w:bCs/>
          <w:color w:val="2B6CB0"/>
          <w:sz w:val="28"/>
          <w:szCs w:val="28"/>
        </w:rPr>
        <w:t xml:space="preserve">13.2 FX Rate Source</w:t>
      </w:r>
    </w:p>
    <w:p>
      <w:pPr>
        <w:pStyle w:val="ListParagraph"/>
        <w:numPr>
          <w:ilvl w:val="0"/>
          <w:numId w:val="20"/>
        </w:numPr>
        <w:spacing w:after="60"/>
      </w:pPr>
      <w:r>
        <w:rPr>
          <w:rFonts w:ascii="Arial" w:cs="Arial" w:eastAsia="Arial" w:hAnsi="Arial"/>
          <w:b/>
          <w:bCs/>
          <w:color w:val="4A5568"/>
          <w:sz w:val="21"/>
          <w:szCs w:val="21"/>
        </w:rPr>
        <w:t xml:space="preserve">Primary: </w:t>
      </w:r>
      <w:r>
        <w:rPr>
          <w:rFonts w:ascii="Arial" w:cs="Arial" w:eastAsia="Arial" w:hAnsi="Arial"/>
          <w:color w:val="4A5568"/>
          <w:sz w:val="21"/>
          <w:szCs w:val="21"/>
        </w:rPr>
        <w:t xml:space="preserve">FRED API (Federal Reserve USD/INR exchange rate, updated daily).</w:t>
      </w:r>
    </w:p>
    <w:p>
      <w:pPr>
        <w:pStyle w:val="ListParagraph"/>
        <w:numPr>
          <w:ilvl w:val="0"/>
          <w:numId w:val="20"/>
        </w:numPr>
        <w:spacing w:after="60"/>
      </w:pPr>
      <w:r>
        <w:rPr>
          <w:rFonts w:ascii="Arial" w:cs="Arial" w:eastAsia="Arial" w:hAnsi="Arial"/>
          <w:b/>
          <w:bCs/>
          <w:color w:val="4A5568"/>
          <w:sz w:val="21"/>
          <w:szCs w:val="21"/>
        </w:rPr>
        <w:t xml:space="preserve">Fallback: </w:t>
      </w:r>
      <w:r>
        <w:rPr>
          <w:rFonts w:ascii="Arial" w:cs="Arial" w:eastAsia="Arial" w:hAnsi="Arial"/>
          <w:color w:val="4A5568"/>
          <w:sz w:val="21"/>
          <w:szCs w:val="21"/>
        </w:rPr>
        <w:t xml:space="preserve">ECB reference rates (free, daily update).</w:t>
      </w:r>
    </w:p>
    <w:p>
      <w:pPr>
        <w:pStyle w:val="ListParagraph"/>
        <w:numPr>
          <w:ilvl w:val="0"/>
          <w:numId w:val="20"/>
        </w:numPr>
        <w:spacing w:after="60"/>
      </w:pPr>
      <w:r>
        <w:rPr>
          <w:rFonts w:ascii="Arial" w:cs="Arial" w:eastAsia="Arial" w:hAnsi="Arial"/>
          <w:b/>
          <w:bCs/>
          <w:color w:val="4A5568"/>
          <w:sz w:val="21"/>
          <w:szCs w:val="21"/>
        </w:rPr>
        <w:t xml:space="preserve">Storage: </w:t>
      </w:r>
      <w:r>
        <w:rPr>
          <w:rFonts w:ascii="Arial" w:cs="Arial" w:eastAsia="Arial" w:hAnsi="Arial"/>
          <w:color w:val="4A5568"/>
          <w:sz w:val="21"/>
          <w:szCs w:val="21"/>
        </w:rPr>
        <w:t xml:space="preserve">fx_rates table: (currency_pair, date, rate, source, fetched_at). Indexed on (currency_pair, date DESC).</w:t>
      </w:r>
    </w:p>
    <w:p>
      <w:pPr>
        <w:pStyle w:val="ListParagraph"/>
        <w:numPr>
          <w:ilvl w:val="0"/>
          <w:numId w:val="20"/>
        </w:numPr>
        <w:spacing w:after="60"/>
      </w:pPr>
      <w:r>
        <w:rPr>
          <w:rFonts w:ascii="Arial" w:cs="Arial" w:eastAsia="Arial" w:hAnsi="Arial"/>
          <w:b/>
          <w:bCs/>
          <w:color w:val="4A5568"/>
          <w:sz w:val="21"/>
          <w:szCs w:val="21"/>
        </w:rPr>
        <w:t xml:space="preserve">Refresh: </w:t>
      </w:r>
      <w:r>
        <w:rPr>
          <w:rFonts w:ascii="Arial" w:cs="Arial" w:eastAsia="Arial" w:hAnsi="Arial"/>
          <w:color w:val="4A5568"/>
          <w:sz w:val="21"/>
          <w:szCs w:val="21"/>
        </w:rPr>
        <w:t xml:space="preserve">Daily at 6:00 AM UTC (before either market opens).</w:t>
      </w:r>
    </w:p>
    <w:p>
      <w:pPr>
        <w:spacing w:after="40"/>
      </w:pPr>
    </w:p>
    <w:p>
      <w:pPr>
        <w:pStyle w:val="Heading2"/>
        <w:spacing w:before="300" w:after="160"/>
      </w:pPr>
      <w:r>
        <w:rPr>
          <w:rFonts w:ascii="Arial" w:cs="Arial" w:eastAsia="Arial" w:hAnsi="Arial"/>
          <w:b/>
          <w:bCs/>
          <w:color w:val="2B6CB0"/>
          <w:sz w:val="28"/>
          <w:szCs w:val="28"/>
        </w:rPr>
        <w:t xml:space="preserve">13.3 Conversion Rules</w:t>
      </w:r>
    </w:p>
    <w:p>
      <w:pPr>
        <w:pStyle w:val="ListParagraph"/>
        <w:numPr>
          <w:ilvl w:val="0"/>
          <w:numId w:val="21"/>
        </w:numPr>
        <w:spacing w:after="60"/>
      </w:pPr>
      <w:r>
        <w:rPr>
          <w:rFonts w:ascii="Arial" w:cs="Arial" w:eastAsia="Arial" w:hAnsi="Arial"/>
          <w:b/>
          <w:bCs/>
          <w:color w:val="4A5568"/>
          <w:sz w:val="21"/>
          <w:szCs w:val="21"/>
        </w:rPr>
        <w:t xml:space="preserve">Positions: </w:t>
      </w:r>
      <w:r>
        <w:rPr>
          <w:rFonts w:ascii="Arial" w:cs="Arial" w:eastAsia="Arial" w:hAnsi="Arial"/>
          <w:color w:val="4A5568"/>
          <w:sz w:val="21"/>
          <w:szCs w:val="21"/>
        </w:rPr>
        <w:t xml:space="preserve">Stored in native currency. Converted to base currency using latest FX rate for display.</w:t>
      </w:r>
    </w:p>
    <w:p>
      <w:pPr>
        <w:pStyle w:val="ListParagraph"/>
        <w:numPr>
          <w:ilvl w:val="0"/>
          <w:numId w:val="21"/>
        </w:numPr>
        <w:spacing w:after="60"/>
      </w:pPr>
      <w:r>
        <w:rPr>
          <w:rFonts w:ascii="Arial" w:cs="Arial" w:eastAsia="Arial" w:hAnsi="Arial"/>
          <w:b/>
          <w:bCs/>
          <w:color w:val="4A5568"/>
          <w:sz w:val="21"/>
          <w:szCs w:val="21"/>
        </w:rPr>
        <w:t xml:space="preserve">Historical P&amp;L: </w:t>
      </w:r>
      <w:r>
        <w:rPr>
          <w:rFonts w:ascii="Arial" w:cs="Arial" w:eastAsia="Arial" w:hAnsi="Arial"/>
          <w:color w:val="4A5568"/>
          <w:sz w:val="21"/>
          <w:szCs w:val="21"/>
        </w:rPr>
        <w:t xml:space="preserve">Converted using the FX rate on the date of each transaction (not current rate).</w:t>
      </w:r>
    </w:p>
    <w:p>
      <w:pPr>
        <w:pStyle w:val="ListParagraph"/>
        <w:numPr>
          <w:ilvl w:val="0"/>
          <w:numId w:val="21"/>
        </w:numPr>
        <w:spacing w:after="60"/>
      </w:pPr>
      <w:r>
        <w:rPr>
          <w:rFonts w:ascii="Arial" w:cs="Arial" w:eastAsia="Arial" w:hAnsi="Arial"/>
          <w:b/>
          <w:bCs/>
          <w:color w:val="4A5568"/>
          <w:sz w:val="21"/>
          <w:szCs w:val="21"/>
        </w:rPr>
        <w:t xml:space="preserve">Aggregation: </w:t>
      </w:r>
      <w:r>
        <w:rPr>
          <w:rFonts w:ascii="Arial" w:cs="Arial" w:eastAsia="Arial" w:hAnsi="Arial"/>
          <w:color w:val="4A5568"/>
          <w:sz w:val="21"/>
          <w:szCs w:val="21"/>
        </w:rPr>
        <w:t xml:space="preserve">Portfolio totals = sum of all positions converted to base currency.</w:t>
      </w:r>
    </w:p>
    <w:p>
      <w:pPr>
        <w:pStyle w:val="ListParagraph"/>
        <w:numPr>
          <w:ilvl w:val="0"/>
          <w:numId w:val="21"/>
        </w:numPr>
        <w:spacing w:after="60"/>
      </w:pPr>
      <w:r>
        <w:rPr>
          <w:rFonts w:ascii="Arial" w:cs="Arial" w:eastAsia="Arial" w:hAnsi="Arial"/>
          <w:b/>
          <w:bCs/>
          <w:color w:val="4A5568"/>
          <w:sz w:val="21"/>
          <w:szCs w:val="21"/>
        </w:rPr>
        <w:t xml:space="preserve">Risk metrics: </w:t>
      </w:r>
      <w:r>
        <w:rPr>
          <w:rFonts w:ascii="Arial" w:cs="Arial" w:eastAsia="Arial" w:hAnsi="Arial"/>
          <w:color w:val="4A5568"/>
          <w:sz w:val="21"/>
          <w:szCs w:val="21"/>
        </w:rPr>
        <w:t xml:space="preserve">VaR computed per-market in native currency, then converted. Does not model FX risk itself (Phase 2+ enhancement).</w:t>
      </w:r>
    </w:p>
    <w:p>
      <w:pPr>
        <w:sectPr>
          <w:headerReference w:type="default" r:id="rId32"/>
          <w:footerReference w:type="default" r:id="rId33"/>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A365D"/>
          <w:sz w:val="36"/>
          <w:szCs w:val="36"/>
        </w:rPr>
        <w:t xml:space="preserve">14. Safety &amp; Risk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B6CB0" w:sz="12"/>
              <w:bottom w:val="none" w:sz="0"/>
              <w:right w:val="none" w:sz="0"/>
            </w:tcBorders>
            <w:shd w:fill="EBF4FF" w:val="clear"/>
            <w:tcMar>
              <w:top w:type="dxa" w:w="120"/>
              <w:left w:type="dxa" w:w="200"/>
              <w:bottom w:type="dxa" w:w="120"/>
              <w:right w:type="dxa" w:w="200"/>
            </w:tcMar>
          </w:tcPr>
          <w:p>
            <w:r>
              <w:rPr>
                <w:rFonts w:ascii="Arial" w:cs="Arial" w:eastAsia="Arial" w:hAnsi="Arial"/>
                <w:i/>
                <w:iCs/>
                <w:color w:val="2B6CB0"/>
                <w:sz w:val="21"/>
                <w:szCs w:val="21"/>
              </w:rPr>
              <w:t xml:space="preserve">Foundational layer. Built first, not bolted on. In MVP, safety layer validates hypothetical actions (would this trade violate limits?) for recommendation quality. In Phase 2+, it gates real execution.</w:t>
            </w:r>
          </w:p>
        </w:tc>
      </w:tr>
    </w:tbl>
    <w:p>
      <w:pPr>
        <w:spacing w:after="40"/>
      </w:pPr>
    </w:p>
    <w:p>
      <w:pPr>
        <w:pStyle w:val="Heading2"/>
        <w:spacing w:before="300" w:after="160"/>
      </w:pPr>
      <w:r>
        <w:rPr>
          <w:rFonts w:ascii="Arial" w:cs="Arial" w:eastAsia="Arial" w:hAnsi="Arial"/>
          <w:b/>
          <w:bCs/>
          <w:color w:val="2B6CB0"/>
          <w:sz w:val="28"/>
          <w:szCs w:val="28"/>
        </w:rPr>
        <w:t xml:space="preserve">14.1 Safety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400"/>
        <w:gridCol w:w="2160"/>
      </w:tblGrid>
      <w:tr>
        <w:tc>
          <w:tcPr>
            <w:tcW w:type="dxa" w:w="22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Control</w:t>
            </w:r>
          </w:p>
        </w:tc>
        <w:tc>
          <w:tcPr>
            <w:tcW w:type="dxa" w:w="26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4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w:t>
            </w:r>
          </w:p>
        </w:tc>
        <w:tc>
          <w:tcPr>
            <w:tcW w:type="dxa" w:w="21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Config?</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1A202C"/>
                <w:sz w:val="20"/>
                <w:szCs w:val="20"/>
              </w:rPr>
              <w:t xml:space="preserve">Daily Loss Limit</w:t>
            </w:r>
          </w:p>
        </w:tc>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Max portfolio loss/day</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2%</w:t>
            </w:r>
          </w:p>
        </w:tc>
        <w:tc>
          <w:tcPr>
            <w:tcW w:type="dxa" w:w="2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Yes (min 1%)</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A202C"/>
                <w:sz w:val="20"/>
                <w:szCs w:val="20"/>
              </w:rPr>
              <w:t xml:space="preserve">Max Drawdown</w:t>
            </w:r>
          </w:p>
        </w:tc>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Max peak-to-trough</w:t>
            </w:r>
          </w:p>
        </w:tc>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10%</w:t>
            </w:r>
          </w:p>
        </w:tc>
        <w:tc>
          <w:tcPr>
            <w:tcW w:type="dxa" w:w="2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Yes (min 5%)</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1A202C"/>
                <w:sz w:val="20"/>
                <w:szCs w:val="20"/>
              </w:rPr>
              <w:t xml:space="preserve">Max Position</w:t>
            </w:r>
          </w:p>
        </w:tc>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Single position % limit</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10%</w:t>
            </w:r>
          </w:p>
        </w:tc>
        <w:tc>
          <w:tcPr>
            <w:tcW w:type="dxa" w:w="2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Yes (max 25%)</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A202C"/>
                <w:sz w:val="20"/>
                <w:szCs w:val="20"/>
              </w:rPr>
              <w:t xml:space="preserve">Max Trade Size</w:t>
            </w:r>
          </w:p>
        </w:tc>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Single trade value</w:t>
            </w:r>
          </w:p>
        </w:tc>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5%</w:t>
            </w:r>
          </w:p>
        </w:tc>
        <w:tc>
          <w:tcPr>
            <w:tcW w:type="dxa" w:w="2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Yes (max 15%)</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1A202C"/>
                <w:sz w:val="20"/>
                <w:szCs w:val="20"/>
              </w:rPr>
              <w:t xml:space="preserve">Max Trades/Day</w:t>
            </w:r>
          </w:p>
        </w:tc>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Orders per day</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10</w:t>
            </w:r>
          </w:p>
        </w:tc>
        <w:tc>
          <w:tcPr>
            <w:tcW w:type="dxa" w:w="2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Yes (max 50)</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A202C"/>
                <w:sz w:val="20"/>
                <w:szCs w:val="20"/>
              </w:rPr>
              <w:t xml:space="preserve">Kill Switch</w:t>
            </w:r>
          </w:p>
        </w:tc>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Halt all automation</w:t>
            </w:r>
          </w:p>
        </w:tc>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Always available</w:t>
            </w:r>
          </w:p>
        </w:tc>
        <w:tc>
          <w:tcPr>
            <w:tcW w:type="dxa" w:w="2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N/A</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color w:val="1A202C"/>
                <w:sz w:val="20"/>
                <w:szCs w:val="20"/>
              </w:rPr>
              <w:t xml:space="preserve">Duplicate Block</w:t>
            </w:r>
          </w:p>
        </w:tc>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Block identical orders</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60-sec window</w:t>
            </w:r>
          </w:p>
        </w:tc>
        <w:tc>
          <w:tcPr>
            <w:tcW w:type="dxa" w:w="2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Yes</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color w:val="1A202C"/>
                <w:sz w:val="20"/>
                <w:szCs w:val="20"/>
              </w:rPr>
              <w:t xml:space="preserve">Cooldown</w:t>
            </w:r>
          </w:p>
        </w:tc>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Pause after loss trigger</w:t>
            </w:r>
          </w:p>
        </w:tc>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24 hours</w:t>
            </w:r>
          </w:p>
        </w:tc>
        <w:tc>
          <w:tcPr>
            <w:tcW w:type="dxa" w:w="2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Yes (min 1h)</w:t>
            </w:r>
          </w:p>
        </w:tc>
      </w:tr>
    </w:tbl>
    <w:p>
      <w:pPr>
        <w:spacing w:after="40"/>
      </w:pPr>
    </w:p>
    <w:p>
      <w:pPr>
        <w:pStyle w:val="Heading2"/>
        <w:spacing w:before="300" w:after="160"/>
      </w:pPr>
      <w:r>
        <w:rPr>
          <w:rFonts w:ascii="Arial" w:cs="Arial" w:eastAsia="Arial" w:hAnsi="Arial"/>
          <w:b/>
          <w:bCs/>
          <w:color w:val="2B6CB0"/>
          <w:sz w:val="28"/>
          <w:szCs w:val="28"/>
        </w:rPr>
        <w:t xml:space="preserve">14.2 Kill Switch</w:t>
      </w:r>
    </w:p>
    <w:p>
      <w:pPr>
        <w:spacing w:after="120"/>
      </w:pPr>
      <w:r>
        <w:rPr>
          <w:rFonts w:ascii="Arial" w:cs="Arial" w:eastAsia="Arial" w:hAnsi="Arial"/>
          <w:color w:val="4A5568"/>
          <w:sz w:val="21"/>
          <w:szCs w:val="21"/>
        </w:rPr>
        <w:t xml:space="preserve">Immediate halt: cancels pending orders, disables automation, sets read-only, notifies user, logs context. Triggers: dashboard button, API endpoint, automatic (limit breach), system health failure.</w:t>
      </w:r>
    </w:p>
    <w:p>
      <w:pPr>
        <w:spacing w:after="40"/>
      </w:pPr>
    </w:p>
    <w:p>
      <w:pPr>
        <w:pStyle w:val="Heading2"/>
        <w:spacing w:before="300" w:after="160"/>
      </w:pPr>
      <w:r>
        <w:rPr>
          <w:rFonts w:ascii="Arial" w:cs="Arial" w:eastAsia="Arial" w:hAnsi="Arial"/>
          <w:b/>
          <w:bCs/>
          <w:color w:val="2B6CB0"/>
          <w:sz w:val="28"/>
          <w:szCs w:val="28"/>
        </w:rPr>
        <w:t xml:space="preserve">14.3 Audit Trail</w:t>
      </w:r>
    </w:p>
    <w:p>
      <w:pPr>
        <w:spacing w:after="120"/>
      </w:pPr>
      <w:r>
        <w:rPr>
          <w:rFonts w:ascii="Arial" w:cs="Arial" w:eastAsia="Arial" w:hAnsi="Arial"/>
          <w:color w:val="4A5568"/>
          <w:sz w:val="21"/>
          <w:szCs w:val="21"/>
        </w:rPr>
        <w:t xml:space="preserve">Append-only table. Database-level REVOKE UPDATE, DELETE on audit_log for application role. Trigger prevents row modification. Personal/dev deployment: 1-year retention minimum. Product/SaaS: 7-year retention. Structured JSON, queryable via dashboard.</w:t>
      </w:r>
    </w:p>
    <w:p>
      <w:pPr>
        <w:sectPr>
          <w:headerReference w:type="default" r:id="rId34"/>
          <w:footerReference w:type="default" r:id="rId35"/>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A365D"/>
          <w:sz w:val="36"/>
          <w:szCs w:val="36"/>
        </w:rPr>
        <w:t xml:space="preserve">15. User Experience</w:t>
      </w:r>
    </w:p>
    <w:p>
      <w:pPr>
        <w:pStyle w:val="Heading2"/>
        <w:spacing w:before="300" w:after="160"/>
      </w:pPr>
      <w:r>
        <w:rPr>
          <w:rFonts w:ascii="Arial" w:cs="Arial" w:eastAsia="Arial" w:hAnsi="Arial"/>
          <w:b/>
          <w:bCs/>
          <w:color w:val="2B6CB0"/>
          <w:sz w:val="28"/>
          <w:szCs w:val="28"/>
        </w:rPr>
        <w:t xml:space="preserve">15.1 Dashboard Layout</w:t>
      </w:r>
    </w:p>
    <w:p>
      <w:pPr>
        <w:pStyle w:val="ListParagraph"/>
        <w:numPr>
          <w:ilvl w:val="0"/>
          <w:numId w:val="22"/>
        </w:numPr>
        <w:spacing w:after="60"/>
      </w:pPr>
      <w:r>
        <w:rPr>
          <w:rFonts w:ascii="Arial" w:cs="Arial" w:eastAsia="Arial" w:hAnsi="Arial"/>
          <w:b/>
          <w:bCs/>
          <w:color w:val="4A5568"/>
          <w:sz w:val="21"/>
          <w:szCs w:val="21"/>
        </w:rPr>
        <w:t xml:space="preserve">Portfolio Overview: </w:t>
      </w:r>
      <w:r>
        <w:rPr>
          <w:rFonts w:ascii="Arial" w:cs="Arial" w:eastAsia="Arial" w:hAnsi="Arial"/>
          <w:color w:val="4A5568"/>
          <w:sz w:val="21"/>
          <w:szCs w:val="21"/>
        </w:rPr>
        <w:t xml:space="preserve">Total value, daily P&amp;L, total return, base currency.</w:t>
      </w:r>
    </w:p>
    <w:p>
      <w:pPr>
        <w:pStyle w:val="ListParagraph"/>
        <w:numPr>
          <w:ilvl w:val="0"/>
          <w:numId w:val="22"/>
        </w:numPr>
        <w:spacing w:after="60"/>
      </w:pPr>
      <w:r>
        <w:rPr>
          <w:rFonts w:ascii="Arial" w:cs="Arial" w:eastAsia="Arial" w:hAnsi="Arial"/>
          <w:b/>
          <w:bCs/>
          <w:color w:val="4A5568"/>
          <w:sz w:val="21"/>
          <w:szCs w:val="21"/>
        </w:rPr>
        <w:t xml:space="preserve">Risk Meter: </w:t>
      </w:r>
      <w:r>
        <w:rPr>
          <w:rFonts w:ascii="Arial" w:cs="Arial" w:eastAsia="Arial" w:hAnsi="Arial"/>
          <w:color w:val="4A5568"/>
          <w:sz w:val="21"/>
          <w:szCs w:val="21"/>
        </w:rPr>
        <w:t xml:space="preserve">0–100 gauge with drill-down showing formula components.</w:t>
      </w:r>
    </w:p>
    <w:p>
      <w:pPr>
        <w:pStyle w:val="ListParagraph"/>
        <w:numPr>
          <w:ilvl w:val="0"/>
          <w:numId w:val="22"/>
        </w:numPr>
        <w:spacing w:after="60"/>
      </w:pPr>
      <w:r>
        <w:rPr>
          <w:rFonts w:ascii="Arial" w:cs="Arial" w:eastAsia="Arial" w:hAnsi="Arial"/>
          <w:b/>
          <w:bCs/>
          <w:color w:val="4A5568"/>
          <w:sz w:val="21"/>
          <w:szCs w:val="21"/>
        </w:rPr>
        <w:t xml:space="preserve">Broker Status: </w:t>
      </w:r>
      <w:r>
        <w:rPr>
          <w:rFonts w:ascii="Arial" w:cs="Arial" w:eastAsia="Arial" w:hAnsi="Arial"/>
          <w:color w:val="4A5568"/>
          <w:sz w:val="21"/>
          <w:szCs w:val="21"/>
        </w:rPr>
        <w:t xml:space="preserve">Green (connected + synced), Yellow (connected, token expired — Zerodha daily reauth), Gray (not connected).</w:t>
      </w:r>
    </w:p>
    <w:p>
      <w:pPr>
        <w:pStyle w:val="ListParagraph"/>
        <w:numPr>
          <w:ilvl w:val="0"/>
          <w:numId w:val="22"/>
        </w:numPr>
        <w:spacing w:after="60"/>
      </w:pPr>
      <w:r>
        <w:rPr>
          <w:rFonts w:ascii="Arial" w:cs="Arial" w:eastAsia="Arial" w:hAnsi="Arial"/>
          <w:b/>
          <w:bCs/>
          <w:color w:val="4A5568"/>
          <w:sz w:val="21"/>
          <w:szCs w:val="21"/>
        </w:rPr>
        <w:t xml:space="preserve">Holdings Table: </w:t>
      </w:r>
      <w:r>
        <w:rPr>
          <w:rFonts w:ascii="Arial" w:cs="Arial" w:eastAsia="Arial" w:hAnsi="Arial"/>
          <w:color w:val="4A5568"/>
          <w:sz w:val="21"/>
          <w:szCs w:val="21"/>
        </w:rPr>
        <w:t xml:space="preserve">Symbol, qty, price, P&amp;L, AI rating, risk score. Native + base currency columns.</w:t>
      </w:r>
    </w:p>
    <w:p>
      <w:pPr>
        <w:pStyle w:val="ListParagraph"/>
        <w:numPr>
          <w:ilvl w:val="0"/>
          <w:numId w:val="22"/>
        </w:numPr>
        <w:spacing w:after="60"/>
      </w:pPr>
      <w:r>
        <w:rPr>
          <w:rFonts w:ascii="Arial" w:cs="Arial" w:eastAsia="Arial" w:hAnsi="Arial"/>
          <w:b/>
          <w:bCs/>
          <w:color w:val="4A5568"/>
          <w:sz w:val="21"/>
          <w:szCs w:val="21"/>
        </w:rPr>
        <w:t xml:space="preserve">AI Insight Feed: </w:t>
      </w:r>
      <w:r>
        <w:rPr>
          <w:rFonts w:ascii="Arial" w:cs="Arial" w:eastAsia="Arial" w:hAnsi="Arial"/>
          <w:color w:val="4A5568"/>
          <w:sz w:val="21"/>
          <w:szCs w:val="21"/>
        </w:rPr>
        <w:t xml:space="preserve">Chronological cards. Each shows which explainer generated the text.</w:t>
      </w:r>
    </w:p>
    <w:p>
      <w:pPr>
        <w:spacing w:after="40"/>
      </w:pPr>
    </w:p>
    <w:p>
      <w:pPr>
        <w:pStyle w:val="Heading2"/>
        <w:spacing w:before="300" w:after="160"/>
      </w:pPr>
      <w:r>
        <w:rPr>
          <w:rFonts w:ascii="Arial" w:cs="Arial" w:eastAsia="Arial" w:hAnsi="Arial"/>
          <w:b/>
          <w:bCs/>
          <w:color w:val="2B6CB0"/>
          <w:sz w:val="28"/>
          <w:szCs w:val="28"/>
        </w:rPr>
        <w:t xml:space="preserve">15.2 UX Principles</w:t>
      </w:r>
    </w:p>
    <w:p>
      <w:pPr>
        <w:pStyle w:val="ListParagraph"/>
        <w:numPr>
          <w:ilvl w:val="0"/>
          <w:numId w:val="23"/>
        </w:numPr>
        <w:spacing w:after="60"/>
      </w:pPr>
      <w:r>
        <w:rPr>
          <w:rFonts w:ascii="Arial" w:cs="Arial" w:eastAsia="Arial" w:hAnsi="Arial"/>
          <w:b/>
          <w:bCs/>
          <w:color w:val="4A5568"/>
          <w:sz w:val="21"/>
          <w:szCs w:val="21"/>
        </w:rPr>
        <w:t xml:space="preserve">Progressive disclosure: </w:t>
      </w:r>
      <w:r>
        <w:rPr>
          <w:rFonts w:ascii="Arial" w:cs="Arial" w:eastAsia="Arial" w:hAnsi="Arial"/>
          <w:color w:val="4A5568"/>
          <w:sz w:val="21"/>
          <w:szCs w:val="21"/>
        </w:rPr>
        <w:t xml:space="preserve">Simple overview first, depth on demand.</w:t>
      </w:r>
    </w:p>
    <w:p>
      <w:pPr>
        <w:pStyle w:val="ListParagraph"/>
        <w:numPr>
          <w:ilvl w:val="0"/>
          <w:numId w:val="23"/>
        </w:numPr>
        <w:spacing w:after="60"/>
      </w:pPr>
      <w:r>
        <w:rPr>
          <w:rFonts w:ascii="Arial" w:cs="Arial" w:eastAsia="Arial" w:hAnsi="Arial"/>
          <w:b/>
          <w:bCs/>
          <w:color w:val="4A5568"/>
          <w:sz w:val="21"/>
          <w:szCs w:val="21"/>
        </w:rPr>
        <w:t xml:space="preserve">Transparency: </w:t>
      </w:r>
      <w:r>
        <w:rPr>
          <w:rFonts w:ascii="Arial" w:cs="Arial" w:eastAsia="Arial" w:hAnsi="Arial"/>
          <w:color w:val="4A5568"/>
          <w:sz w:val="21"/>
          <w:szCs w:val="21"/>
        </w:rPr>
        <w:t xml:space="preserve">Every score shows its formula. Every recommendation shows reasoning.</w:t>
      </w:r>
    </w:p>
    <w:p>
      <w:pPr>
        <w:pStyle w:val="ListParagraph"/>
        <w:numPr>
          <w:ilvl w:val="0"/>
          <w:numId w:val="23"/>
        </w:numPr>
        <w:spacing w:after="60"/>
      </w:pPr>
      <w:r>
        <w:rPr>
          <w:rFonts w:ascii="Arial" w:cs="Arial" w:eastAsia="Arial" w:hAnsi="Arial"/>
          <w:b/>
          <w:bCs/>
          <w:color w:val="4A5568"/>
          <w:sz w:val="21"/>
          <w:szCs w:val="21"/>
        </w:rPr>
        <w:t xml:space="preserve">Safety visibility: </w:t>
      </w:r>
      <w:r>
        <w:rPr>
          <w:rFonts w:ascii="Arial" w:cs="Arial" w:eastAsia="Arial" w:hAnsi="Arial"/>
          <w:color w:val="4A5568"/>
          <w:sz w:val="21"/>
          <w:szCs w:val="21"/>
        </w:rPr>
        <w:t xml:space="preserve">Risk meter always visible. Broker status always visible.</w:t>
      </w:r>
    </w:p>
    <w:p>
      <w:pPr>
        <w:pStyle w:val="ListParagraph"/>
        <w:numPr>
          <w:ilvl w:val="0"/>
          <w:numId w:val="23"/>
        </w:numPr>
        <w:spacing w:after="60"/>
      </w:pPr>
      <w:r>
        <w:rPr>
          <w:rFonts w:ascii="Arial" w:cs="Arial" w:eastAsia="Arial" w:hAnsi="Arial"/>
          <w:b/>
          <w:bCs/>
          <w:color w:val="4A5568"/>
          <w:sz w:val="21"/>
          <w:szCs w:val="21"/>
        </w:rPr>
        <w:t xml:space="preserve">No dark patterns: </w:t>
      </w:r>
      <w:r>
        <w:rPr>
          <w:rFonts w:ascii="Arial" w:cs="Arial" w:eastAsia="Arial" w:hAnsi="Arial"/>
          <w:color w:val="4A5568"/>
          <w:sz w:val="21"/>
          <w:szCs w:val="21"/>
        </w:rPr>
        <w:t xml:space="preserve">Never push toward riskier modes.</w:t>
      </w:r>
    </w:p>
    <w:p>
      <w:pPr>
        <w:sectPr>
          <w:headerReference w:type="default" r:id="rId36"/>
          <w:footerReference w:type="default" r:id="rId37"/>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A365D"/>
          <w:sz w:val="36"/>
          <w:szCs w:val="36"/>
        </w:rPr>
        <w:t xml:space="preserve">16. Monetization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234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Free</w:t>
            </w:r>
          </w:p>
        </w:tc>
        <w:tc>
          <w:tcPr>
            <w:tcW w:type="dxa" w:w="234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Pro $15–30/mo</w:t>
            </w:r>
          </w:p>
        </w:tc>
        <w:tc>
          <w:tcPr>
            <w:tcW w:type="dxa" w:w="234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Premium $50–100/mo</w:t>
            </w:r>
          </w:p>
        </w:tc>
      </w:tr>
      <w:tr>
        <w:tc>
          <w:tcPr>
            <w:tcW w:type="dxa" w:w="23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Brokers</w:t>
            </w:r>
          </w:p>
        </w:tc>
        <w:tc>
          <w:tcPr>
            <w:tcW w:type="dxa" w:w="23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1</w:t>
            </w:r>
          </w:p>
        </w:tc>
        <w:tc>
          <w:tcPr>
            <w:tcW w:type="dxa" w:w="23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2</w:t>
            </w:r>
          </w:p>
        </w:tc>
        <w:tc>
          <w:tcPr>
            <w:tcW w:type="dxa" w:w="23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Unlimited</w:t>
            </w:r>
          </w:p>
        </w:tc>
      </w:tr>
      <w:tr>
        <w:tc>
          <w:tcPr>
            <w:tcW w:type="dxa" w:w="234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AI Recommendations</w:t>
            </w:r>
          </w:p>
        </w:tc>
        <w:tc>
          <w:tcPr>
            <w:tcW w:type="dxa" w:w="234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Daily summary</w:t>
            </w:r>
          </w:p>
        </w:tc>
        <w:tc>
          <w:tcPr>
            <w:tcW w:type="dxa" w:w="234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Real-time</w:t>
            </w:r>
          </w:p>
        </w:tc>
        <w:tc>
          <w:tcPr>
            <w:tcW w:type="dxa" w:w="234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RT + history</w:t>
            </w:r>
          </w:p>
        </w:tc>
      </w:tr>
      <w:tr>
        <w:tc>
          <w:tcPr>
            <w:tcW w:type="dxa" w:w="23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Explainer</w:t>
            </w:r>
          </w:p>
        </w:tc>
        <w:tc>
          <w:tcPr>
            <w:tcW w:type="dxa" w:w="23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Template only</w:t>
            </w:r>
          </w:p>
        </w:tc>
        <w:tc>
          <w:tcPr>
            <w:tcW w:type="dxa" w:w="23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Template + BYOK LLM</w:t>
            </w:r>
          </w:p>
        </w:tc>
        <w:tc>
          <w:tcPr>
            <w:tcW w:type="dxa" w:w="23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Template + BYOK LLM</w:t>
            </w:r>
          </w:p>
        </w:tc>
      </w:tr>
      <w:tr>
        <w:tc>
          <w:tcPr>
            <w:tcW w:type="dxa" w:w="234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Risk Alerts</w:t>
            </w:r>
          </w:p>
        </w:tc>
        <w:tc>
          <w:tcPr>
            <w:tcW w:type="dxa" w:w="234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Email, daily</w:t>
            </w:r>
          </w:p>
        </w:tc>
        <w:tc>
          <w:tcPr>
            <w:tcW w:type="dxa" w:w="234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Real-time</w:t>
            </w:r>
          </w:p>
        </w:tc>
        <w:tc>
          <w:tcPr>
            <w:tcW w:type="dxa" w:w="234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RT + auto-hedging</w:t>
            </w:r>
          </w:p>
        </w:tc>
      </w:tr>
      <w:tr>
        <w:tc>
          <w:tcPr>
            <w:tcW w:type="dxa" w:w="23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Assisted Trading</w:t>
            </w:r>
          </w:p>
        </w:tc>
        <w:tc>
          <w:tcPr>
            <w:tcW w:type="dxa" w:w="23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No</w:t>
            </w:r>
          </w:p>
        </w:tc>
        <w:tc>
          <w:tcPr>
            <w:tcW w:type="dxa" w:w="23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Yes (Phase 2)</w:t>
            </w:r>
          </w:p>
        </w:tc>
        <w:tc>
          <w:tcPr>
            <w:tcW w:type="dxa" w:w="23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Yes</w:t>
            </w:r>
          </w:p>
        </w:tc>
      </w:tr>
      <w:tr>
        <w:tc>
          <w:tcPr>
            <w:tcW w:type="dxa" w:w="234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Automated Trading</w:t>
            </w:r>
          </w:p>
        </w:tc>
        <w:tc>
          <w:tcPr>
            <w:tcW w:type="dxa" w:w="234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No</w:t>
            </w:r>
          </w:p>
        </w:tc>
        <w:tc>
          <w:tcPr>
            <w:tcW w:type="dxa" w:w="234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No</w:t>
            </w:r>
          </w:p>
        </w:tc>
        <w:tc>
          <w:tcPr>
            <w:tcW w:type="dxa" w:w="234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Yes (Phase 2+)</w:t>
            </w:r>
          </w:p>
        </w:tc>
      </w:tr>
    </w:tbl>
    <w:p>
      <w:pPr>
        <w:spacing w:after="120"/>
      </w:pPr>
      <w:r>
        <w:rPr>
          <w:rFonts w:ascii="Arial" w:cs="Arial" w:eastAsia="Arial" w:hAnsi="Arial"/>
          <w:color w:val="4A5568"/>
          <w:sz w:val="21"/>
          <w:szCs w:val="21"/>
        </w:rPr>
        <w:t xml:space="preserve">Indian pricing: ₹499/mo (Pro), ₹1,499/mo (Premium).</w:t>
      </w:r>
    </w:p>
    <w:p>
      <w:pPr>
        <w:sectPr>
          <w:headerReference w:type="default" r:id="rId38"/>
          <w:footerReference w:type="default" r:id="rId39"/>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A365D"/>
          <w:sz w:val="36"/>
          <w:szCs w:val="36"/>
        </w:rPr>
        <w:t xml:space="preserve">17. Development Roadmap</w:t>
      </w:r>
    </w:p>
    <w:p>
      <w:pPr>
        <w:pStyle w:val="Heading2"/>
        <w:spacing w:before="300" w:after="160"/>
      </w:pPr>
      <w:r>
        <w:rPr>
          <w:rFonts w:ascii="Arial" w:cs="Arial" w:eastAsia="Arial" w:hAnsi="Arial"/>
          <w:b/>
          <w:bCs/>
          <w:color w:val="2B6CB0"/>
          <w:sz w:val="28"/>
          <w:szCs w:val="28"/>
        </w:rPr>
        <w:t xml:space="preserve">Phase 1: MVP (Months 1–4)</w:t>
      </w:r>
    </w:p>
    <w:p>
      <w:pPr>
        <w:spacing w:after="120"/>
      </w:pPr>
      <w:r>
        <w:rPr>
          <w:rFonts w:ascii="Arial" w:cs="Arial" w:eastAsia="Arial" w:hAnsi="Arial"/>
          <w:b/>
          <w:bCs/>
          <w:color w:val="4A5568"/>
          <w:sz w:val="21"/>
          <w:szCs w:val="21"/>
        </w:rPr>
        <w:t xml:space="preserve">Alpaca paper trading, read-only modes A/D/E, template explanations, dashboard.</w:t>
      </w:r>
    </w:p>
    <w:p>
      <w:pPr>
        <w:spacing w:after="20"/>
      </w:pPr>
    </w:p>
    <w:p>
      <w:pPr>
        <w:spacing w:after="120"/>
      </w:pPr>
      <w:r>
        <w:rPr>
          <w:rFonts w:ascii="Arial" w:cs="Arial" w:eastAsia="Arial" w:hAnsi="Arial"/>
          <w:b/>
          <w:bCs/>
          <w:color w:val="2B6CB0"/>
          <w:sz w:val="21"/>
          <w:szCs w:val="21"/>
        </w:rPr>
        <w:t xml:space="preserve">Month 1 — Core</w:t>
      </w:r>
    </w:p>
    <w:p>
      <w:pPr>
        <w:pStyle w:val="ListParagraph"/>
        <w:numPr>
          <w:ilvl w:val="0"/>
          <w:numId w:val="24"/>
        </w:numPr>
        <w:spacing w:after="60"/>
      </w:pPr>
      <w:r>
        <w:rPr>
          <w:rFonts w:ascii="Arial" w:cs="Arial" w:eastAsia="Arial" w:hAnsi="Arial"/>
          <w:color w:val="4A5568"/>
          <w:sz w:val="21"/>
          <w:szCs w:val="21"/>
        </w:rPr>
        <w:t xml:space="preserve">FastAPI (sole auth) + Next.js + PostgreSQL + Redis + Docker Compose</w:t>
      </w:r>
    </w:p>
    <w:p>
      <w:pPr>
        <w:pStyle w:val="ListParagraph"/>
        <w:numPr>
          <w:ilvl w:val="0"/>
          <w:numId w:val="24"/>
        </w:numPr>
        <w:spacing w:after="60"/>
      </w:pPr>
      <w:r>
        <w:rPr>
          <w:rFonts w:ascii="Arial" w:cs="Arial" w:eastAsia="Arial" w:hAnsi="Arial"/>
          <w:color w:val="4A5568"/>
          <w:sz w:val="21"/>
          <w:szCs w:val="21"/>
        </w:rPr>
        <w:t xml:space="preserve">Alpaca adapter (paper trading default) + OAuth</w:t>
      </w:r>
    </w:p>
    <w:p>
      <w:pPr>
        <w:pStyle w:val="ListParagraph"/>
        <w:numPr>
          <w:ilvl w:val="0"/>
          <w:numId w:val="24"/>
        </w:numPr>
        <w:spacing w:after="60"/>
      </w:pPr>
      <w:r>
        <w:rPr>
          <w:rFonts w:ascii="Arial" w:cs="Arial" w:eastAsia="Arial" w:hAnsi="Arial"/>
          <w:color w:val="4A5568"/>
          <w:sz w:val="21"/>
          <w:szCs w:val="21"/>
        </w:rPr>
        <w:t xml:space="preserve">AES-256-GCM token storage, broker feature flags</w:t>
      </w:r>
    </w:p>
    <w:p>
      <w:pPr>
        <w:pStyle w:val="ListParagraph"/>
        <w:numPr>
          <w:ilvl w:val="0"/>
          <w:numId w:val="24"/>
        </w:numPr>
        <w:spacing w:after="60"/>
      </w:pPr>
      <w:r>
        <w:rPr>
          <w:rFonts w:ascii="Arial" w:cs="Arial" w:eastAsia="Arial" w:hAnsi="Arial"/>
          <w:color w:val="4A5568"/>
          <w:sz w:val="21"/>
          <w:szCs w:val="21"/>
        </w:rPr>
        <w:t xml:space="preserve">Portfolio sync (read-only), market calendar integration</w:t>
      </w:r>
    </w:p>
    <w:p>
      <w:pPr>
        <w:spacing w:after="20"/>
      </w:pPr>
    </w:p>
    <w:p>
      <w:pPr>
        <w:spacing w:after="120"/>
      </w:pPr>
      <w:r>
        <w:rPr>
          <w:rFonts w:ascii="Arial" w:cs="Arial" w:eastAsia="Arial" w:hAnsi="Arial"/>
          <w:b/>
          <w:bCs/>
          <w:color w:val="2B6CB0"/>
          <w:sz w:val="21"/>
          <w:szCs w:val="21"/>
        </w:rPr>
        <w:t xml:space="preserve">Month 2 — Data &amp; Analysis</w:t>
      </w:r>
    </w:p>
    <w:p>
      <w:pPr>
        <w:pStyle w:val="ListParagraph"/>
        <w:numPr>
          <w:ilvl w:val="0"/>
          <w:numId w:val="25"/>
        </w:numPr>
        <w:spacing w:after="60"/>
      </w:pPr>
      <w:r>
        <w:rPr>
          <w:rFonts w:ascii="Arial" w:cs="Arial" w:eastAsia="Arial" w:hAnsi="Arial"/>
          <w:color w:val="4A5568"/>
          <w:sz w:val="21"/>
          <w:szCs w:val="21"/>
        </w:rPr>
        <w:t xml:space="preserve">Yahoo Finance pipeline + caching + DataProvider abstraction</w:t>
      </w:r>
    </w:p>
    <w:p>
      <w:pPr>
        <w:pStyle w:val="ListParagraph"/>
        <w:numPr>
          <w:ilvl w:val="0"/>
          <w:numId w:val="25"/>
        </w:numPr>
        <w:spacing w:after="60"/>
      </w:pPr>
      <w:r>
        <w:rPr>
          <w:rFonts w:ascii="Arial" w:cs="Arial" w:eastAsia="Arial" w:hAnsi="Arial"/>
          <w:color w:val="4A5568"/>
          <w:sz w:val="21"/>
          <w:szCs w:val="21"/>
        </w:rPr>
        <w:t xml:space="preserve">pandas-ta indicators, composite scoring</w:t>
      </w:r>
    </w:p>
    <w:p>
      <w:pPr>
        <w:pStyle w:val="ListParagraph"/>
        <w:numPr>
          <w:ilvl w:val="0"/>
          <w:numId w:val="25"/>
        </w:numPr>
        <w:spacing w:after="60"/>
      </w:pPr>
      <w:r>
        <w:rPr>
          <w:rFonts w:ascii="Arial" w:cs="Arial" w:eastAsia="Arial" w:hAnsi="Arial"/>
          <w:color w:val="4A5568"/>
          <w:sz w:val="21"/>
          <w:szCs w:val="21"/>
        </w:rPr>
        <w:t xml:space="preserve">FinBERT setup, GNews integration, sentiment pipeline</w:t>
      </w:r>
    </w:p>
    <w:p>
      <w:pPr>
        <w:pStyle w:val="ListParagraph"/>
        <w:numPr>
          <w:ilvl w:val="0"/>
          <w:numId w:val="25"/>
        </w:numPr>
        <w:spacing w:after="60"/>
      </w:pPr>
      <w:r>
        <w:rPr>
          <w:rFonts w:ascii="Arial" w:cs="Arial" w:eastAsia="Arial" w:hAnsi="Arial"/>
          <w:color w:val="4A5568"/>
          <w:sz w:val="21"/>
          <w:szCs w:val="21"/>
        </w:rPr>
        <w:t xml:space="preserve">FX rate pipeline (FRED/ECB)</w:t>
      </w:r>
    </w:p>
    <w:p>
      <w:pPr>
        <w:pStyle w:val="ListParagraph"/>
        <w:numPr>
          <w:ilvl w:val="0"/>
          <w:numId w:val="25"/>
        </w:numPr>
        <w:spacing w:after="60"/>
      </w:pPr>
      <w:r>
        <w:rPr>
          <w:rFonts w:ascii="Arial" w:cs="Arial" w:eastAsia="Arial" w:hAnsi="Arial"/>
          <w:color w:val="4A5568"/>
          <w:sz w:val="21"/>
          <w:szCs w:val="21"/>
        </w:rPr>
        <w:t xml:space="preserve">Session-aware Celery scheduler</w:t>
      </w:r>
    </w:p>
    <w:p>
      <w:pPr>
        <w:spacing w:after="20"/>
      </w:pPr>
    </w:p>
    <w:p>
      <w:pPr>
        <w:spacing w:after="120"/>
      </w:pPr>
      <w:r>
        <w:rPr>
          <w:rFonts w:ascii="Arial" w:cs="Arial" w:eastAsia="Arial" w:hAnsi="Arial"/>
          <w:b/>
          <w:bCs/>
          <w:color w:val="2B6CB0"/>
          <w:sz w:val="21"/>
          <w:szCs w:val="21"/>
        </w:rPr>
        <w:t xml:space="preserve">Month 3 — Intelligence &amp; Safety</w:t>
      </w:r>
    </w:p>
    <w:p>
      <w:pPr>
        <w:pStyle w:val="ListParagraph"/>
        <w:numPr>
          <w:ilvl w:val="0"/>
          <w:numId w:val="26"/>
        </w:numPr>
        <w:spacing w:after="60"/>
      </w:pPr>
      <w:r>
        <w:rPr>
          <w:rFonts w:ascii="Arial" w:cs="Arial" w:eastAsia="Arial" w:hAnsi="Arial"/>
          <w:color w:val="4A5568"/>
          <w:sz w:val="21"/>
          <w:szCs w:val="21"/>
        </w:rPr>
        <w:t xml:space="preserve">Recommendation engine + TemplateExplainer</w:t>
      </w:r>
    </w:p>
    <w:p>
      <w:pPr>
        <w:pStyle w:val="ListParagraph"/>
        <w:numPr>
          <w:ilvl w:val="0"/>
          <w:numId w:val="26"/>
        </w:numPr>
        <w:spacing w:after="60"/>
      </w:pPr>
      <w:r>
        <w:rPr>
          <w:rFonts w:ascii="Arial" w:cs="Arial" w:eastAsia="Arial" w:hAnsi="Arial"/>
          <w:color w:val="4A5568"/>
          <w:sz w:val="21"/>
          <w:szCs w:val="21"/>
        </w:rPr>
        <w:t xml:space="preserve">Safety layer: limits, kill switch, audit trail (append-only)</w:t>
      </w:r>
    </w:p>
    <w:p>
      <w:pPr>
        <w:pStyle w:val="ListParagraph"/>
        <w:numPr>
          <w:ilvl w:val="0"/>
          <w:numId w:val="26"/>
        </w:numPr>
        <w:spacing w:after="60"/>
      </w:pPr>
      <w:r>
        <w:rPr>
          <w:rFonts w:ascii="Arial" w:cs="Arial" w:eastAsia="Arial" w:hAnsi="Arial"/>
          <w:color w:val="4A5568"/>
          <w:sz w:val="21"/>
          <w:szCs w:val="21"/>
        </w:rPr>
        <w:t xml:space="preserve">Risk models: VaR, volatility, drawdown</w:t>
      </w:r>
    </w:p>
    <w:p>
      <w:pPr>
        <w:pStyle w:val="ListParagraph"/>
        <w:numPr>
          <w:ilvl w:val="0"/>
          <w:numId w:val="26"/>
        </w:numPr>
        <w:spacing w:after="60"/>
      </w:pPr>
      <w:r>
        <w:rPr>
          <w:rFonts w:ascii="Arial" w:cs="Arial" w:eastAsia="Arial" w:hAnsi="Arial"/>
          <w:color w:val="4A5568"/>
          <w:sz w:val="21"/>
          <w:szCs w:val="21"/>
        </w:rPr>
        <w:t xml:space="preserve">Risk Meter (deterministic formula)</w:t>
      </w:r>
    </w:p>
    <w:p>
      <w:pPr>
        <w:pStyle w:val="ListParagraph"/>
        <w:numPr>
          <w:ilvl w:val="0"/>
          <w:numId w:val="26"/>
        </w:numPr>
        <w:spacing w:after="60"/>
      </w:pPr>
      <w:r>
        <w:rPr>
          <w:rFonts w:ascii="Arial" w:cs="Arial" w:eastAsia="Arial" w:hAnsi="Arial"/>
          <w:color w:val="4A5568"/>
          <w:sz w:val="21"/>
          <w:szCs w:val="21"/>
        </w:rPr>
        <w:t xml:space="preserve">Portfolio Intelligence mode</w:t>
      </w:r>
    </w:p>
    <w:p>
      <w:pPr>
        <w:spacing w:after="20"/>
      </w:pPr>
    </w:p>
    <w:p>
      <w:pPr>
        <w:spacing w:after="120"/>
      </w:pPr>
      <w:r>
        <w:rPr>
          <w:rFonts w:ascii="Arial" w:cs="Arial" w:eastAsia="Arial" w:hAnsi="Arial"/>
          <w:b/>
          <w:bCs/>
          <w:color w:val="2B6CB0"/>
          <w:sz w:val="21"/>
          <w:szCs w:val="21"/>
        </w:rPr>
        <w:t xml:space="preserve">Month 4 — Polish &amp; Launch</w:t>
      </w:r>
    </w:p>
    <w:p>
      <w:pPr>
        <w:pStyle w:val="ListParagraph"/>
        <w:numPr>
          <w:ilvl w:val="0"/>
          <w:numId w:val="27"/>
        </w:numPr>
        <w:spacing w:after="60"/>
      </w:pPr>
      <w:r>
        <w:rPr>
          <w:rFonts w:ascii="Arial" w:cs="Arial" w:eastAsia="Arial" w:hAnsi="Arial"/>
          <w:color w:val="4A5568"/>
          <w:sz w:val="21"/>
          <w:szCs w:val="21"/>
        </w:rPr>
        <w:t xml:space="preserve">Dashboard: risk meter, insight feed, holdings, FX display</w:t>
      </w:r>
    </w:p>
    <w:p>
      <w:pPr>
        <w:pStyle w:val="ListParagraph"/>
        <w:numPr>
          <w:ilvl w:val="0"/>
          <w:numId w:val="27"/>
        </w:numPr>
        <w:spacing w:after="60"/>
      </w:pPr>
      <w:r>
        <w:rPr>
          <w:rFonts w:ascii="Arial" w:cs="Arial" w:eastAsia="Arial" w:hAnsi="Arial"/>
          <w:color w:val="4A5568"/>
          <w:sz w:val="21"/>
          <w:szCs w:val="21"/>
        </w:rPr>
        <w:t xml:space="preserve">Risk Guardian + alerts</w:t>
      </w:r>
    </w:p>
    <w:p>
      <w:pPr>
        <w:pStyle w:val="ListParagraph"/>
        <w:numPr>
          <w:ilvl w:val="0"/>
          <w:numId w:val="27"/>
        </w:numPr>
        <w:spacing w:after="60"/>
      </w:pPr>
      <w:r>
        <w:rPr>
          <w:rFonts w:ascii="Arial" w:cs="Arial" w:eastAsia="Arial" w:hAnsi="Arial"/>
          <w:color w:val="4A5568"/>
          <w:sz w:val="21"/>
          <w:szCs w:val="21"/>
        </w:rPr>
        <w:t xml:space="preserve">Zerodha adapter (sandbox, limited mode UX)</w:t>
      </w:r>
    </w:p>
    <w:p>
      <w:pPr>
        <w:pStyle w:val="ListParagraph"/>
        <w:numPr>
          <w:ilvl w:val="0"/>
          <w:numId w:val="27"/>
        </w:numPr>
        <w:spacing w:after="60"/>
      </w:pPr>
      <w:r>
        <w:rPr>
          <w:rFonts w:ascii="Arial" w:cs="Arial" w:eastAsia="Arial" w:hAnsi="Arial"/>
          <w:color w:val="4A5568"/>
          <w:sz w:val="21"/>
          <w:szCs w:val="21"/>
        </w:rPr>
        <w:t xml:space="preserve">Broker conformance tests</w:t>
      </w:r>
    </w:p>
    <w:p>
      <w:pPr>
        <w:pStyle w:val="ListParagraph"/>
        <w:numPr>
          <w:ilvl w:val="0"/>
          <w:numId w:val="27"/>
        </w:numPr>
        <w:spacing w:after="60"/>
      </w:pPr>
      <w:r>
        <w:rPr>
          <w:rFonts w:ascii="Arial" w:cs="Arial" w:eastAsia="Arial" w:hAnsi="Arial"/>
          <w:color w:val="4A5568"/>
          <w:sz w:val="21"/>
          <w:szCs w:val="21"/>
        </w:rPr>
        <w:t xml:space="preserve">Beta: 10–20 users</w:t>
      </w:r>
    </w:p>
    <w:p>
      <w:pPr>
        <w:spacing w:after="40"/>
      </w:pPr>
    </w:p>
    <w:p>
      <w:pPr>
        <w:pStyle w:val="Heading2"/>
        <w:spacing w:before="300" w:after="160"/>
      </w:pPr>
      <w:r>
        <w:rPr>
          <w:rFonts w:ascii="Arial" w:cs="Arial" w:eastAsia="Arial" w:hAnsi="Arial"/>
          <w:b/>
          <w:bCs/>
          <w:color w:val="2B6CB0"/>
          <w:sz w:val="28"/>
          <w:szCs w:val="28"/>
        </w:rPr>
        <w:t xml:space="preserve">Phase 2: Execution &amp; Scale (Months 5–9)</w:t>
      </w:r>
    </w:p>
    <w:p>
      <w:pPr>
        <w:pStyle w:val="ListParagraph"/>
        <w:numPr>
          <w:ilvl w:val="0"/>
          <w:numId w:val="28"/>
        </w:numPr>
        <w:spacing w:after="60"/>
      </w:pPr>
      <w:r>
        <w:rPr>
          <w:rFonts w:ascii="Arial" w:cs="Arial" w:eastAsia="Arial" w:hAnsi="Arial"/>
          <w:color w:val="4A5568"/>
          <w:sz w:val="21"/>
          <w:szCs w:val="21"/>
        </w:rPr>
        <w:t xml:space="preserve">Assisted Trading (Mode B) — after regulatory review</w:t>
      </w:r>
    </w:p>
    <w:p>
      <w:pPr>
        <w:pStyle w:val="ListParagraph"/>
        <w:numPr>
          <w:ilvl w:val="0"/>
          <w:numId w:val="28"/>
        </w:numPr>
        <w:spacing w:after="60"/>
      </w:pPr>
      <w:r>
        <w:rPr>
          <w:rFonts w:ascii="Arial" w:cs="Arial" w:eastAsia="Arial" w:hAnsi="Arial"/>
          <w:color w:val="4A5568"/>
          <w:sz w:val="21"/>
          <w:szCs w:val="21"/>
        </w:rPr>
        <w:t xml:space="preserve">Backtesting engine</w:t>
      </w:r>
    </w:p>
    <w:p>
      <w:pPr>
        <w:pStyle w:val="ListParagraph"/>
        <w:numPr>
          <w:ilvl w:val="0"/>
          <w:numId w:val="28"/>
        </w:numPr>
        <w:spacing w:after="60"/>
      </w:pPr>
      <w:r>
        <w:rPr>
          <w:rFonts w:ascii="Arial" w:cs="Arial" w:eastAsia="Arial" w:hAnsi="Arial"/>
          <w:color w:val="4A5568"/>
          <w:sz w:val="21"/>
          <w:szCs w:val="21"/>
        </w:rPr>
        <w:t xml:space="preserve">IBKR adapter, ApiExplainer (BYOK)</w:t>
      </w:r>
    </w:p>
    <w:p>
      <w:pPr>
        <w:pStyle w:val="ListParagraph"/>
        <w:numPr>
          <w:ilvl w:val="0"/>
          <w:numId w:val="28"/>
        </w:numPr>
        <w:spacing w:after="60"/>
      </w:pPr>
      <w:r>
        <w:rPr>
          <w:rFonts w:ascii="Arial" w:cs="Arial" w:eastAsia="Arial" w:hAnsi="Arial"/>
          <w:color w:val="4A5568"/>
          <w:sz w:val="21"/>
          <w:szCs w:val="21"/>
        </w:rPr>
        <w:t xml:space="preserve">Predictive models (gradient boosting, GARCH)</w:t>
      </w:r>
    </w:p>
    <w:p>
      <w:pPr>
        <w:pStyle w:val="ListParagraph"/>
        <w:numPr>
          <w:ilvl w:val="0"/>
          <w:numId w:val="28"/>
        </w:numPr>
        <w:spacing w:after="60"/>
      </w:pPr>
      <w:r>
        <w:rPr>
          <w:rFonts w:ascii="Arial" w:cs="Arial" w:eastAsia="Arial" w:hAnsi="Arial"/>
          <w:color w:val="4A5568"/>
          <w:sz w:val="21"/>
          <w:szCs w:val="21"/>
        </w:rPr>
        <w:t xml:space="preserve">Mobile-responsive, Stripe/Razorpay payments</w:t>
      </w:r>
    </w:p>
    <w:p>
      <w:pPr>
        <w:spacing w:after="40"/>
      </w:pPr>
    </w:p>
    <w:p>
      <w:pPr>
        <w:pStyle w:val="Heading2"/>
        <w:spacing w:before="300" w:after="160"/>
      </w:pPr>
      <w:r>
        <w:rPr>
          <w:rFonts w:ascii="Arial" w:cs="Arial" w:eastAsia="Arial" w:hAnsi="Arial"/>
          <w:b/>
          <w:bCs/>
          <w:color w:val="2B6CB0"/>
          <w:sz w:val="28"/>
          <w:szCs w:val="28"/>
        </w:rPr>
        <w:t xml:space="preserve">Phase 3: Automation (Months 10–15)</w:t>
      </w:r>
    </w:p>
    <w:p>
      <w:pPr>
        <w:pStyle w:val="ListParagraph"/>
        <w:numPr>
          <w:ilvl w:val="0"/>
          <w:numId w:val="29"/>
        </w:numPr>
        <w:spacing w:after="60"/>
      </w:pPr>
      <w:r>
        <w:rPr>
          <w:rFonts w:ascii="Arial" w:cs="Arial" w:eastAsia="Arial" w:hAnsi="Arial"/>
          <w:color w:val="4A5568"/>
          <w:sz w:val="21"/>
          <w:szCs w:val="21"/>
        </w:rPr>
        <w:t xml:space="preserve">Fully Automated (Mode C) with comprehensive guardrails</w:t>
      </w:r>
    </w:p>
    <w:p>
      <w:pPr>
        <w:pStyle w:val="ListParagraph"/>
        <w:numPr>
          <w:ilvl w:val="0"/>
          <w:numId w:val="29"/>
        </w:numPr>
        <w:spacing w:after="60"/>
      </w:pPr>
      <w:r>
        <w:rPr>
          <w:rFonts w:ascii="Arial" w:cs="Arial" w:eastAsia="Arial" w:hAnsi="Arial"/>
          <w:color w:val="4A5568"/>
          <w:sz w:val="21"/>
          <w:szCs w:val="21"/>
        </w:rPr>
        <w:t xml:space="preserve">Strategy marketplace, options, crypto</w:t>
      </w:r>
    </w:p>
    <w:p>
      <w:pPr>
        <w:pStyle w:val="ListParagraph"/>
        <w:numPr>
          <w:ilvl w:val="0"/>
          <w:numId w:val="29"/>
        </w:numPr>
        <w:spacing w:after="60"/>
      </w:pPr>
      <w:r>
        <w:rPr>
          <w:rFonts w:ascii="Arial" w:cs="Arial" w:eastAsia="Arial" w:hAnsi="Arial"/>
          <w:color w:val="4A5568"/>
          <w:sz w:val="21"/>
          <w:szCs w:val="21"/>
        </w:rPr>
        <w:t xml:space="preserve">Custom ML pipeline, AI strategy builder</w:t>
      </w:r>
    </w:p>
    <w:p>
      <w:pPr>
        <w:sectPr>
          <w:headerReference w:type="default" r:id="rId40"/>
          <w:footerReference w:type="default" r:id="rId41"/>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A365D"/>
          <w:sz w:val="36"/>
          <w:szCs w:val="36"/>
        </w:rPr>
        <w:t xml:space="preserve">18. Regulatory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DD6B20" w:sz="12"/>
              <w:bottom w:val="none" w:sz="0"/>
              <w:right w:val="none" w:sz="0"/>
            </w:tcBorders>
            <w:shd w:fill="FFF8F0" w:val="clear"/>
            <w:tcMar>
              <w:top w:type="dxa" w:w="120"/>
              <w:left w:type="dxa" w:w="200"/>
              <w:bottom w:type="dxa" w:w="120"/>
              <w:right w:type="dxa" w:w="200"/>
            </w:tcMar>
          </w:tcPr>
          <w:p>
            <w:r>
              <w:rPr>
                <w:rFonts w:ascii="Arial" w:cs="Arial" w:eastAsia="Arial" w:hAnsi="Arial"/>
                <w:i/>
                <w:iCs/>
                <w:color w:val="DD6B20"/>
                <w:sz w:val="21"/>
                <w:szCs w:val="21"/>
              </w:rPr>
              <w:t xml:space="preserve">Not legal advice. Consult fintech attorney before any execution features.</w:t>
            </w:r>
          </w:p>
        </w:tc>
      </w:tr>
    </w:tbl>
    <w:p>
      <w:pPr>
        <w:spacing w:after="40"/>
      </w:pPr>
    </w:p>
    <w:p>
      <w:pPr>
        <w:pStyle w:val="Heading2"/>
        <w:spacing w:before="300" w:after="160"/>
      </w:pPr>
      <w:r>
        <w:rPr>
          <w:rFonts w:ascii="Arial" w:cs="Arial" w:eastAsia="Arial" w:hAnsi="Arial"/>
          <w:b/>
          <w:bCs/>
          <w:color w:val="2B6CB0"/>
          <w:sz w:val="28"/>
          <w:szCs w:val="28"/>
        </w:rPr>
        <w:t xml:space="preserve">18.1 India (SEBI)</w:t>
      </w:r>
    </w:p>
    <w:p>
      <w:pPr>
        <w:pStyle w:val="ListParagraph"/>
        <w:numPr>
          <w:ilvl w:val="0"/>
          <w:numId w:val="30"/>
        </w:numPr>
        <w:spacing w:after="60"/>
      </w:pPr>
      <w:r>
        <w:rPr>
          <w:rFonts w:ascii="Arial" w:cs="Arial" w:eastAsia="Arial" w:hAnsi="Arial"/>
          <w:b/>
          <w:bCs/>
          <w:color w:val="4A5568"/>
          <w:sz w:val="21"/>
          <w:szCs w:val="21"/>
        </w:rPr>
        <w:t xml:space="preserve">Investment Adviser: </w:t>
      </w:r>
      <w:r>
        <w:rPr>
          <w:rFonts w:ascii="Arial" w:cs="Arial" w:eastAsia="Arial" w:hAnsi="Arial"/>
          <w:color w:val="4A5568"/>
          <w:sz w:val="21"/>
          <w:szCs w:val="21"/>
        </w:rPr>
        <w:t xml:space="preserve">Personalized paid advice triggers SEBI IA regs. Read-only + disclaimers may exempt.</w:t>
      </w:r>
    </w:p>
    <w:p>
      <w:pPr>
        <w:pStyle w:val="ListParagraph"/>
        <w:numPr>
          <w:ilvl w:val="0"/>
          <w:numId w:val="30"/>
        </w:numPr>
        <w:spacing w:after="60"/>
      </w:pPr>
      <w:r>
        <w:rPr>
          <w:rFonts w:ascii="Arial" w:cs="Arial" w:eastAsia="Arial" w:hAnsi="Arial"/>
          <w:b/>
          <w:bCs/>
          <w:color w:val="4A5568"/>
          <w:sz w:val="21"/>
          <w:szCs w:val="21"/>
        </w:rPr>
        <w:t xml:space="preserve">Algo trading: </w:t>
      </w:r>
      <w:r>
        <w:rPr>
          <w:rFonts w:ascii="Arial" w:cs="Arial" w:eastAsia="Arial" w:hAnsi="Arial"/>
          <w:color w:val="4A5568"/>
          <w:sz w:val="21"/>
          <w:szCs w:val="21"/>
        </w:rPr>
        <w:t xml:space="preserve">SEBI tightening rules. Exchange approval may be required.</w:t>
      </w:r>
    </w:p>
    <w:p>
      <w:pPr>
        <w:pStyle w:val="ListParagraph"/>
        <w:numPr>
          <w:ilvl w:val="0"/>
          <w:numId w:val="30"/>
        </w:numPr>
        <w:spacing w:after="60"/>
      </w:pPr>
      <w:r>
        <w:rPr>
          <w:rFonts w:ascii="Arial" w:cs="Arial" w:eastAsia="Arial" w:hAnsi="Arial"/>
          <w:b/>
          <w:bCs/>
          <w:color w:val="4A5568"/>
          <w:sz w:val="21"/>
          <w:szCs w:val="21"/>
        </w:rPr>
        <w:t xml:space="preserve">Data protection: </w:t>
      </w:r>
      <w:r>
        <w:rPr>
          <w:rFonts w:ascii="Arial" w:cs="Arial" w:eastAsia="Arial" w:hAnsi="Arial"/>
          <w:color w:val="4A5568"/>
          <w:sz w:val="21"/>
          <w:szCs w:val="21"/>
        </w:rPr>
        <w:t xml:space="preserve">DPDP Act 2023 compliance required.</w:t>
      </w:r>
    </w:p>
    <w:p>
      <w:pPr>
        <w:spacing w:after="40"/>
      </w:pPr>
    </w:p>
    <w:p>
      <w:pPr>
        <w:pStyle w:val="Heading2"/>
        <w:spacing w:before="300" w:after="160"/>
      </w:pPr>
      <w:r>
        <w:rPr>
          <w:rFonts w:ascii="Arial" w:cs="Arial" w:eastAsia="Arial" w:hAnsi="Arial"/>
          <w:b/>
          <w:bCs/>
          <w:color w:val="2B6CB0"/>
          <w:sz w:val="28"/>
          <w:szCs w:val="28"/>
        </w:rPr>
        <w:t xml:space="preserve">18.2 United States</w:t>
      </w:r>
    </w:p>
    <w:p>
      <w:pPr>
        <w:pStyle w:val="ListParagraph"/>
        <w:numPr>
          <w:ilvl w:val="0"/>
          <w:numId w:val="31"/>
        </w:numPr>
        <w:spacing w:after="60"/>
      </w:pPr>
      <w:r>
        <w:rPr>
          <w:rFonts w:ascii="Arial" w:cs="Arial" w:eastAsia="Arial" w:hAnsi="Arial"/>
          <w:b/>
          <w:bCs/>
          <w:color w:val="4A5568"/>
          <w:sz w:val="21"/>
          <w:szCs w:val="21"/>
        </w:rPr>
        <w:t xml:space="preserve">IA Act 1940: </w:t>
      </w:r>
      <w:r>
        <w:rPr>
          <w:rFonts w:ascii="Arial" w:cs="Arial" w:eastAsia="Arial" w:hAnsi="Arial"/>
          <w:color w:val="4A5568"/>
          <w:sz w:val="21"/>
          <w:szCs w:val="21"/>
        </w:rPr>
        <w:t xml:space="preserve">Personalized advice for compensation requires registration. Publisher exclusion may apply.</w:t>
      </w:r>
    </w:p>
    <w:p>
      <w:pPr>
        <w:pStyle w:val="ListParagraph"/>
        <w:numPr>
          <w:ilvl w:val="0"/>
          <w:numId w:val="31"/>
        </w:numPr>
        <w:spacing w:after="60"/>
      </w:pPr>
      <w:r>
        <w:rPr>
          <w:rFonts w:ascii="Arial" w:cs="Arial" w:eastAsia="Arial" w:hAnsi="Arial"/>
          <w:b/>
          <w:bCs/>
          <w:color w:val="4A5568"/>
          <w:sz w:val="21"/>
          <w:szCs w:val="21"/>
        </w:rPr>
        <w:t xml:space="preserve">Broker-dealer: </w:t>
      </w:r>
      <w:r>
        <w:rPr>
          <w:rFonts w:ascii="Arial" w:cs="Arial" w:eastAsia="Arial" w:hAnsi="Arial"/>
          <w:color w:val="4A5568"/>
          <w:sz w:val="21"/>
          <w:szCs w:val="21"/>
        </w:rPr>
        <w:t xml:space="preserve">Not holding funds = likely exempt. Confirm with counsel.</w:t>
      </w:r>
    </w:p>
    <w:p>
      <w:pPr>
        <w:spacing w:after="40"/>
      </w:pPr>
    </w:p>
    <w:p>
      <w:pPr>
        <w:pStyle w:val="Heading2"/>
        <w:spacing w:before="300" w:after="160"/>
      </w:pPr>
      <w:r>
        <w:rPr>
          <w:rFonts w:ascii="Arial" w:cs="Arial" w:eastAsia="Arial" w:hAnsi="Arial"/>
          <w:b/>
          <w:bCs/>
          <w:color w:val="2B6CB0"/>
          <w:sz w:val="28"/>
          <w:szCs w:val="28"/>
        </w:rPr>
        <w:t xml:space="preserve">18.3 Mitigation</w:t>
      </w:r>
    </w:p>
    <w:p>
      <w:pPr>
        <w:pStyle w:val="ListParagraph"/>
        <w:numPr>
          <w:ilvl w:val="0"/>
          <w:numId w:val="32"/>
        </w:numPr>
        <w:spacing w:after="60"/>
      </w:pPr>
      <w:r>
        <w:rPr>
          <w:rFonts w:ascii="Arial" w:cs="Arial" w:eastAsia="Arial" w:hAnsi="Arial"/>
          <w:color w:val="4A5568"/>
          <w:sz w:val="21"/>
          <w:szCs w:val="21"/>
        </w:rPr>
        <w:t xml:space="preserve">Phase 1: Read-only. Disclaimers. Lowest risk.</w:t>
      </w:r>
    </w:p>
    <w:p>
      <w:pPr>
        <w:pStyle w:val="ListParagraph"/>
        <w:numPr>
          <w:ilvl w:val="0"/>
          <w:numId w:val="32"/>
        </w:numPr>
        <w:spacing w:after="60"/>
      </w:pPr>
      <w:r>
        <w:rPr>
          <w:rFonts w:ascii="Arial" w:cs="Arial" w:eastAsia="Arial" w:hAnsi="Arial"/>
          <w:color w:val="4A5568"/>
          <w:sz w:val="21"/>
          <w:szCs w:val="21"/>
        </w:rPr>
        <w:t xml:space="preserve">Phase 2: Fintech attorney. Potentially register RIA/IA.</w:t>
      </w:r>
    </w:p>
    <w:p>
      <w:pPr>
        <w:pStyle w:val="ListParagraph"/>
        <w:numPr>
          <w:ilvl w:val="0"/>
          <w:numId w:val="32"/>
        </w:numPr>
        <w:spacing w:after="60"/>
      </w:pPr>
      <w:r>
        <w:rPr>
          <w:rFonts w:ascii="Arial" w:cs="Arial" w:eastAsia="Arial" w:hAnsi="Arial"/>
          <w:color w:val="4A5568"/>
          <w:sz w:val="21"/>
          <w:szCs w:val="21"/>
        </w:rPr>
        <w:t xml:space="preserve">Phase 3: Full compliance. Budget $10K–50K.</w:t>
      </w:r>
    </w:p>
    <w:p>
      <w:pPr>
        <w:sectPr>
          <w:headerReference w:type="default" r:id="rId42"/>
          <w:footerReference w:type="default" r:id="rId43"/>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A365D"/>
          <w:sz w:val="36"/>
          <w:szCs w:val="36"/>
        </w:rPr>
        <w:t xml:space="preserve">19.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2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 1</w:t>
            </w:r>
          </w:p>
        </w:tc>
        <w:tc>
          <w:tcPr>
            <w:tcW w:type="dxa" w:w="22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 2</w:t>
            </w:r>
          </w:p>
        </w:tc>
        <w:tc>
          <w:tcPr>
            <w:tcW w:type="dxa" w:w="21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 3</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Registered users</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50–100</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500–1K</w:t>
            </w:r>
          </w:p>
        </w:tc>
        <w:tc>
          <w:tcPr>
            <w:tcW w:type="dxa" w:w="2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5K+</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Weekly active</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30–50</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200–400</w:t>
            </w:r>
          </w:p>
        </w:tc>
        <w:tc>
          <w:tcPr>
            <w:tcW w:type="dxa" w:w="2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2K+</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AI accuracy</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Baseline</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&gt;55% directional</w:t>
            </w:r>
          </w:p>
        </w:tc>
        <w:tc>
          <w:tcPr>
            <w:tcW w:type="dxa" w:w="2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&gt;60%</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Zero safety bypasses</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Hard requirement</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Hard requirement</w:t>
            </w:r>
          </w:p>
        </w:tc>
        <w:tc>
          <w:tcPr>
            <w:tcW w:type="dxa" w:w="2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Hard requirement</w:t>
            </w:r>
          </w:p>
        </w:tc>
      </w:tr>
    </w:tbl>
    <w:p>
      <w:pPr>
        <w:sectPr>
          <w:headerReference w:type="default" r:id="rId44"/>
          <w:footerReference w:type="default" r:id="rId45"/>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A365D"/>
          <w:sz w:val="36"/>
          <w:szCs w:val="36"/>
        </w:rPr>
        <w:t xml:space="preserve">20.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000"/>
        <w:gridCol w:w="2960"/>
      </w:tblGrid>
      <w:tr>
        <w:tc>
          <w:tcPr>
            <w:tcW w:type="dxa" w:w="20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4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30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c>
          <w:tcPr>
            <w:tcW w:type="dxa" w:w="29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Contingency</w:t>
            </w:r>
          </w:p>
        </w:tc>
      </w:tr>
      <w:tr>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Yahoo Finance breaks</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E53E3E"/>
                <w:sz w:val="20"/>
                <w:szCs w:val="20"/>
              </w:rPr>
              <w:t xml:space="preserve">High</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DataProvider abstraction, caching</w:t>
            </w:r>
          </w:p>
        </w:tc>
        <w:tc>
          <w:tcPr>
            <w:tcW w:type="dxa" w:w="29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Swap to Polygon.io ($29/mo)</w:t>
            </w:r>
          </w:p>
        </w:tc>
      </w:tr>
      <w:tr>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Regulatory action</w:t>
            </w:r>
          </w:p>
        </w:tc>
        <w:tc>
          <w:tcPr>
            <w:tcW w:type="dxa" w:w="1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E53E3E"/>
                <w:sz w:val="20"/>
                <w:szCs w:val="20"/>
              </w:rPr>
              <w:t xml:space="preserve">High</w:t>
            </w:r>
          </w:p>
        </w:tc>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Disclaimers, legal counsel</w:t>
            </w:r>
          </w:p>
        </w:tc>
        <w:tc>
          <w:tcPr>
            <w:tcW w:type="dxa" w:w="29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Disable execution, read-only</w:t>
            </w:r>
          </w:p>
        </w:tc>
      </w:tr>
      <w:tr>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Bad AI advice</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E53E3E"/>
                <w:sz w:val="20"/>
                <w:szCs w:val="20"/>
              </w:rPr>
              <w:t xml:space="preserve">High</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Deterministic scoring, disclaimers</w:t>
            </w:r>
          </w:p>
        </w:tc>
        <w:tc>
          <w:tcPr>
            <w:tcW w:type="dxa" w:w="29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Reduce confidence, add warnings</w:t>
            </w:r>
          </w:p>
        </w:tc>
      </w:tr>
      <w:tr>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Security breach</w:t>
            </w:r>
          </w:p>
        </w:tc>
        <w:tc>
          <w:tcPr>
            <w:tcW w:type="dxa" w:w="1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E53E3E"/>
                <w:sz w:val="20"/>
                <w:szCs w:val="20"/>
              </w:rPr>
              <w:t xml:space="preserve">Critical</w:t>
            </w:r>
          </w:p>
        </w:tc>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AES-256, env vars, no tokens in logs</w:t>
            </w:r>
          </w:p>
        </w:tc>
        <w:tc>
          <w:tcPr>
            <w:tcW w:type="dxa" w:w="29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Immediate revocation</w:t>
            </w:r>
          </w:p>
        </w:tc>
      </w:tr>
      <w:tr>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Developer burnout</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E53E3E"/>
                <w:sz w:val="20"/>
                <w:szCs w:val="20"/>
              </w:rPr>
              <w:t xml:space="preserve">High</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Strict MVP scope, no feature creep</w:t>
            </w:r>
          </w:p>
        </w:tc>
        <w:tc>
          <w:tcPr>
            <w:tcW w:type="dxa" w:w="29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Seek co-founder</w:t>
            </w:r>
          </w:p>
        </w:tc>
      </w:tr>
    </w:tbl>
    <w:p>
      <w:pPr>
        <w:sectPr>
          <w:headerReference w:type="default" r:id="rId46"/>
          <w:footerReference w:type="default" r:id="rId47"/>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A365D"/>
          <w:sz w:val="36"/>
          <w:szCs w:val="36"/>
        </w:rPr>
        <w:t xml:space="preserve">21.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560"/>
        <w:gridCol w:w="2200"/>
        <w:gridCol w:w="2100"/>
      </w:tblGrid>
      <w:tr>
        <w:tc>
          <w:tcPr>
            <w:tcW w:type="dxa" w:w="5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45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22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21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Decide By</w:t>
            </w:r>
          </w:p>
        </w:tc>
      </w:tr>
      <w:tr>
        <w:tc>
          <w:tcPr>
            <w:tcW w:type="dxa" w:w="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1</w:t>
            </w:r>
          </w:p>
        </w:tc>
        <w:tc>
          <w:tcPr>
            <w:tcW w:type="dxa" w:w="4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Register as Investment Adviser or publisher exclusion?</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Regulatory</w:t>
            </w:r>
          </w:p>
        </w:tc>
        <w:tc>
          <w:tcPr>
            <w:tcW w:type="dxa" w:w="21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Before Phase 2</w:t>
            </w:r>
          </w:p>
        </w:tc>
      </w:tr>
      <w:tr>
        <w:tc>
          <w:tcPr>
            <w:tcW w:type="dxa" w:w="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2</w:t>
            </w:r>
          </w:p>
        </w:tc>
        <w:tc>
          <w:tcPr>
            <w:tcW w:type="dxa" w:w="4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Allow simultaneous Zerodha + Alpaca connections?</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Architecture</w:t>
            </w:r>
          </w:p>
        </w:tc>
        <w:tc>
          <w:tcPr>
            <w:tcW w:type="dxa" w:w="21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Month 1</w:t>
            </w:r>
          </w:p>
        </w:tc>
      </w:tr>
      <w:tr>
        <w:tc>
          <w:tcPr>
            <w:tcW w:type="dxa" w:w="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3</w:t>
            </w:r>
          </w:p>
        </w:tc>
        <w:tc>
          <w:tcPr>
            <w:tcW w:type="dxa" w:w="4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Hosting: India vs US vs multi-region?</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Latency, cost</w:t>
            </w:r>
          </w:p>
        </w:tc>
        <w:tc>
          <w:tcPr>
            <w:tcW w:type="dxa" w:w="21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Month 1</w:t>
            </w:r>
          </w:p>
        </w:tc>
      </w:tr>
      <w:tr>
        <w:tc>
          <w:tcPr>
            <w:tcW w:type="dxa" w:w="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4</w:t>
            </w:r>
          </w:p>
        </w:tc>
        <w:tc>
          <w:tcPr>
            <w:tcW w:type="dxa" w:w="4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Entity: proprietorship, LLP, or incorporation?</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Legal, tax</w:t>
            </w:r>
          </w:p>
        </w:tc>
        <w:tc>
          <w:tcPr>
            <w:tcW w:type="dxa" w:w="21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Before revenue</w:t>
            </w:r>
          </w:p>
        </w:tc>
      </w:tr>
      <w:tr>
        <w:tc>
          <w:tcPr>
            <w:tcW w:type="dxa" w:w="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5</w:t>
            </w:r>
          </w:p>
        </w:tc>
        <w:tc>
          <w:tcPr>
            <w:tcW w:type="dxa" w:w="4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Zerodha daily reauth: auto-retry or explicit user action?</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UX</w:t>
            </w:r>
          </w:p>
        </w:tc>
        <w:tc>
          <w:tcPr>
            <w:tcW w:type="dxa" w:w="21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color w:val="1A202C"/>
                <w:sz w:val="20"/>
                <w:szCs w:val="20"/>
              </w:rPr>
              <w:t xml:space="preserve">Month 1</w:t>
            </w:r>
          </w:p>
        </w:tc>
      </w:tr>
      <w:tr>
        <w:tc>
          <w:tcPr>
            <w:tcW w:type="dxa" w:w="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6</w:t>
            </w:r>
          </w:p>
        </w:tc>
        <w:tc>
          <w:tcPr>
            <w:tcW w:type="dxa" w:w="4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FX risk modeling: include in Risk Meter? (currently excluded)</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Risk accuracy</w:t>
            </w:r>
          </w:p>
        </w:tc>
        <w:tc>
          <w:tcPr>
            <w:tcW w:type="dxa" w:w="21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Phase 2</w:t>
            </w:r>
          </w:p>
        </w:tc>
      </w:tr>
    </w:tbl>
    <w:p>
      <w:pPr>
        <w:spacing w:after="200"/>
      </w:pPr>
    </w:p>
    <w:p>
      <w:pPr>
        <w:pBdr>
          <w:bottom w:val="single" w:color="90CDF4" w:sz="4" w:space="1"/>
        </w:pBdr>
        <w:spacing w:before="200" w:after="200"/>
      </w:pPr>
    </w:p>
    <w:p>
      <w:pPr>
        <w:spacing w:after="80"/>
        <w:jc w:val="center"/>
      </w:pPr>
      <w:r>
        <w:rPr>
          <w:rFonts w:ascii="Arial" w:cs="Arial" w:eastAsia="Arial" w:hAnsi="Arial"/>
          <w:i/>
          <w:iCs/>
          <w:color w:val="718096"/>
          <w:sz w:val="22"/>
          <w:szCs w:val="22"/>
        </w:rPr>
        <w:t xml:space="preserve">End of PRD v1.1</w:t>
      </w:r>
    </w:p>
    <w:p>
      <w:pPr>
        <w:jc w:val="center"/>
      </w:pPr>
      <w:r>
        <w:rPr>
          <w:rFonts w:ascii="Arial" w:cs="Arial" w:eastAsia="Arial" w:hAnsi="Arial"/>
          <w:color w:val="718096"/>
          <w:sz w:val="20"/>
          <w:szCs w:val="20"/>
        </w:rPr>
        <w:t xml:space="preserve">InvestIQ • March 2026</w:t>
      </w:r>
    </w:p>
    <w:sectPr>
      <w:headerReference w:type="default" r:id="rId48"/>
      <w:footerReference w:type="default" r:id="rId4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0CDF4" w:sz="2" w:space="4"/>
      </w:pBdr>
      <w:jc w:val="center"/>
    </w:pPr>
    <w:r>
      <w:rPr>
        <w:rFonts w:ascii="Arial" w:cs="Arial" w:eastAsia="Arial" w:hAnsi="Arial"/>
        <w:color w:val="718096"/>
        <w:sz w:val="16"/>
        <w:szCs w:val="16"/>
      </w:rPr>
      <w:t xml:space="preserve">Page </w:t>
    </w:r>
    <w:r>
      <w:rPr>
        <w:rFonts w:ascii="Arial" w:cs="Arial" w:eastAsia="Arial" w:hAnsi="Arial"/>
        <w:color w:val="718096"/>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0CDF4" w:sz="2" w:space="4"/>
      </w:pBdr>
      <w:jc w:val="center"/>
    </w:pPr>
    <w:r>
      <w:rPr>
        <w:rFonts w:ascii="Arial" w:cs="Arial" w:eastAsia="Arial" w:hAnsi="Arial"/>
        <w:color w:val="718096"/>
        <w:sz w:val="16"/>
        <w:szCs w:val="16"/>
      </w:rPr>
      <w:t xml:space="preserve">Page </w:t>
    </w:r>
    <w:r>
      <w:rPr>
        <w:rFonts w:ascii="Arial" w:cs="Arial" w:eastAsia="Arial" w:hAnsi="Arial"/>
        <w:color w:val="718096"/>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0CDF4" w:sz="2" w:space="4"/>
      </w:pBdr>
      <w:jc w:val="center"/>
    </w:pPr>
    <w:r>
      <w:rPr>
        <w:rFonts w:ascii="Arial" w:cs="Arial" w:eastAsia="Arial" w:hAnsi="Arial"/>
        <w:color w:val="718096"/>
        <w:sz w:val="16"/>
        <w:szCs w:val="16"/>
      </w:rPr>
      <w:t xml:space="preserve">Page </w:t>
    </w:r>
    <w:r>
      <w:rPr>
        <w:rFonts w:ascii="Arial" w:cs="Arial" w:eastAsia="Arial" w:hAnsi="Arial"/>
        <w:color w:val="718096"/>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0CDF4" w:sz="2" w:space="4"/>
      </w:pBdr>
      <w:jc w:val="center"/>
    </w:pPr>
    <w:r>
      <w:rPr>
        <w:rFonts w:ascii="Arial" w:cs="Arial" w:eastAsia="Arial" w:hAnsi="Arial"/>
        <w:color w:val="718096"/>
        <w:sz w:val="16"/>
        <w:szCs w:val="16"/>
      </w:rPr>
      <w:t xml:space="preserve">Page </w:t>
    </w:r>
    <w:r>
      <w:rPr>
        <w:rFonts w:ascii="Arial" w:cs="Arial" w:eastAsia="Arial" w:hAnsi="Arial"/>
        <w:color w:val="718096"/>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0CDF4" w:sz="2" w:space="4"/>
      </w:pBdr>
      <w:jc w:val="center"/>
    </w:pPr>
    <w:r>
      <w:rPr>
        <w:rFonts w:ascii="Arial" w:cs="Arial" w:eastAsia="Arial" w:hAnsi="Arial"/>
        <w:color w:val="718096"/>
        <w:sz w:val="16"/>
        <w:szCs w:val="16"/>
      </w:rPr>
      <w:t xml:space="preserve">Page </w:t>
    </w:r>
    <w:r>
      <w:rPr>
        <w:rFonts w:ascii="Arial" w:cs="Arial" w:eastAsia="Arial" w:hAnsi="Arial"/>
        <w:color w:val="718096"/>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0CDF4" w:sz="2" w:space="4"/>
      </w:pBdr>
      <w:jc w:val="center"/>
    </w:pPr>
    <w:r>
      <w:rPr>
        <w:rFonts w:ascii="Arial" w:cs="Arial" w:eastAsia="Arial" w:hAnsi="Arial"/>
        <w:color w:val="718096"/>
        <w:sz w:val="16"/>
        <w:szCs w:val="16"/>
      </w:rPr>
      <w:t xml:space="preserve">Page </w:t>
    </w:r>
    <w:r>
      <w:rPr>
        <w:rFonts w:ascii="Arial" w:cs="Arial" w:eastAsia="Arial" w:hAnsi="Arial"/>
        <w:color w:val="718096"/>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0CDF4" w:sz="2" w:space="4"/>
      </w:pBdr>
      <w:jc w:val="center"/>
    </w:pPr>
    <w:r>
      <w:rPr>
        <w:rFonts w:ascii="Arial" w:cs="Arial" w:eastAsia="Arial" w:hAnsi="Arial"/>
        <w:color w:val="718096"/>
        <w:sz w:val="16"/>
        <w:szCs w:val="16"/>
      </w:rPr>
      <w:t xml:space="preserve">Page </w:t>
    </w:r>
    <w:r>
      <w:rPr>
        <w:rFonts w:ascii="Arial" w:cs="Arial" w:eastAsia="Arial" w:hAnsi="Arial"/>
        <w:color w:val="718096"/>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0CDF4" w:sz="2" w:space="4"/>
      </w:pBdr>
      <w:jc w:val="center"/>
    </w:pPr>
    <w:r>
      <w:rPr>
        <w:rFonts w:ascii="Arial" w:cs="Arial" w:eastAsia="Arial" w:hAnsi="Arial"/>
        <w:color w:val="718096"/>
        <w:sz w:val="16"/>
        <w:szCs w:val="16"/>
      </w:rPr>
      <w:t xml:space="preserve">Page </w:t>
    </w:r>
    <w:r>
      <w:rPr>
        <w:rFonts w:ascii="Arial" w:cs="Arial" w:eastAsia="Arial" w:hAnsi="Arial"/>
        <w:color w:val="718096"/>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0CDF4" w:sz="2" w:space="4"/>
      </w:pBdr>
      <w:jc w:val="center"/>
    </w:pPr>
    <w:r>
      <w:rPr>
        <w:rFonts w:ascii="Arial" w:cs="Arial" w:eastAsia="Arial" w:hAnsi="Arial"/>
        <w:color w:val="718096"/>
        <w:sz w:val="16"/>
        <w:szCs w:val="16"/>
      </w:rPr>
      <w:t xml:space="preserve">Page </w:t>
    </w:r>
    <w:r>
      <w:rPr>
        <w:rFonts w:ascii="Arial" w:cs="Arial" w:eastAsia="Arial" w:hAnsi="Arial"/>
        <w:color w:val="718096"/>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0CDF4" w:sz="2" w:space="4"/>
      </w:pBdr>
      <w:jc w:val="center"/>
    </w:pPr>
    <w:r>
      <w:rPr>
        <w:rFonts w:ascii="Arial" w:cs="Arial" w:eastAsia="Arial" w:hAnsi="Arial"/>
        <w:color w:val="718096"/>
        <w:sz w:val="16"/>
        <w:szCs w:val="16"/>
      </w:rPr>
      <w:t xml:space="preserve">Page </w:t>
    </w:r>
    <w:r>
      <w:rPr>
        <w:rFonts w:ascii="Arial" w:cs="Arial" w:eastAsia="Arial" w:hAnsi="Arial"/>
        <w:color w:val="718096"/>
        <w:sz w:val="16"/>
        <w:szCs w:val="16"/>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0CDF4" w:sz="2" w:space="4"/>
      </w:pBdr>
      <w:jc w:val="center"/>
    </w:pPr>
    <w:r>
      <w:rPr>
        <w:rFonts w:ascii="Arial" w:cs="Arial" w:eastAsia="Arial" w:hAnsi="Arial"/>
        <w:color w:val="718096"/>
        <w:sz w:val="16"/>
        <w:szCs w:val="16"/>
      </w:rPr>
      <w:t xml:space="preserve">Page </w:t>
    </w:r>
    <w:r>
      <w:rPr>
        <w:rFonts w:ascii="Arial" w:cs="Arial" w:eastAsia="Arial" w:hAnsi="Arial"/>
        <w:color w:val="718096"/>
        <w:sz w:val="16"/>
        <w:szCs w:val="16"/>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0CDF4" w:sz="2" w:space="4"/>
      </w:pBdr>
      <w:jc w:val="center"/>
    </w:pPr>
    <w:r>
      <w:rPr>
        <w:rFonts w:ascii="Arial" w:cs="Arial" w:eastAsia="Arial" w:hAnsi="Arial"/>
        <w:color w:val="718096"/>
        <w:sz w:val="16"/>
        <w:szCs w:val="16"/>
      </w:rPr>
      <w:t xml:space="preserve">Page </w:t>
    </w:r>
    <w:r>
      <w:rPr>
        <w:rFonts w:ascii="Arial" w:cs="Arial" w:eastAsia="Arial" w:hAnsi="Arial"/>
        <w:color w:val="718096"/>
        <w:sz w:val="16"/>
        <w:szCs w:val="16"/>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0CDF4" w:sz="2" w:space="4"/>
      </w:pBdr>
      <w:jc w:val="center"/>
    </w:pPr>
    <w:r>
      <w:rPr>
        <w:rFonts w:ascii="Arial" w:cs="Arial" w:eastAsia="Arial" w:hAnsi="Arial"/>
        <w:color w:val="718096"/>
        <w:sz w:val="16"/>
        <w:szCs w:val="16"/>
      </w:rPr>
      <w:t xml:space="preserve">Page </w:t>
    </w:r>
    <w:r>
      <w:rPr>
        <w:rFonts w:ascii="Arial" w:cs="Arial" w:eastAsia="Arial" w:hAnsi="Arial"/>
        <w:color w:val="718096"/>
        <w:sz w:val="16"/>
        <w:szCs w:val="16"/>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0CDF4" w:sz="2" w:space="4"/>
      </w:pBdr>
      <w:jc w:val="center"/>
    </w:pPr>
    <w:r>
      <w:rPr>
        <w:rFonts w:ascii="Arial" w:cs="Arial" w:eastAsia="Arial" w:hAnsi="Arial"/>
        <w:color w:val="718096"/>
        <w:sz w:val="16"/>
        <w:szCs w:val="16"/>
      </w:rPr>
      <w:t xml:space="preserve">Page </w:t>
    </w:r>
    <w:r>
      <w:rPr>
        <w:rFonts w:ascii="Arial" w:cs="Arial" w:eastAsia="Arial" w:hAnsi="Arial"/>
        <w:color w:val="718096"/>
        <w:sz w:val="16"/>
        <w:szCs w:val="16"/>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0CDF4" w:sz="2" w:space="4"/>
      </w:pBdr>
      <w:jc w:val="center"/>
    </w:pPr>
    <w:r>
      <w:rPr>
        <w:rFonts w:ascii="Arial" w:cs="Arial" w:eastAsia="Arial" w:hAnsi="Arial"/>
        <w:color w:val="718096"/>
        <w:sz w:val="16"/>
        <w:szCs w:val="16"/>
      </w:rPr>
      <w:t xml:space="preserve">Page </w:t>
    </w:r>
    <w:r>
      <w:rPr>
        <w:rFonts w:ascii="Arial" w:cs="Arial" w:eastAsia="Arial" w:hAnsi="Arial"/>
        <w:color w:val="718096"/>
        <w:sz w:val="16"/>
        <w:szCs w:val="16"/>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0CDF4" w:sz="2" w:space="4"/>
      </w:pBdr>
      <w:jc w:val="center"/>
    </w:pPr>
    <w:r>
      <w:rPr>
        <w:rFonts w:ascii="Arial" w:cs="Arial" w:eastAsia="Arial" w:hAnsi="Arial"/>
        <w:color w:val="718096"/>
        <w:sz w:val="16"/>
        <w:szCs w:val="16"/>
      </w:rPr>
      <w:t xml:space="preserve">Page </w:t>
    </w:r>
    <w:r>
      <w:rPr>
        <w:rFonts w:ascii="Arial" w:cs="Arial" w:eastAsia="Arial" w:hAnsi="Arial"/>
        <w:color w:val="718096"/>
        <w:sz w:val="16"/>
        <w:szCs w:val="16"/>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0CDF4" w:sz="2" w:space="4"/>
      </w:pBdr>
      <w:jc w:val="center"/>
    </w:pPr>
    <w:r>
      <w:rPr>
        <w:rFonts w:ascii="Arial" w:cs="Arial" w:eastAsia="Arial" w:hAnsi="Arial"/>
        <w:color w:val="718096"/>
        <w:sz w:val="16"/>
        <w:szCs w:val="16"/>
      </w:rPr>
      <w:t xml:space="preserve">Page </w:t>
    </w:r>
    <w:r>
      <w:rPr>
        <w:rFonts w:ascii="Arial" w:cs="Arial" w:eastAsia="Arial" w:hAnsi="Arial"/>
        <w:color w:val="718096"/>
        <w:sz w:val="16"/>
        <w:szCs w:val="16"/>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0CDF4" w:sz="2" w:space="4"/>
      </w:pBdr>
      <w:jc w:val="center"/>
    </w:pPr>
    <w:r>
      <w:rPr>
        <w:rFonts w:ascii="Arial" w:cs="Arial" w:eastAsia="Arial" w:hAnsi="Arial"/>
        <w:color w:val="718096"/>
        <w:sz w:val="16"/>
        <w:szCs w:val="16"/>
      </w:rPr>
      <w:t xml:space="preserve">Page </w:t>
    </w:r>
    <w:r>
      <w:rPr>
        <w:rFonts w:ascii="Arial" w:cs="Arial" w:eastAsia="Arial" w:hAnsi="Arial"/>
        <w:color w:val="718096"/>
        <w:sz w:val="16"/>
        <w:szCs w:val="16"/>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0CDF4" w:sz="2" w:space="4"/>
      </w:pBdr>
      <w:jc w:val="center"/>
    </w:pPr>
    <w:r>
      <w:rPr>
        <w:rFonts w:ascii="Arial" w:cs="Arial" w:eastAsia="Arial" w:hAnsi="Arial"/>
        <w:color w:val="718096"/>
        <w:sz w:val="16"/>
        <w:szCs w:val="16"/>
      </w:rPr>
      <w:t xml:space="preserve">Page </w:t>
    </w:r>
    <w:r>
      <w:rPr>
        <w:rFonts w:ascii="Arial" w:cs="Arial" w:eastAsia="Arial" w:hAnsi="Arial"/>
        <w:color w:val="718096"/>
        <w:sz w:val="16"/>
        <w:szCs w:val="16"/>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0CDF4" w:sz="2" w:space="4"/>
      </w:pBdr>
      <w:jc w:val="center"/>
    </w:pPr>
    <w:r>
      <w:rPr>
        <w:rFonts w:ascii="Arial" w:cs="Arial" w:eastAsia="Arial" w:hAnsi="Arial"/>
        <w:color w:val="718096"/>
        <w:sz w:val="16"/>
        <w:szCs w:val="16"/>
      </w:rPr>
      <w:t xml:space="preserve">Page </w:t>
    </w:r>
    <w:r>
      <w:rPr>
        <w:rFonts w:ascii="Arial" w:cs="Arial" w:eastAsia="Arial" w:hAnsi="Arial"/>
        <w:color w:val="718096"/>
        <w:sz w:val="16"/>
        <w:szCs w:val="16"/>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0CDF4" w:sz="2" w:space="4"/>
      </w:pBdr>
      <w:jc w:val="center"/>
    </w:pPr>
    <w:r>
      <w:rPr>
        <w:rFonts w:ascii="Arial" w:cs="Arial" w:eastAsia="Arial" w:hAnsi="Arial"/>
        <w:color w:val="718096"/>
        <w:sz w:val="16"/>
        <w:szCs w:val="16"/>
      </w:rPr>
      <w:t xml:space="preserve">Page </w:t>
    </w:r>
    <w:r>
      <w:rPr>
        <w:rFonts w:ascii="Arial" w:cs="Arial" w:eastAsia="Arial" w:hAnsi="Arial"/>
        <w:color w:val="718096"/>
        <w:sz w:val="16"/>
        <w:szCs w:val="16"/>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0CDF4" w:sz="2" w:space="4"/>
      </w:pBdr>
      <w:jc w:val="center"/>
    </w:pPr>
    <w:r>
      <w:rPr>
        <w:rFonts w:ascii="Arial" w:cs="Arial" w:eastAsia="Arial" w:hAnsi="Arial"/>
        <w:color w:val="718096"/>
        <w:sz w:val="16"/>
        <w:szCs w:val="16"/>
      </w:rPr>
      <w:t xml:space="preserve">Page </w:t>
    </w:r>
    <w:r>
      <w:rPr>
        <w:rFonts w:ascii="Arial" w:cs="Arial" w:eastAsia="Arial" w:hAnsi="Arial"/>
        <w:color w:val="71809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0CDF4" w:sz="2" w:space="4"/>
      </w:pBdr>
    </w:pPr>
    <w:r>
      <w:rPr>
        <w:rFonts w:ascii="Arial" w:cs="Arial" w:eastAsia="Arial" w:hAnsi="Arial"/>
        <w:i/>
        <w:iCs/>
        <w:color w:val="718096"/>
        <w:sz w:val="16"/>
        <w:szCs w:val="16"/>
      </w:rPr>
      <w:t xml:space="preserve">InvestIQ • PRD v1.1 • 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0CDF4" w:sz="2" w:space="4"/>
      </w:pBdr>
    </w:pPr>
    <w:r>
      <w:rPr>
        <w:rFonts w:ascii="Arial" w:cs="Arial" w:eastAsia="Arial" w:hAnsi="Arial"/>
        <w:i/>
        <w:iCs/>
        <w:color w:val="718096"/>
        <w:sz w:val="16"/>
        <w:szCs w:val="16"/>
      </w:rPr>
      <w:t xml:space="preserve">InvestIQ • PRD v1.1 • Confidential</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0CDF4" w:sz="2" w:space="4"/>
      </w:pBdr>
    </w:pPr>
    <w:r>
      <w:rPr>
        <w:rFonts w:ascii="Arial" w:cs="Arial" w:eastAsia="Arial" w:hAnsi="Arial"/>
        <w:i/>
        <w:iCs/>
        <w:color w:val="718096"/>
        <w:sz w:val="16"/>
        <w:szCs w:val="16"/>
      </w:rPr>
      <w:t xml:space="preserve">InvestIQ • PRD v1.1 • Confidential</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0CDF4" w:sz="2" w:space="4"/>
      </w:pBdr>
    </w:pPr>
    <w:r>
      <w:rPr>
        <w:rFonts w:ascii="Arial" w:cs="Arial" w:eastAsia="Arial" w:hAnsi="Arial"/>
        <w:i/>
        <w:iCs/>
        <w:color w:val="718096"/>
        <w:sz w:val="16"/>
        <w:szCs w:val="16"/>
      </w:rPr>
      <w:t xml:space="preserve">InvestIQ • PRD v1.1 • Confidential</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0CDF4" w:sz="2" w:space="4"/>
      </w:pBdr>
    </w:pPr>
    <w:r>
      <w:rPr>
        <w:rFonts w:ascii="Arial" w:cs="Arial" w:eastAsia="Arial" w:hAnsi="Arial"/>
        <w:i/>
        <w:iCs/>
        <w:color w:val="718096"/>
        <w:sz w:val="16"/>
        <w:szCs w:val="16"/>
      </w:rPr>
      <w:t xml:space="preserve">InvestIQ • PRD v1.1 • Confidential</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0CDF4" w:sz="2" w:space="4"/>
      </w:pBdr>
    </w:pPr>
    <w:r>
      <w:rPr>
        <w:rFonts w:ascii="Arial" w:cs="Arial" w:eastAsia="Arial" w:hAnsi="Arial"/>
        <w:i/>
        <w:iCs/>
        <w:color w:val="718096"/>
        <w:sz w:val="16"/>
        <w:szCs w:val="16"/>
      </w:rPr>
      <w:t xml:space="preserve">InvestIQ • PRD v1.1 • Confidential</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0CDF4" w:sz="2" w:space="4"/>
      </w:pBdr>
    </w:pPr>
    <w:r>
      <w:rPr>
        <w:rFonts w:ascii="Arial" w:cs="Arial" w:eastAsia="Arial" w:hAnsi="Arial"/>
        <w:i/>
        <w:iCs/>
        <w:color w:val="718096"/>
        <w:sz w:val="16"/>
        <w:szCs w:val="16"/>
      </w:rPr>
      <w:t xml:space="preserve">InvestIQ • PRD v1.1 • Confidential</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0CDF4" w:sz="2" w:space="4"/>
      </w:pBdr>
    </w:pPr>
    <w:r>
      <w:rPr>
        <w:rFonts w:ascii="Arial" w:cs="Arial" w:eastAsia="Arial" w:hAnsi="Arial"/>
        <w:i/>
        <w:iCs/>
        <w:color w:val="718096"/>
        <w:sz w:val="16"/>
        <w:szCs w:val="16"/>
      </w:rPr>
      <w:t xml:space="preserve">InvestIQ • PRD v1.1 • Confidential</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0CDF4" w:sz="2" w:space="4"/>
      </w:pBdr>
    </w:pPr>
    <w:r>
      <w:rPr>
        <w:rFonts w:ascii="Arial" w:cs="Arial" w:eastAsia="Arial" w:hAnsi="Arial"/>
        <w:i/>
        <w:iCs/>
        <w:color w:val="718096"/>
        <w:sz w:val="16"/>
        <w:szCs w:val="16"/>
      </w:rPr>
      <w:t xml:space="preserve">InvestIQ • PRD v1.1 • Confidential</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0CDF4" w:sz="2" w:space="4"/>
      </w:pBdr>
    </w:pPr>
    <w:r>
      <w:rPr>
        <w:rFonts w:ascii="Arial" w:cs="Arial" w:eastAsia="Arial" w:hAnsi="Arial"/>
        <w:i/>
        <w:iCs/>
        <w:color w:val="718096"/>
        <w:sz w:val="16"/>
        <w:szCs w:val="16"/>
      </w:rPr>
      <w:t xml:space="preserve">InvestIQ • PRD v1.1 • Confidential</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0CDF4" w:sz="2" w:space="4"/>
      </w:pBdr>
    </w:pPr>
    <w:r>
      <w:rPr>
        <w:rFonts w:ascii="Arial" w:cs="Arial" w:eastAsia="Arial" w:hAnsi="Arial"/>
        <w:i/>
        <w:iCs/>
        <w:color w:val="718096"/>
        <w:sz w:val="16"/>
        <w:szCs w:val="16"/>
      </w:rPr>
      <w:t xml:space="preserve">InvestIQ • PRD v1.1 • Confidential</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0CDF4" w:sz="2" w:space="4"/>
      </w:pBdr>
    </w:pPr>
    <w:r>
      <w:rPr>
        <w:rFonts w:ascii="Arial" w:cs="Arial" w:eastAsia="Arial" w:hAnsi="Arial"/>
        <w:i/>
        <w:iCs/>
        <w:color w:val="718096"/>
        <w:sz w:val="16"/>
        <w:szCs w:val="16"/>
      </w:rPr>
      <w:t xml:space="preserve">InvestIQ • PRD v1.1 • Confidential</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0CDF4" w:sz="2" w:space="4"/>
      </w:pBdr>
    </w:pPr>
    <w:r>
      <w:rPr>
        <w:rFonts w:ascii="Arial" w:cs="Arial" w:eastAsia="Arial" w:hAnsi="Arial"/>
        <w:i/>
        <w:iCs/>
        <w:color w:val="718096"/>
        <w:sz w:val="16"/>
        <w:szCs w:val="16"/>
      </w:rPr>
      <w:t xml:space="preserve">InvestIQ • PRD v1.1 • Confidential</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0CDF4" w:sz="2" w:space="4"/>
      </w:pBdr>
    </w:pPr>
    <w:r>
      <w:rPr>
        <w:rFonts w:ascii="Arial" w:cs="Arial" w:eastAsia="Arial" w:hAnsi="Arial"/>
        <w:i/>
        <w:iCs/>
        <w:color w:val="718096"/>
        <w:sz w:val="16"/>
        <w:szCs w:val="16"/>
      </w:rPr>
      <w:t xml:space="preserve">InvestIQ • PRD v1.1 • Confidential</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0CDF4" w:sz="2" w:space="4"/>
      </w:pBdr>
    </w:pPr>
    <w:r>
      <w:rPr>
        <w:rFonts w:ascii="Arial" w:cs="Arial" w:eastAsia="Arial" w:hAnsi="Arial"/>
        <w:i/>
        <w:iCs/>
        <w:color w:val="718096"/>
        <w:sz w:val="16"/>
        <w:szCs w:val="16"/>
      </w:rPr>
      <w:t xml:space="preserve">InvestIQ • PRD v1.1 • Confidential</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0CDF4" w:sz="2" w:space="4"/>
      </w:pBdr>
    </w:pPr>
    <w:r>
      <w:rPr>
        <w:rFonts w:ascii="Arial" w:cs="Arial" w:eastAsia="Arial" w:hAnsi="Arial"/>
        <w:i/>
        <w:iCs/>
        <w:color w:val="718096"/>
        <w:sz w:val="16"/>
        <w:szCs w:val="16"/>
      </w:rPr>
      <w:t xml:space="preserve">InvestIQ • PRD v1.1 • Confidential</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0CDF4" w:sz="2" w:space="4"/>
      </w:pBdr>
    </w:pPr>
    <w:r>
      <w:rPr>
        <w:rFonts w:ascii="Arial" w:cs="Arial" w:eastAsia="Arial" w:hAnsi="Arial"/>
        <w:i/>
        <w:iCs/>
        <w:color w:val="718096"/>
        <w:sz w:val="16"/>
        <w:szCs w:val="16"/>
      </w:rPr>
      <w:t xml:space="preserve">InvestIQ • PRD v1.1 • Confidential</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0CDF4" w:sz="2" w:space="4"/>
      </w:pBdr>
    </w:pPr>
    <w:r>
      <w:rPr>
        <w:rFonts w:ascii="Arial" w:cs="Arial" w:eastAsia="Arial" w:hAnsi="Arial"/>
        <w:i/>
        <w:iCs/>
        <w:color w:val="718096"/>
        <w:sz w:val="16"/>
        <w:szCs w:val="16"/>
      </w:rPr>
      <w:t xml:space="preserve">InvestIQ • PRD v1.1 • Confidential</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0CDF4" w:sz="2" w:space="4"/>
      </w:pBdr>
    </w:pPr>
    <w:r>
      <w:rPr>
        <w:rFonts w:ascii="Arial" w:cs="Arial" w:eastAsia="Arial" w:hAnsi="Arial"/>
        <w:i/>
        <w:iCs/>
        <w:color w:val="718096"/>
        <w:sz w:val="16"/>
        <w:szCs w:val="16"/>
      </w:rPr>
      <w:t xml:space="preserve">InvestIQ • PRD v1.1 • Confidential</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0CDF4" w:sz="2" w:space="4"/>
      </w:pBdr>
    </w:pPr>
    <w:r>
      <w:rPr>
        <w:rFonts w:ascii="Arial" w:cs="Arial" w:eastAsia="Arial" w:hAnsi="Arial"/>
        <w:i/>
        <w:iCs/>
        <w:color w:val="718096"/>
        <w:sz w:val="16"/>
        <w:szCs w:val="16"/>
      </w:rPr>
      <w:t xml:space="preserve">InvestIQ • PRD v1.1 • Confidential</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0CDF4" w:sz="2" w:space="4"/>
      </w:pBdr>
    </w:pPr>
    <w:r>
      <w:rPr>
        <w:rFonts w:ascii="Arial" w:cs="Arial" w:eastAsia="Arial" w:hAnsi="Arial"/>
        <w:i/>
        <w:iCs/>
        <w:color w:val="718096"/>
        <w:sz w:val="16"/>
        <w:szCs w:val="16"/>
      </w:rPr>
      <w:t xml:space="preserve">InvestIQ • PRD v1.1 • Confidential</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0CDF4" w:sz="2" w:space="4"/>
      </w:pBdr>
    </w:pPr>
    <w:r>
      <w:rPr>
        <w:rFonts w:ascii="Arial" w:cs="Arial" w:eastAsia="Arial" w:hAnsi="Arial"/>
        <w:i/>
        <w:iCs/>
        <w:color w:val="718096"/>
        <w:sz w:val="16"/>
        <w:szCs w:val="16"/>
      </w:rPr>
      <w:t xml:space="preserve">InvestIQ • PRD v1.1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abstractNum w:abstractNumId="6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63" w15:restartNumberingAfterBreak="0">
    <w:multiLevelType w:val="hybridMultilevel"/>
    <w:lvl w:ilvl="0" w15:tentative="1">
      <w:start w:val="1"/>
      <w:numFmt w:val="decimal"/>
      <w:lvlText w:val="%1."/>
      <w:lvlJc w:val="left"/>
      <w:pPr>
        <w:ind w:left="720" w:hanging="360"/>
      </w:pPr>
    </w:lvl>
  </w:abstractNum>
  <w:abstractNum w:abstractNumId="6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65" w15:restartNumberingAfterBreak="0">
    <w:multiLevelType w:val="hybridMultilevel"/>
    <w:lvl w:ilvl="0" w15:tentative="1">
      <w:start w:val="1"/>
      <w:numFmt w:val="decimal"/>
      <w:lvlText w:val="%1."/>
      <w:lvlJc w:val="left"/>
      <w:pPr>
        <w:ind w:left="720" w:hanging="360"/>
      </w:pPr>
    </w:lvl>
  </w:abstractNum>
  <w:abstractNum w:abstractNumId="6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67" w15:restartNumberingAfterBreak="0">
    <w:multiLevelType w:val="hybridMultilevel"/>
    <w:lvl w:ilvl="0" w15:tentative="1">
      <w:start w:val="1"/>
      <w:numFmt w:val="decimal"/>
      <w:lvlText w:val="%1."/>
      <w:lvlJc w:val="left"/>
      <w:pPr>
        <w:ind w:left="720" w:hanging="360"/>
      </w:pPr>
    </w:lvl>
  </w:abstractNum>
  <w:abstractNum w:abstractNumId="6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69" w15:restartNumberingAfterBreak="0">
    <w:multiLevelType w:val="hybridMultilevel"/>
    <w:lvl w:ilvl="0" w15:tentative="1">
      <w:start w:val="1"/>
      <w:numFmt w:val="decimal"/>
      <w:lvlText w:val="%1."/>
      <w:lvlJc w:val="left"/>
      <w:pPr>
        <w:ind w:left="720" w:hanging="360"/>
      </w:pPr>
    </w:lvl>
  </w:abstractNum>
  <w:abstractNum w:abstractNumId="7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71" w15:restartNumberingAfterBreak="0">
    <w:multiLevelType w:val="hybridMultilevel"/>
    <w:lvl w:ilvl="0" w15:tentative="1">
      <w:start w:val="1"/>
      <w:numFmt w:val="decimal"/>
      <w:lvlText w:val="%1."/>
      <w:lvlJc w:val="left"/>
      <w:pPr>
        <w:ind w:left="720" w:hanging="360"/>
      </w:pPr>
    </w:lvl>
  </w:abstractNum>
  <w:abstractNum w:abstractNumId="7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73" w15:restartNumberingAfterBreak="0">
    <w:multiLevelType w:val="hybridMultilevel"/>
    <w:lvl w:ilvl="0" w15:tentative="1">
      <w:start w:val="1"/>
      <w:numFmt w:val="decimal"/>
      <w:lvlText w:val="%1."/>
      <w:lvlJc w:val="left"/>
      <w:pPr>
        <w:ind w:left="720" w:hanging="360"/>
      </w:pPr>
    </w:lvl>
  </w:abstractNum>
  <w:abstractNum w:abstractNumId="7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75" w15:restartNumberingAfterBreak="0">
    <w:multiLevelType w:val="hybridMultilevel"/>
    <w:lvl w:ilvl="0" w15:tentative="1">
      <w:start w:val="1"/>
      <w:numFmt w:val="decimal"/>
      <w:lvlText w:val="%1."/>
      <w:lvlJc w:val="left"/>
      <w:pPr>
        <w:ind w:left="720" w:hanging="360"/>
      </w:pPr>
    </w:lvl>
  </w:abstractNum>
  <w:abstractNum w:abstractNumId="7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77" w15:restartNumberingAfterBreak="0">
    <w:multiLevelType w:val="hybridMultilevel"/>
    <w:lvl w:ilvl="0" w15:tentative="1">
      <w:start w:val="1"/>
      <w:numFmt w:val="decimal"/>
      <w:lvlText w:val="%1."/>
      <w:lvlJc w:val="left"/>
      <w:pPr>
        <w:ind w:left="720" w:hanging="360"/>
      </w:pPr>
    </w:lvl>
  </w:abstractNum>
  <w:abstractNum w:abstractNumId="7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79" w15:restartNumberingAfterBreak="0">
    <w:multiLevelType w:val="hybridMultilevel"/>
    <w:lvl w:ilvl="0" w15:tentative="1">
      <w:start w:val="1"/>
      <w:numFmt w:val="decimal"/>
      <w:lvlText w:val="%1."/>
      <w:lvlJc w:val="left"/>
      <w:pPr>
        <w:ind w:left="720" w:hanging="360"/>
      </w:pPr>
    </w:lvl>
  </w:abstractNum>
  <w:abstractNum w:abstractNumId="8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81" w15:restartNumberingAfterBreak="0">
    <w:multiLevelType w:val="hybridMultilevel"/>
    <w:lvl w:ilvl="0" w15:tentative="1">
      <w:start w:val="1"/>
      <w:numFmt w:val="decimal"/>
      <w:lvlText w:val="%1."/>
      <w:lvlJc w:val="left"/>
      <w:pPr>
        <w:ind w:left="720" w:hanging="360"/>
      </w:pPr>
    </w:lvl>
  </w:abstractNum>
  <w:abstractNum w:abstractNumId="8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83" w15:restartNumberingAfterBreak="0">
    <w:multiLevelType w:val="hybridMultilevel"/>
    <w:lvl w:ilvl="0" w15:tentative="1">
      <w:start w:val="1"/>
      <w:numFmt w:val="decimal"/>
      <w:lvlText w:val="%1."/>
      <w:lvlJc w:val="left"/>
      <w:pPr>
        <w:ind w:left="720" w:hanging="360"/>
      </w:pPr>
    </w:lvl>
  </w:abstractNum>
  <w:abstractNum w:abstractNumId="8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85" w15:restartNumberingAfterBreak="0">
    <w:multiLevelType w:val="hybridMultilevel"/>
    <w:lvl w:ilvl="0" w15:tentative="1">
      <w:start w:val="1"/>
      <w:numFmt w:val="decimal"/>
      <w:lvlText w:val="%1."/>
      <w:lvlJc w:val="left"/>
      <w:pPr>
        <w:ind w:left="720" w:hanging="360"/>
      </w:pPr>
    </w:lvl>
  </w:abstractNum>
  <w:abstractNum w:abstractNumId="8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87" w15:restartNumberingAfterBreak="0">
    <w:multiLevelType w:val="hybridMultilevel"/>
    <w:lvl w:ilvl="0" w15:tentative="1">
      <w:start w:val="1"/>
      <w:numFmt w:val="decimal"/>
      <w:lvlText w:val="%1."/>
      <w:lvlJc w:val="left"/>
      <w:pPr>
        <w:ind w:left="720" w:hanging="360"/>
      </w:pPr>
    </w:lvl>
  </w:abstractNum>
  <w:abstractNum w:abstractNumId="8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89" w15:restartNumberingAfterBreak="0">
    <w:multiLevelType w:val="hybridMultilevel"/>
    <w:lvl w:ilvl="0" w15:tentative="1">
      <w:start w:val="1"/>
      <w:numFmt w:val="decimal"/>
      <w:lvlText w:val="%1."/>
      <w:lvlJc w:val="left"/>
      <w:pPr>
        <w:ind w:left="720" w:hanging="360"/>
      </w:pPr>
    </w:lvl>
  </w:abstractNum>
  <w:abstractNum w:abstractNumId="9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91" w15:restartNumberingAfterBreak="0">
    <w:multiLevelType w:val="hybridMultilevel"/>
    <w:lvl w:ilvl="0" w15:tentative="1">
      <w:start w:val="1"/>
      <w:numFmt w:val="decimal"/>
      <w:lvlText w:val="%1."/>
      <w:lvlJc w:val="left"/>
      <w:pPr>
        <w:ind w:left="720" w:hanging="360"/>
      </w:pPr>
    </w:lvl>
  </w:abstractNum>
  <w:abstractNum w:abstractNumId="9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93" w15:restartNumberingAfterBreak="0">
    <w:multiLevelType w:val="hybridMultilevel"/>
    <w:lvl w:ilvl="0" w15:tentative="1">
      <w:start w:val="1"/>
      <w:numFmt w:val="decimal"/>
      <w:lvlText w:val="%1."/>
      <w:lvlJc w:val="left"/>
      <w:pPr>
        <w:ind w:left="720" w:hanging="360"/>
      </w:pPr>
    </w:lvl>
  </w:abstractNum>
  <w:abstractNum w:abstractNumId="9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95" w15:restartNumberingAfterBreak="0">
    <w:multiLevelType w:val="hybridMultilevel"/>
    <w:lvl w:ilvl="0" w15:tentative="1">
      <w:start w:val="1"/>
      <w:numFmt w:val="decimal"/>
      <w:lvlText w:val="%1."/>
      <w:lvlJc w:val="left"/>
      <w:pPr>
        <w:ind w:left="720" w:hanging="360"/>
      </w:pPr>
    </w:lvl>
  </w:abstractNum>
  <w:abstractNum w:abstractNumId="9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97" w15:restartNumberingAfterBreak="0">
    <w:multiLevelType w:val="hybridMultilevel"/>
    <w:lvl w:ilvl="0" w15:tentative="1">
      <w:start w:val="1"/>
      <w:numFmt w:val="decimal"/>
      <w:lvlText w:val="%1."/>
      <w:lvlJc w:val="left"/>
      <w:pPr>
        <w:ind w:left="720" w:hanging="360"/>
      </w:pPr>
    </w:lvl>
  </w:abstractNum>
  <w:abstractNum w:abstractNumId="9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99" w15:restartNumberingAfterBreak="0">
    <w:multiLevelType w:val="hybridMultilevel"/>
    <w:lvl w:ilvl="0" w15:tentative="1">
      <w:start w:val="1"/>
      <w:numFmt w:val="decimal"/>
      <w:lvlText w:val="%1."/>
      <w:lvlJc w:val="left"/>
      <w:pPr>
        <w:ind w:left="720" w:hanging="360"/>
      </w:pPr>
    </w:lvl>
  </w:abstractNum>
  <w:abstractNum w:abstractNumId="10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0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6"/>
    <w:lvlOverride w:ilvl="0">
      <w:startOverride w:val="1"/>
    </w:lvlOverride>
  </w:num>
  <w:num w:numId="5">
    <w:abstractNumId w:val="3"/>
    <w:lvlOverride w:ilvl="0">
      <w:startOverride w:val="1"/>
    </w:lvlOverride>
  </w:num>
  <w:num w:numId="6">
    <w:abstractNumId w:val="8"/>
    <w:lvlOverride w:ilvl="0">
      <w:startOverride w:val="1"/>
    </w:lvlOverride>
  </w:num>
  <w:num w:numId="7">
    <w:abstractNumId w:val="10"/>
    <w:lvlOverride w:ilvl="0">
      <w:startOverride w:val="1"/>
    </w:lvlOverride>
  </w:num>
  <w:num w:numId="8">
    <w:abstractNumId w:val="12"/>
    <w:lvlOverride w:ilvl="0">
      <w:startOverride w:val="1"/>
    </w:lvlOverride>
  </w:num>
  <w:num w:numId="9">
    <w:abstractNumId w:val="14"/>
    <w:lvlOverride w:ilvl="0">
      <w:startOverride w:val="1"/>
    </w:lvlOverride>
  </w:num>
  <w:num w:numId="10">
    <w:abstractNumId w:val="16"/>
    <w:lvlOverride w:ilvl="0">
      <w:startOverride w:val="1"/>
    </w:lvlOverride>
  </w:num>
  <w:num w:numId="11">
    <w:abstractNumId w:val="18"/>
    <w:lvlOverride w:ilvl="0">
      <w:startOverride w:val="1"/>
    </w:lvlOverride>
  </w:num>
  <w:num w:numId="12">
    <w:abstractNumId w:val="20"/>
    <w:lvlOverride w:ilvl="0">
      <w:startOverride w:val="1"/>
    </w:lvlOverride>
  </w:num>
  <w:num w:numId="13">
    <w:abstractNumId w:val="22"/>
    <w:lvlOverride w:ilvl="0">
      <w:startOverride w:val="1"/>
    </w:lvlOverride>
  </w:num>
  <w:num w:numId="14">
    <w:abstractNumId w:val="24"/>
    <w:lvlOverride w:ilvl="0">
      <w:startOverride w:val="1"/>
    </w:lvlOverride>
  </w:num>
  <w:num w:numId="15">
    <w:abstractNumId w:val="26"/>
    <w:lvlOverride w:ilvl="0">
      <w:startOverride w:val="1"/>
    </w:lvlOverride>
  </w:num>
  <w:num w:numId="16">
    <w:abstractNumId w:val="28"/>
    <w:lvlOverride w:ilvl="0">
      <w:startOverride w:val="1"/>
    </w:lvlOverride>
  </w:num>
  <w:num w:numId="17">
    <w:abstractNumId w:val="30"/>
    <w:lvlOverride w:ilvl="0">
      <w:startOverride w:val="1"/>
    </w:lvlOverride>
  </w:num>
  <w:num w:numId="18">
    <w:abstractNumId w:val="32"/>
    <w:lvlOverride w:ilvl="0">
      <w:startOverride w:val="1"/>
    </w:lvlOverride>
  </w:num>
  <w:num w:numId="19">
    <w:abstractNumId w:val="34"/>
    <w:lvlOverride w:ilvl="0">
      <w:startOverride w:val="1"/>
    </w:lvlOverride>
  </w:num>
  <w:num w:numId="20">
    <w:abstractNumId w:val="36"/>
    <w:lvlOverride w:ilvl="0">
      <w:startOverride w:val="1"/>
    </w:lvlOverride>
  </w:num>
  <w:num w:numId="21">
    <w:abstractNumId w:val="38"/>
    <w:lvlOverride w:ilvl="0">
      <w:startOverride w:val="1"/>
    </w:lvlOverride>
  </w:num>
  <w:num w:numId="22">
    <w:abstractNumId w:val="40"/>
    <w:lvlOverride w:ilvl="0">
      <w:startOverride w:val="1"/>
    </w:lvlOverride>
  </w:num>
  <w:num w:numId="23">
    <w:abstractNumId w:val="42"/>
    <w:lvlOverride w:ilvl="0">
      <w:startOverride w:val="1"/>
    </w:lvlOverride>
  </w:num>
  <w:num w:numId="24">
    <w:abstractNumId w:val="44"/>
    <w:lvlOverride w:ilvl="0">
      <w:startOverride w:val="1"/>
    </w:lvlOverride>
  </w:num>
  <w:num w:numId="25">
    <w:abstractNumId w:val="46"/>
    <w:lvlOverride w:ilvl="0">
      <w:startOverride w:val="1"/>
    </w:lvlOverride>
  </w:num>
  <w:num w:numId="26">
    <w:abstractNumId w:val="48"/>
    <w:lvlOverride w:ilvl="0">
      <w:startOverride w:val="1"/>
    </w:lvlOverride>
  </w:num>
  <w:num w:numId="27">
    <w:abstractNumId w:val="50"/>
    <w:lvlOverride w:ilvl="0">
      <w:startOverride w:val="1"/>
    </w:lvlOverride>
  </w:num>
  <w:num w:numId="28">
    <w:abstractNumId w:val="52"/>
    <w:lvlOverride w:ilvl="0">
      <w:startOverride w:val="1"/>
    </w:lvlOverride>
  </w:num>
  <w:num w:numId="29">
    <w:abstractNumId w:val="54"/>
    <w:lvlOverride w:ilvl="0">
      <w:startOverride w:val="1"/>
    </w:lvlOverride>
  </w:num>
  <w:num w:numId="30">
    <w:abstractNumId w:val="56"/>
    <w:lvlOverride w:ilvl="0">
      <w:startOverride w:val="1"/>
    </w:lvlOverride>
  </w:num>
  <w:num w:numId="31">
    <w:abstractNumId w:val="58"/>
    <w:lvlOverride w:ilvl="0">
      <w:startOverride w:val="1"/>
    </w:lvlOverride>
  </w:num>
  <w:num w:numId="32">
    <w:abstractNumId w:val="6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65D"/>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2B6CB0"/>
      <w:sz w:val="28"/>
      <w:szCs w:val="28"/>
    </w:rPr>
  </w:style>
  <w:style w:type="paragraph" w:styleId="Heading3">
    <w:name w:val="Heading 3"/>
    <w:basedOn w:val="Normal"/>
    <w:next w:val="Normal"/>
    <w:qFormat/>
    <w:pPr>
      <w:spacing w:before="220" w:after="120"/>
      <w:outlineLvl w:val="2"/>
    </w:pPr>
    <w:rPr>
      <w:rFonts w:ascii="Arial" w:cs="Arial" w:eastAsia="Arial" w:hAnsi="Arial"/>
      <w:b/>
      <w:bCs/>
      <w:color w:val="1A20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header" Target="header20.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footer" Target="footer21.xml"/><Relationship Id="rId48" Type="http://schemas.openxmlformats.org/officeDocument/2006/relationships/header" Target="header22.xml"/><Relationship Id="rId49" Type="http://schemas.openxmlformats.org/officeDocument/2006/relationships/footer" Target="footer22.xml"/><Relationship Id="rId5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2026-03-07T11:49:28.235Z</dcterms:created>
  <dcterms:modified xsi:type="dcterms:W3CDTF">2026-03-07T11:49:28.237Z</dcterms:modified>
</cp:coreProperties>
</file>

<file path=docProps/custom.xml><?xml version="1.0" encoding="utf-8"?>
<Properties xmlns="http://schemas.openxmlformats.org/officeDocument/2006/custom-properties" xmlns:vt="http://schemas.openxmlformats.org/officeDocument/2006/docPropsVTypes"/>
</file>