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6697A"/>
          <w:spacing w:val="180"/>
          <w:sz w:val="20"/>
          <w:szCs w:val="20"/>
        </w:rPr>
        <w:t xml:space="preserve">TECHNICAL SPECIFICATION</w:t>
      </w:r>
    </w:p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F3460"/>
          <w:sz w:val="64"/>
          <w:szCs w:val="64"/>
        </w:rPr>
        <w:t xml:space="preserve">InvestIQ</w:t>
      </w:r>
    </w:p>
    <w:p>
      <w:pPr>
        <w:pBdr>
          <w:bottom w:val="single" w:color="16697A" w:sz="6" w:space="12"/>
        </w:pBdr>
        <w:spacing w:after="6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Architecture, Schema, APIs &amp; Implementation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Version 1.2 (Consolidated) • March 2026 • Confidential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6697A" w:sz="12"/>
              <w:bottom w:val="none" w:sz="0"/>
              <w:right w:val="none" w:sz="0"/>
            </w:tcBorders>
            <w:shd w:fill="E8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6697A"/>
                <w:sz w:val="21"/>
                <w:szCs w:val="21"/>
              </w:rPr>
              <w:t xml:space="preserve">Companion to PRD v1.2. Covers auth (FastAPI-only), full schema (instruments, symbol mapping, corporate actions, FX rates, notifications), API design, explainer abstraction, broker conformance, market calendar, sync idempotency, key rotation, CLI guardrails, deployment, and monitoring.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1. Authentication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6697A" w:sz="12"/>
              <w:bottom w:val="none" w:sz="0"/>
              <w:right w:val="none" w:sz="0"/>
            </w:tcBorders>
            <w:shd w:fill="E8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6697A"/>
                <w:sz w:val="21"/>
                <w:szCs w:val="21"/>
              </w:rPr>
              <w:t xml:space="preserve">FastAPI is sole auth authority. No NextAuth. Next.js is pure API consumer.</w:t>
            </w:r>
          </w:p>
        </w:tc>
      </w:tr>
    </w:tbl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1.1 Token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Access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JWT RS256, 15 min, user_id+tier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Frontend React state (memory only)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Refresh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Opaque UUID, 7d, single-use rotation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httpOnly Secure SameSite=Strict cookie</w:t>
            </w:r>
          </w:p>
        </w:tc>
      </w:tr>
    </w:tbl>
    <w:p>
      <w:pPr>
        <w:spacing w:after="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1.2 CSRF &amp;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CSRF: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SameSite=Strict cookie + X-CSRF-Token header on mutations.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Logout: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Clear cookie + blacklist refresh token in Redis (TTL = remaining life).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Password change: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Invalidate ALL refresh tokens for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Broker OAuth: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Separate from user auth. Tokens encrypted, never reach frontend.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2. Project Structure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investiq/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├── backend/                    # FastAPI (sole auth)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├── app/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main.py, config.py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models/             # SQLAlchemy: users, instruments, positions, ...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schemas/            # Pydantic req/res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api/                # auth, portfolio, analysis, recommendations, safety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brokers/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├── base.py         # BrokerAdapter + features dict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├── alpaca.py, zerodha.py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└── conformance_tests.py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data/               # DataProvider abstraction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├── base.py, yahoo.py, fred.py, gnews.py, reddit.py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analysis/           # technical, fundamental, sentiment, risk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intelligence/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├── synthesizer.py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└── explainers/     # base, template, claude_cli, api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safety/             # guardian, kill_switch, position_sizer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scheduling/         # calendar.py, scheduler.py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notifications/      # base, dashboard, email, console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tasks/              # Celery tasks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└── manage.py           # CLI: rotate_tokens, etc.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└── tests/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├── frontend/                   # Next.js (pure API consumer)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├── docker-compose.yml          # $0 local dev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├── docker-compose.prod.yml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└── .env.example</w:t>
      </w:r>
    </w:p>
    <w:p>
      <w:pPr>
        <w:sectPr>
          <w:headerReference w:type="default" r:id="rId8"/>
          <w:footerReference w:type="default" r:id="rId9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3.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6697A" w:sz="12"/>
              <w:bottom w:val="none" w:sz="0"/>
              <w:right w:val="none" w:sz="0"/>
            </w:tcBorders>
            <w:shd w:fill="E8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6697A"/>
                <w:sz w:val="21"/>
                <w:szCs w:val="21"/>
              </w:rPr>
              <w:t xml:space="preserve">PostgreSQL + SQLAlchemy async. Timestamps UTC. Monetary DECIMAL(18,8). PKs UUID. Instrument identity: (exchange, symbol) composite unique.</w:t>
            </w:r>
          </w:p>
        </w:tc>
      </w:tr>
    </w:tbl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3.1 users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id (UUID PK), email (UNIQUE), password_hash (bcrypt), base_currency (INR|USD, set at signup), tier (free|pro|premium), created_at, updated_at.</w:t>
      </w:r>
    </w:p>
    <w:p>
      <w:pPr>
        <w:spacing w:after="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3.2 instruments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AAPL, RELIANCE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exchange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XNSE, XNYS, XNAS (ISO MIC)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isin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VARCHAR(12)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Optional. UNIQUE if present.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sector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GICS sector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VARCHAR(3)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INR | USD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UNIQUE on (symbol, exchange). All other tables reference instrument_id.</w:t>
      </w:r>
    </w:p>
    <w:p>
      <w:pPr>
        <w:spacing w:after="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3.3 symbol_mappings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id (BIGSERIAL), instrument_id (FK), broker (ENUM), broker_symbol (VARCHAR), data_symbol (VARCHAR — for Yahoo etc.). UNIQUE on (broker, broker_symbol). Each adapter’s normalize_symbol() resolves through this table.</w:t>
      </w:r>
    </w:p>
    <w:p>
      <w:pPr>
        <w:spacing w:after="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3.4 broker_connections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id (UUID), user_id (FK), broker (ENUM), access_token_enc (BYTEA, AES-256-GCM), refresh_token_enc (BYTEA), token_expires_at, is_active, features_json (JSONB), last_sync_at, created_at.</w:t>
      </w:r>
    </w:p>
    <w:p>
      <w:pPr>
        <w:spacing w:after="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3.5 positions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id (UUID), user_id (FK), broker_connection_id (FK), instrument_id (FK), quantity (DECIMAL), avg_price, current_price, market_value, unrealized_pnl, synced_at. All prices in instrument native currency. Idempotency key: (broker_connection_id, instrument_id).</w:t>
      </w:r>
    </w:p>
    <w:p>
      <w:pPr>
        <w:spacing w:after="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3.6 orders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id (UUID), user_id (FK), broker_connection_id (FK), instrument_id (FK), broker_order_id (VARCHAR — from broker), side (buy|sell), order_type, quantity, price, filled_qty, avg_fill_price, status (ENUM), placed_at, filled_at. Idempotency key: (broker_connection_id, broker_order_id). Never deleted.</w:t>
      </w:r>
    </w:p>
    <w:p>
      <w:pPr>
        <w:spacing w:after="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3.7 fx_rates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id (BIGSERIAL), currency_pair (USD_INR, INR_USD), rate_date (DATE), rate (DECIMAL), source (fred|ecb), fetched_at. UNIQUE on (currency_pair, rate_date). Index on (currency_pair, rate_date DESC).</w:t>
      </w:r>
    </w:p>
    <w:p>
      <w:pPr>
        <w:spacing w:after="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3.8 corporate_actions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id (BIGSERIAL), instrument_id (FK), action_type (ENUM: split|reverse_split|dividend|bonus), ex_date (DATE), ratio_from (INT), ratio_to (INT), dividend_amount (DECIMAL), applied (BOOLEAN), source (yahoo|broker_sync|manual), created_at.</w:t>
      </w:r>
    </w:p>
    <w:p>
      <w:pPr>
        <w:spacing w:after="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3.9 price_history (Partitioned)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Composite PK: (instrument_id, timestamp). Partitioned by month. open, high, low, close (DECIMAL), volume (BIGINT). Index on (instrument_id, timestamp DESC). Corporate action adjustments applied retroactively.</w:t>
      </w:r>
    </w:p>
    <w:p>
      <w:pPr>
        <w:spacing w:after="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3.10 recommendations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id (UUID), user_id (FK), instrument_id (FK), action (ENUM), confidence (DECIMAL 0–100), technical_score, fundamental_score, sentiment_score, risk_score, explanation (TEXT), explainer_used (ENUM: template|claude_cli|api), is_stale, created_at.</w:t>
      </w:r>
    </w:p>
    <w:p>
      <w:pPr>
        <w:spacing w:after="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3.11 notifications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id (UUID), user_id (FK), channel (ENUM: dashboard|email|console), title, body, severity (info|warning|critical), read (BOOLEAN), created_at. Index on (user_id, read, created_at DESC).</w:t>
      </w:r>
    </w:p>
    <w:p>
      <w:pPr>
        <w:spacing w:after="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3.12 calendar_overrides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id (BIGSERIAL), exchange (VARCHAR), date (DATE), is_holiday (BOOLEAN), session_open (TIME), session_close (TIME), reason (TEXT), created_by. UNIQUE on (exchange, date). Takes precedence over exchange_calendars library.</w:t>
      </w:r>
    </w:p>
    <w:p>
      <w:pPr>
        <w:spacing w:after="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3.13 audit_log (Immutable)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id (BIGSERIAL), user_id (UUID nullable), event_type (VARCHAR, indexed), event_data (JSONB), created_at (indexed). Immutability: REVOKE UPDATE, DELETE for app DB role. BEFORE UPDATE OR DELETE trigger raises exception. Personal: 1yr retention. SaaS: 7yr. Partitioned by month.</w:t>
      </w:r>
    </w:p>
    <w:p>
      <w:pPr>
        <w:sectPr>
          <w:headerReference w:type="default" r:id="rId10"/>
          <w:footerReference w:type="default" r:id="rId11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4. Explainer Provider Abstraction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Interface: ExplainerProvider.explain(recommendation) → str. Provider name stored in audit.</w:t>
      </w:r>
    </w:p>
    <w:p>
      <w:pPr>
        <w:spacing w:after="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4.1 TemplateExplainer (Default)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Deterministic templates. &lt;10ms. Zero cost. Always available. No external dependencies.</w:t>
      </w:r>
    </w:p>
    <w:p>
      <w:pPr>
        <w:spacing w:after="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4.2 ClaudeCliExplainer (Local Only)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subprocess: claude -p &lt;prompt&gt; --output-format json. Guarded by ENABLE_CLAUDE_CLI=true (default false) AND DEPLOYMENT_ENV check (hard block if hosted/production/saas). Security: 10s timeout, 2000 token max prompt, PII/token redaction, no URLs in prompt. Audit: logs prompt_hash (SHA-256) + latency + status. Actual prompt/response only at DEBUG level in local env.</w:t>
      </w:r>
    </w:p>
    <w:p>
      <w:pPr>
        <w:spacing w:after="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4.3 ApiExplainer (Phase 2+, BYOK)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User provides API key in settings. Pro/Premium only. Falls back to template on failure.</w:t>
      </w:r>
    </w:p>
    <w:p>
      <w:pPr>
        <w:spacing w:after="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4.4 Fallback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Any failure → TemplateExplainer. Recommendations never blocked by explainer. Audit logs actual provider used.</w:t>
      </w:r>
    </w:p>
    <w:p>
      <w:pPr>
        <w:sectPr>
          <w:headerReference w:type="default" r:id="rId12"/>
          <w:footerReference w:type="default" r:id="rId13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5. Broker Conformance &amp; Feature Flags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5.1 Feature Flags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AlpacaAdapter.features = {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supports_realtime_streaming: True, supports_paper_trading: True,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requires_daily_reauth: False, supports_order_placement: False }</w:t>
      </w:r>
    </w:p>
    <w:p>
      <w:pPr>
        <w:spacing w:after="20"/>
      </w:pP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ZerodhaAdapter.features = {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supports_realtime_streaming: True, supports_paper_trading: False,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requires_daily_reauth: True, supports_order_placement: False }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5.2 Conformance Tests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get_positions() → List[NormalizedPosition] with required fields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get_balances() → NormalizedBalance with cash, equity, buying_power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get_orders() → List[NormalizedOrder] with status enum mapping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 monetary values as Decimal (not float)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 timestamps as timezone-aware UTC datetime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Both raise BrokerAPIError with consistent error codes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Idempotent: get_positions() twice = same result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Rate limit: both implement exponential backoff on 429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normalize_symbol() correctly resolves via symbol_mappings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5.3 Sync Idempotency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6697A" w:sz="12"/>
              <w:bottom w:val="none" w:sz="0"/>
              <w:right w:val="none" w:sz="0"/>
            </w:tcBorders>
            <w:shd w:fill="E8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6697A"/>
                <w:sz w:val="21"/>
                <w:szCs w:val="21"/>
              </w:rPr>
              <w:t xml:space="preserve">Broker is ALWAYS source of truth. Every sync: fetch from broker, upsert locally by idempotency key, mark missing positions as closed.</w:t>
            </w:r>
          </w:p>
        </w:tc>
      </w:tr>
    </w:tbl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Position key: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(broker_connection_id, broker_symbol). Upsert qty/price.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Order key: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(broker_connection_id, broker_order_id). Upsert status. Never delete.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Failure: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Each upsert independent. Partial sync = consistent but incomplete. Next sync completes. Stale &gt;2h = reduced confidence.</w:t>
      </w:r>
    </w:p>
    <w:p>
      <w:pPr>
        <w:sectPr>
          <w:headerReference w:type="default" r:id="rId14"/>
          <w:footerReference w:type="default" r:id="rId15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6. Market Calendar &amp; Scheduling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6.1 Source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Primary: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exchange_calendars library. XBOM (NSE), XNYS (NYSE), XNAS (NASDAQ). Covers holidays, half-days, Muhurat.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Fallback: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calendar_overrides table. Auto-created if broker returns “market closed” unexpectedly.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Verification: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Weekly job compares library vs broker holiday lists. Logs discrepancies.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6.2 Celery Scheduling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500"/>
        <w:gridCol w:w="24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Stream quotes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In-session only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Per-market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Indicator recalc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 min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In-session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Per-market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Portfolio sync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60 min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In-session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Per-market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Post-close batch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Once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At session close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Per-market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News + sentiment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15 min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Always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FX refresh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Daily 6AM UTC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Always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Corp action check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Post-close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After OHLCV update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Per-market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Calendar verify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Weekly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Always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 internal timestamps UTC. Scheduler reads actual session close time per day (handles half-days). DST handled by exchange_calendars.</w:t>
      </w:r>
    </w:p>
    <w:p>
      <w:pPr>
        <w:sectPr>
          <w:headerReference w:type="default" r:id="rId16"/>
          <w:footerReference w:type="default" r:id="rId1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7. API Design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7.1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Create account. Returns access_token + sets refresh cookie.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Login. access_token in body, refresh in httpOnly cookie.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Cookie auto-sent. New access_token. Rotate refresh.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Clear cookie. Blacklist refresh in Redis.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/api/auth/broker/{broker}/connect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OAuth redirect URL.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/api/auth/broker/{broker}/callback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Store encrypted tokens.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/api/auth/broker/status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Connection status + features for all brokers.</w:t>
            </w:r>
          </w:p>
        </w:tc>
      </w:tr>
    </w:tbl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7.2 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/api/portfolio/summary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Aggregated: value (base currency), P&amp;L, allocation.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/api/portfolio/positions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All positions. Native + base currency fields.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/api/portfolio/intelligence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Diversification, risk, sector, benchmark alpha.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/api/portfolio/sync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Manual sync trigger (idempotent upsert).</w:t>
            </w:r>
          </w:p>
        </w:tc>
      </w:tr>
    </w:tbl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7.3 Analysis, Recommendations, Safety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GET /api/analysis/{symbol}/technical|fundamental|sentiment|risk. GET /api/recommendations. POST /api/recommendations/generate. POST /api/safety/kill-switch. GET /api/safety/status. GET /api/safety/audit-log (paginated).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7.4 Notifications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GET /api/notifications (paginated, filterable by read/severity). PATCH /api/notifications/{id}/read. WebSocket: ws://host/ws/alerts, ws://host/ws/portfolio, ws://host/ws/insights.</w:t>
      </w:r>
    </w:p>
    <w:p>
      <w:pPr>
        <w:sectPr>
          <w:headerReference w:type="default" r:id="rId18"/>
          <w:footerReference w:type="default" r:id="rId19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8. Security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8.1 Broker Token Encryption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Algo: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AES-256-GCM. Per-user key via HKDF from master + user_id.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Format: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nonce(12B) || ciphertext || tag(16B) in BYTEA.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Dual-key: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MASTER_ENCRYPTION_KEY accepts comma-separated pair for zero-downtime rotation.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8.2 Key Rotation Procedure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Generate new key: python -c "import secrets; print(secrets.token_hex(32))"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Set env: MASTER_ENCRYPTION_KEY=new,old (comma-separated). Restart.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Verify: /health/brokers still decrypts all connections.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Run: python manage.py rotate_tokens (decrypts with whichever key works, re-encrypts with new).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Verify: CLI reports all rotated. Re-run if any failed (skips already-done).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Remove old key: MASTER_ENCRYPTION_KEY=new (single). Restart.</w:t>
      </w:r>
    </w:p>
    <w:p>
      <w:pPr>
        <w:spacing w:after="20"/>
      </w:pP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Rollback: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Revert env to old key at any step before step 4 completes.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Both keys lost: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Tokens unrecoverable. Users must re-auth. Back up master key in password manager.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Frequency: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Manual, every 6–12 months or on suspected compromise. ~5 min for MVP-scale.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8.3 API Security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Rates: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100/min general, 10/min analysis, 1/sec kill switch.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CORS: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Frontend origin only. Credentials: true.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CSRF: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SameSite=Strict + X-CSRF-Token.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Input: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Pydantic on all endpoints. Reject unknown fields.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TLS: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1.3 enforced. HSTS.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8.4 Env Vars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DATABASE_URL, REDIS_URL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JWT_PRIVATE_KEY, JWT_PUBLIC_KEY, CSRF_SECRET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MASTER_ENCRYPTION_KEY  (supports comma-separated dual-key)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ALPACA_CLIENT_ID, ALPACA_CLIENT_SECRET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ZERODHA_API_KEY, ZERODHA_API_SECRET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EXPLAINER_PROVIDER=template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ENABLE_CLAUDE_CLI=false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DEPLOYMENT_ENV=local  (local|hosted|production|saas)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GNEWS_API_KEY</w:t>
      </w:r>
    </w:p>
    <w:p>
      <w:pPr>
        <w:spacing w:after="5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NOTIFICATION_EMAIL_PROVIDER=none  (none|smtp|resend)</w:t>
      </w:r>
    </w:p>
    <w:p>
      <w:pPr>
        <w:sectPr>
          <w:headerReference w:type="default" r:id="rId20"/>
          <w:footerReference w:type="default" r:id="rId21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9. Caching &amp; Performance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9.1 Redis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800"/>
        <w:gridCol w:w="25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Invalidation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Current price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price:{instrument_id}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30s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 quote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Indicators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tech:{instrument_id}:{name}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 min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 recalc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Portfolio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portfolio:{user_id}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60s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 sync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reco:{user_id}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15 min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 new analysis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FX rate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fx:{pair}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24h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Daily refresh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Fundamentals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fund:{instrument_id}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24h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Daily refresh</w:t>
            </w:r>
          </w:p>
        </w:tc>
      </w:tr>
    </w:tbl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9.2 Latency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p99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Dashboard (cached)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&lt;500ms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&lt;2s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Portfolio sync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&lt;3s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&lt;8s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Full analysis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&lt;15s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&lt;30s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Template explanation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&lt;10ms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&lt;50ms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CLI explanation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&lt;3s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&lt;8s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Kill switch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&lt;500ms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&lt;1s</w:t>
            </w:r>
          </w:p>
        </w:tc>
      </w:tr>
    </w:tbl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9.3 DB Optimization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Partitioning: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price_history by month. audit_log by month. Auto-create 3 months ahead.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Indexing: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Composite on (instrument_id, timestamp). Partial on active positions. GIN on JSONB.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Pooling: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SQLAlchemy async, pool_size=20, max_overflow=10.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Archival: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&gt;2yr data to archive tables. Keep aggregates.</w:t>
      </w:r>
    </w:p>
    <w:p>
      <w:pPr>
        <w:sectPr>
          <w:headerReference w:type="default" r:id="rId22"/>
          <w:footerReference w:type="default" r:id="rId23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10. Deployment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10.1 $0 Local (Default)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6697A" w:sz="12"/>
              <w:bottom w:val="none" w:sz="0"/>
              <w:right w:val="none" w:sz="0"/>
            </w:tcBorders>
            <w:shd w:fill="E8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6697A"/>
                <w:sz w:val="21"/>
                <w:szCs w:val="21"/>
              </w:rPr>
              <w:t xml:space="preserve">Docker Compose: PostgreSQL + Redis + FastAPI + Celery + Next.js. Total: $0.</w:t>
            </w:r>
          </w:p>
        </w:tc>
      </w:tr>
    </w:tbl>
    <w:p>
      <w:pPr>
        <w:spacing w:after="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10.2 Degradation Without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Down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App cannot start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CRITICAL: total failure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Redis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 cache, no Celery, no session revocation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HIGH: degraded, security risk</w:t>
            </w:r>
          </w:p>
        </w:tc>
      </w:tr>
    </w:tbl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10.3 Hosted (Optional)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Backend: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Railway $5–$20/mo.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Frontend: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Vercel free tier.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DB: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Railway Postgres or Supabase free.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Redis: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Upstash free or Railway.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Total hosted: $20–$50/month.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10.4 CI/CD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GitHub Actions: lint + types + unit + conformance tests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Auto-deploy staging on merge. Manual promote to prod.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Alembic migrations auto-run. Rollback always available.</w:t>
      </w:r>
    </w:p>
    <w:p>
      <w:pPr>
        <w:sectPr>
          <w:headerReference w:type="default" r:id="rId24"/>
          <w:footerReference w:type="default" r:id="rId25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11. Monitoring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11.1 Health Checks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/health: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DB + Redis + Celery.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/health/brokers: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Connection status, token freshness, features.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/health/data: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Pipeline freshness per source. Flags stale.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11.2 Alerting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API errors &gt;5%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Warning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Email alert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API errors &gt;15%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Critical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Auto kill switch + notify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Broker sync 3x fail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Warning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Email user + system alert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 source &gt;30min down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Warning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Flag analysis as stale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Kill switch activated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Critical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Notify all admins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Unexpected holiday detected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Info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Auto-create calendar override</w:t>
            </w:r>
          </w:p>
        </w:tc>
      </w:tr>
    </w:tbl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11.3 Logging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Format: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Structured JSON (timestamp, level, service, event, user_id, metadata).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Sensitive: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NEVER log tokens, passwords, financial data. Mask to last 4 chars.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Retention: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30d hot. Cold per audit policy.</w:t>
      </w:r>
    </w:p>
    <w:p>
      <w:pPr>
        <w:spacing w:after="200"/>
      </w:pPr>
    </w:p>
    <w:p>
      <w:pPr>
        <w:pBdr>
          <w:bottom w:val="single" w:color="76D7C4" w:sz="4" w:space="1"/>
        </w:pBd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End of Tech Spec v1.2</w:t>
      </w:r>
    </w:p>
    <w:p>
      <w:pPr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InvestIQ • March 2026</w:t>
      </w:r>
    </w:p>
    <w:sectPr>
      <w:headerReference w:type="default" r:id="rId26"/>
      <w:footerReference w:type="default" r:id="rId2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v1.2 • 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v1.2 • Confidential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v1.2 • Confidential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v1.2 • Confidential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v1.2 • Confidential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v1.2 • Confidential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v1.2 • Confidential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v1.2 • Confidential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v1.2 • Confidential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v1.2 • Confidential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v1.2 •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14"/>
    <w:lvlOverride w:ilvl="0">
      <w:startOverride w:val="1"/>
    </w:lvlOverride>
  </w:num>
  <w:num w:numId="10">
    <w:abstractNumId w:val="16"/>
    <w:lvlOverride w:ilvl="0">
      <w:startOverride w:val="1"/>
    </w:lvlOverride>
  </w:num>
  <w:num w:numId="11">
    <w:abstractNumId w:val="18"/>
    <w:lvlOverride w:ilvl="0">
      <w:startOverride w:val="1"/>
    </w:lvlOverride>
  </w:num>
  <w:num w:numId="12">
    <w:abstractNumId w:val="20"/>
    <w:lvlOverride w:ilvl="0">
      <w:startOverride w:val="1"/>
    </w:lvlOverride>
  </w:num>
  <w:num w:numId="13">
    <w:abstractNumId w:val="22"/>
    <w:lvlOverride w:ilvl="0">
      <w:startOverride w:val="1"/>
    </w:lvlOverride>
  </w:num>
  <w:num w:numId="14">
    <w:abstractNumId w:val="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669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20"/>
      <w:outlineLvl w:val="2"/>
    </w:pPr>
    <w:rPr>
      <w:rFonts w:ascii="Arial" w:cs="Arial" w:eastAsia="Arial" w:hAnsi="Arial"/>
      <w:b/>
      <w:bCs/>
      <w:color w:val="1A20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2026-03-07T17:56:29.320Z</dcterms:created>
  <dcterms:modified xsi:type="dcterms:W3CDTF">2026-03-07T17:56:29.321Z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