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[1] Miguel Arana-Catania, Felix-Anselm van Lier, Rob Procter, Nataliya Tkachenko, Yulan He, Arkaitz Zubiaga, and Maria Liakata. 2021.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Citizen participation and machine learning for a better democracy. Digital Government: Research and Practice 2, 3 (2021), 27:1–27:22.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[3] Emilio Feliciano de Oliveira and Milene Selbach Silveira. 2018. Open government data in Brazil a systematic review of its uses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issues. In Proceedings of the 19th Annual International Conference on Digital Government Research: Governance in the Data Age, DG.O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2018. Marijn Janssen, Soon Ae Chun, and Vishanth Weerakkody (Eds.), ACM, 60:1–60:9. DOI:https://doi.org/10.1145/3209281.3209339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[4] Kellyton dos Santos Brito, Marcos Antônio da Silva Costa, Vinicius Cardoso Garcia, and Silvio Romero de Lemos Meira. 2014. Ex-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periences integrating heterogeneous government open data sources to deliver services and promote transparency in Brazil. In Pro-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ceedings of the IEEE 38th Annual Computer Software and Applications Conference, (COMPSAC’14). IEEE Computer Society, 606–607.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DOI:https://doi.org/10.1109/COMPSAC.2014.87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[6] Ademir Cristiano Gabardo and Heitor Silvério Lopes. 2014. Using social network analysis to unveil cartels in public bids. In Proceedings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2014 European Network Intelligence Conference, ENIC 2014. IEEE Computer Society, 17–21. DOI:https://doi.org/10.1109/ENIC.2014.11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[8] Bambang Leo Handoko and Ameliya Rosita. 2022. The effect of skepticism, big data analytics to financial fraud detection moderated by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forensic accounting. In Proceedings of the 2022 6th International Conference on E-Commerce, E-Business and E-Government. 59–66.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[9] Hsun-Ping Hsieh, JiaWei Jiang, Tzu-Hsin Yang, Renfen Hu, and Cheng-Lin Wu. 2021. Predicting the success of mediation requests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case properties and textual information for reducing the burden on the court. Digital Government: Research and Practice 2,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(2021), 30:1–30:18. DOI:https://doi.org/10.1145/3469233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