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[4] Thomas Eisenbarth, Christof Paar, and Björn Weghenkel. 2010. Building a side channel based disassembler. In Trans-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actions on Computational Science X, Lecture Notes in Computer Science 6340. Springer, Berlin. https://doi.org/10.1007/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978-3-642-17499-5_4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[5] Jungmin Park, Xiaolin Xu, Yier Jin, Domenic Forte, and Mark Tehranipoor. 2018. Power-based side-channel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instruction-level disassembler. In Proceedings of the 55th Annual Design Automation Conference (DAC’18). Associa-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tion for Computing Machinery, New York, NY, 1–6. https://doi.org/10.1145/3195970.3196094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[6] Varghese M. Vaidyan and Akhilesh Tyagi. 2020. Instruction level disassembly through electromagnetic side-chanel: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Machine learning classification approach with reduced combinatorial complexity. In Proceedings of the 3rd Interna-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tional Conference on Signal Processing and Machine Learning (SPML 20’20). Association for Computing Machinery,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New York, NY, 124–130. https://doi.org/10.1145/3432291.3432300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[7] Daehyun Strobel, Florian Bache, David Oswald, Falk Schellenberg, and Christof Paar. 2015. Scandalee:Aside-channel-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disassembler using local electromagnetic emanations. In Proceedings of the Design, Automation &amp; Test in Europe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Conference &amp; Exhibition (DATE’15). EDA Consortium, San Jose, CA, 139–144.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[8] Valence Cristiani, Maxime Lecomte, and Thomas Hiscock. 2019. A bit-level approach to side channel based disas-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sembling. In Proceedings of Smart Card Research and Advanced Applications (CARDIS’19), Lecture Notes in Computer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Science, Vol. 11833. Springer, Cham. https://doi.org/10.1007/978-3-030-42068-0_9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[12] John Wharton. 1980. An introduction to the intel MCS-51 SingleChip Microcomputer Family. Application Note AP-69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(May 1980), Intel Corporation.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[27] J. Van Geest and I. Buhan. 2022. A side-channel-based disassembler for the ARM-Cortex M0. In Proceedings of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Applied Cryptography and Network Security Workshops (ACNS’22). Cham’ Springer International Publishing,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183–199.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