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[39] P. Xu, X. Zhang, C. Hao, Y. Zhao, Y. Zhang, Y. Wang et al. 2020. AutoDNNchip: An automated DNN chip predictor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 builder for both FPGAs and ASICs. In Proceedings of the Conference on Field Programmable Gate Arrays (FPGA’20).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40–50.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[37] H.-S. Wang, X. Zhu, L.-S. Peh, and S. Malik. 2002. Orion: A power-performance simulator for interconnection networks.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InProceedings of the Annual IEEE/ACM International Symposium on Microarchitecture (MICRO’02). 294–395.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[34] Y. S. Shao, B. Reagen, G. -Y. Wei, and D. Brooks. 2014. Aladdin: A Pre-RTL, power-performance accelerator simula-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tor enabling large design space exploration of customized architectures. In Proceedings of the Annual International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Symposium on Computer Architecture (ISCA’14). 97–108.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[33] P. Sengupta, A. Tyagi, Y. Chen, and J. Hu. 2022. How good is your verilog RTL code? A quick answer from machine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learning. In Proceedings of the International Conference on Computer-Aided Design (ICCAD’22).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[27] S. D. Manasi, F. S. Snigdha, and S. S. Sapatnekar. 2018. NeuPart: Using analytical models to drive energy-efficient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partitioning of CNN computations on cloud-connected mobile clients. IEEE TVLSI 28, 8 (2018), 1844–1857.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[15] A. B. Kahng, B. Lin, and S. Nath. 2015. ORION3.0: A comprehensive NoC router estimation tool. IEEE Embed. Syst.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Lett. 7, 2 (2015), 41–45.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[19] W. Lee, Y. Kim, J. H. Ryoo, D. Sunwoo, A. Gerstlauer, and L. K. John. 2015. PowerTrain: A learning-based calibration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of McPAT power models. Proceedings of the International Symposium on Low Power Electronics and Design (ISLPED’15).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189–194.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[21] S. Li, J. H. Ahn, R. D. Strong, J. B. Brockman, D. M. Tullsen, and N. P. Jouppi. 2009. McPAT: An integrated power, area, and timing modeling framework for multicore and manycore architectures. In Proceedings of the Annual IEEE/ACM International Symposium on Microarchitecture (MICRO’09).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[8] S. Dai, Y. Zhou, H. Zhang, E. Ustun, E. F. Y. Young, and Z. Zhang. 2018. Fast and accurate estimation of quality 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results in high-level synthesis with machine learning. In Proceedings of the Annual International Symposium on Field-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Programmable Custom Computing Machines (FCCM’18). 129–132.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[18] F. Last and U. Schlichtmann. 2021. Feeding hungry models less: Deep transfer learning for embedded memory PPA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models. In Proceedings of the ACM/IEEE Workshop on Machine Learning for CAD (MLCAD’21). 1–6.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[24] Z. Lin, J. Zhao, S. Sinha, and W. Zhang. 2020. HL-Pow: A learning-based power modeling framework for high-level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synthesis. In Proceedings of the Asia and South Pacific Design Automation Conference (ASP-DAC’20). 574–580.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[20] F. Li, Y. Wang, C. Liu, H. Li, and X. Li. 2022. NoCeption: A fast PPA prediction framework for network-on-chips using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graph neural network. In Proceedings of the Conference on Design, Automation and Test in Europe (DATE’22).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[7] C. K. Cheng, C. Holtz, A. B. Kahng, B. Lin, and U. Mallappa. 2023. DAGSizer: A directed graph convolutional network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approach to discrete gate sizing of VLSI graphs. ACM TODAES 28, 4 (2023), 1–31.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