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[10] Stephen Checkoway, Damon McCoy, Brian Kantor, Danny Anderson, Hovav Shacham, Stefan Savage, Karl Koscher,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Alexei Czeskis, Franziska Roesner, and Tadayoshi Kohno. 2011. Comprehensive experimental analyses of automotive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attack surfaces. In USENIX Security Symposium, Vol. 4. San Francisco, 2021.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[3] Aiman Al-Sabaawi, Khamael Al-Dulaimi, Ernest Foo, and Mamoun Alazab. 2021. Addressing malware attacks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connected and autonomous vehicles: Recent techniques and challenges. Malware Analysis using Artificial Intelligence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Deep Learning (2021), 97–119.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[23] Shah Khalid Khan, Nirajan Shiwakoti, Peter Stasinopoulos, and Yilun Chen. 2020. Cyber-attacks in the next-generation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cars, mitigation techniques, anticipated readiness and future directions. Accident Analysis &amp; Prevention 148 (2020),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105837.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[14] Zeinab El-Rewini, Karthikeyan Sadatsharan, Niroop Sugunaraj, Daisy Flora Selvaraj, Siby Jose Plathottam,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Prakash Ranganathan. 2020. Cybersecurity attacks in vehicular sensors. IEEE Sensors Journal 20, 22 (2020), 13752–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13767.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[45] Bas G. B. Stottelaar. 2015. Practical Cyber-Attacks on Autonomous Vehicles. Master’s thesis. University of Twente.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[12] Ludvig Christensen and Daniel Dannberg. 2019. Ethical hacking of IoT devices: OBD-II dongles.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[8] Yulong Cao, Chaowei Xiao, Dawei Yang, Jing Fang, Ruigang Yang, Mingyan Liu, and Bo Li. 2019. Adversarial objects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against LiDAR-based autonomous driving systems. arXiv preprint arXiv:1907.05418 (2019).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[31] Athanasios Moschos, Kevin Valakuzhy, and Angelos D. Keromytis. 2022. On the feasibility of remotely triggered auto-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motive hardware trojans. In 2022 International Conference on Electrical, Computer, Communications and Mechatronics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Engineering (ICECCME). IEEE, 1–6.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[13] Riccardo Coppola and Maurizio Morisio. 2016. Connected car: Technologies, issues, future trends. ACM Comput. Surv.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49, 3, Article 46 (Oct. 2016), 36 pages. https://doi.org/10.1145/2971482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