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[4] Usman Ahmed, Lubna Zafar, Faiza Qayyum, and Muhammad Arshad Islam. 2018. Irony detector at semeval-2018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3: Irony detection in english tweets using word graph. In Proceedings of the 12th International Workshop on Semantic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Evaluation. 581–586.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[6] Francesco Barbieri, Valerio Basile, Danilo Croce, Malvina Nissim, Nicole Novielli, and Viviana Patti. 2016.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 the evalita 2016 sentiment polarity classification task. In Proceedings of 3rd Italian Conference on Computational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Linguistics (CLiC-it 2016) and 5th Evaluation Campaign of Natural Language Processing and Speech Tools for Italian.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 Workshop (EVALITA’16).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[9] Yubo Chen, Shulin Liu, Xiang Zhang, Kang Liu, and Jun Zhao. 2017. Automatically labeled data generation for large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scale event extraction. In Proceedings of the 55th Annual Meeting of the Association for Computational Linguistics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(Volume 1: Long Papers). 409–419.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[10] Yuan Chen and Zhisheng Zhang. 2022. Exploring public perceptions on alternative meat in China from social media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using transfer learning method. Food Qual. Pref. 98 (2022), 104530.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[11] Shumin Deng, Ningyu Zhang, Jiaojian Kang, Yichi Zhang, Wei Zhang, and Huajun Chen. 2020. Meta-learning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dynamic-memory-based prototypical network for few-shot event detection. In Proceedings of the 13th International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Conference on Web Search and Data Mining. 151–159.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[17] S. Uma Maheswari and S. S. Dhenakaran. 2022. Analysis of approaches for irony detection in tweets for online prod-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ucts. In Innovations in Computational Intelligence and Computer Vision. Springer, 141–151.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[21] Emilio Sulis, Delia Irazú Hernández Farías, Paolo Rosso, Viviana Patti, and Giancarlo Ruffo. 2016. Figurative messages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affect in Twitter: Differences between# irony,# sarcasm and# not. Knowl.-Bas. Syst. 108 (2016), 132–143.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[22] Guixian Xu, Zixin Zhang, Ting Zhang, Shaona Yu, Yueting Meng, and Sijin Chen. 2022. Aspect-level sentiment clas-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sification based on attention-BiLSTM model and transfer learning. Knowl.-Bas. Syst. 245 (2022), 108586.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[23] Shiwei Zhang, Xiuzhen Zhang, Jeffrey Chan, and Paolo Rosso. 2019. Irony detection via sentiment-based transfer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learning. Inf. Process. Manage. 56, 5 (2019), 1633–1644.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