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[12] Mark Chen, Jerry Tworek, Heewoo Jun, Qiming Yuan, Henrique Ponde de Oliveira Pinto, Jared Kaplan, Harri Edwards,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Yuri Burda, Nicholas Joseph, Greg Brockman, et al. 2021. Evaluating Large Language Models Trained on Code. arXiv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preprint arXiv:2107.03374 (2021).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[68] Frank F Xu, Uri Alon, Graham Neubig, and Vincent Josua Hellendoorn. 2022. A Systematic Evaluation of Large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Language Models of Code. In ACM SIGPLAN International Symposium on Machine Programming (MAPS). 1–10. https: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//doi.org/10.1145/3520312.3534862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[50] OpenAI. 2023. GPT-4 Technical Report. ArXiv abs/2303.08774 (2023).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[71] Zibin Zheng, Kaiwen Ning, Jiachi Chen, Yanlin Wang, Wenqing Chen, Lianghong Guo, and Weicheng Wang. 2023.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Towards an Understanding of Large Language Models in Software Engineering Tasks. arXiv preprint arXiv:2308.11396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(2023).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[31] Xinyi Hou, Yanjie Zhao, Yue Liu, Zhou Yang, Kailong Wang, Li Li, Xiapu Luo, David Lo, John Grundy, and Haoyu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Wang. 2023. Large Language Models for Software Engineering: A Systematic Literature Review. arXiv preprint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arXiv:2308.10620 (2023).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[65] Moshi Wei, Nima Shiri Harzevili, Yuchao Huang, Junjie Wang, and Song Wang. 2022. Clear: Contrastive Learning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API Recommendation. In IEEE/ACM International Conference on Software Engineering (ICSE). 376–387. https: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//doi.org/10.1145/3510003.3510159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[18] Sakina Fatima, Taher A Ghaleb, and Lionel Briand. 2022. Flakify: A Black-box, Language Model-based Predictor for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Flaky Tests. IEEE Transactions on Software Engineering (2022). https://doi.org/10.1109/TSE.2022.3201209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[70] Jialu Zhang, Todd Mytkowicz, Mike Kaufman, Ruzica Piskac, and Shuvendu K Lahiri. 2022. Using Pre-trained Language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Models to Resolve Textual and Semantic Merge Conicts (Experience Paper). In ACM International Symposium 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Software Testing and Analysis (ISSTA). 77–88. https://doi.org/10.1145/3533767.3534396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[48] Shantanu Mandal, Adhrik Chethan, Vahid Janfaza, SM Mahmud, Todd A Anderson, Javier Turek, Jesmin Jahan Tithi,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Abdullah Muzahid. 2023. Large Language Models Based Automatic Synthesis of Software Specications. arXiv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preprint arXiv:2304.09181 (2023).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[30] Tobias Hey, Jan Keim, Anne Koziolek, and Walter F Tichy. 2020. Norbert: Transfer Learning for Requirements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Classication. In IEEE International Requirements Engineering Conference (RE). IEEE, 169–179. https://doi.org/10.1109/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RE48521.2020.00028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[1] 2023. ChatGPT Plugins. Retrieved September 25, 2023 from https://openai.com/blog/chatgpt-plugins#code-interpreter.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