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[5] Benjamin Ampel, Sagar Samtani, Steven Ullman, and Benjamin Ampel. 2021. Linking Common vulnerabilities and exposures to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MITRE ATT&amp;CK framework: A self-distillation approach. CoRR abs/2108.01696 (2021). https://arxiv.org/abs/2108.01696.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[6] Yevonnael Andrew, Charles Lim, and Eka Budiarto. 2022. Mapping linux shell commands to MITRE ATT&amp;CK using NLP-based approach.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Proceedings of the International Conference on Electrical Engineering and Informatics (ICELTICs’22). 37–42. https://doi.org/10.1109/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ICELTICs56128.2022.9932097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[22] Aditya Kuppa, Lamine Aouad, and Nhien-An Le-Khac. 2021. Linking CVE’s to MITRE ATT&amp;CK techniques. In Proceedings of the 16th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International Conference on Availability, Reliability and Security (ARES’21). Association for Computing Machinery, New York, NY, Article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21, 12 pages. https://doi.org/10.1145/3465481.3465758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[23] Valentine Legoy, Marco Caselli, Christin Seifert, and Andreas Peter. 2020. Automated retrieval of att&amp;ck tactics and techniques for cyber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threat reports. arXiv:2004.14322. Retrieved from https://arxiv.org/abs/2004.14322.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[24] Swee Kiat Lim, Aldrian Obaja Muis, Wei Lu, and Chen Hui Ong. 2017. MalwareTextDB: A database for annotated malware articles.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Proceedings of the 55th Annual Meeting of the Association for Computational Linguistics (Volume 1: Long Papers). Association 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Computational Linguistics, 1557–1567. https://doi.org/10.18653/v1/P17-1143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[40] Zhaohui Zheng, Xiaoyun Wu, and Rohini Srihari. 2004. Feature selection for text categorization on imbalanced data. SIGKDD Explor.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Newsl. 6, 1 (Jun. 2004), 80–89. https://doi.org/10.1145/1007730.1007741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