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[3] Clemens Scott Kruse, Benjamin Frederick, Taylor Jacobson, and D. Kyle Monticone. 2017. Cybersecurity in healthcare: A systematic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review of modern threats and trends. Technology and Health Care 25, 1 (2017), 1–10.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[15] Ellen W. Clayton, Colin M. Halverson, Nila A. Sathe, and Bradley A. Malin. 2018. A systematic literature review of individuals’ per-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spectives on privacy and genetic information in the United States. PLOS One 13, 10 (2018), e0204417.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[16] Alaa A. Abd-Alrazaq, Bridgette M. Bewick, Tracey Farragher, and Peter Gardner. 2019. Factors that affect the use of electronic personal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health records among patients: A systematic review. International Journal of Medical Informatics 126 (2019), 164–175.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[17] Clemens Scott Kruse, Darcy A. Argueta, Lynsey Lopez, and Anju Nair. 2015. Patient and provider attitudes toward the use of patient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portals for the management of chronic disease: A systematic review. Journal of Medical Internet Research 17, 2 (2015), e3703.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[18] Mohammad S. Jalali, Sabina Razak, William Gordon, Eric Perakslis, and Stuart Madnick. 2019. Health care and cybersecurity: Biblio-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metric analysis of the literature. Journal of Medical Internet Research 21, 2 (2019), e12644.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[19] Sokratis Nifakos, Krishna Chandramouli, Charoula Konstantina Nikolaou, Panagiotis Papachristou, Sabine Koch, Emmanouil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Panaousis, and Stefano Bonacina. 2021. Influence of human factors on cyber security within healthcare organisations: A systematic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review. Sensors 21, 15 (2021), 5119.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[20] Shilan S. Hameed, Wan Haslina Hassan, Liza Abdul Latiff, and Fahad Ghabban. 2021. A systematic review of security and privacy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issues in the internet of medical things; the role of machine learning approaches. PeerJ Computer Science 7 (2021), e414.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[21] Bakheet Aljedaani and M. Ali Babar. 2021. Challenges with developing secure mobile health applications: Systematic review. JMIR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mHealth and uHealth 9, 6 (2021), e15654.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[22] Katarzyna Kolasa, Francesca Mazzi, Ewa Leszczuk-Czubkowska, Zsombor Zrubka, and Márta Péntek. 2021. State-of-the-art in adoption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of contact tracing apps and recommendations regarding privacy protection and public health: Systematic review. JMIR mHealth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uHealth 9, 6 (2021), e23250.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[23] Valerie J. M. Watzlaf, Leming Zhou, Dilhari R. DeAlmeida, and Linda M. Hartman. 2017. A systematic review of research studies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examining telehealth privacy and security practices used by healthcare providers. International Journal of Telerehabilitation 9, 2 (2017),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39.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