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[62] Ville Vakkuri, Kai-Kristian Kemell, Joni Kultanen, Mikko Siponen, and Pekka Abrahamsson. 2019. Ethically aligned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of autonomous systems: Industry viewpoint and an empirical study. Electronic Journal of Business Ethics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Organization Studies 27, 1 (2022), 4–15.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[15] Leah Govia. 2020. Coproduction, ethics and artificial intelligence: A perspective from cultural anthropology. Journal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 Digital Social Research 2, 3 (2020), 42–64. DOI:https://doi.org/10.33621/jdsr.v2i3.53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[8] Eleni Christodoulou and Kalypso Iordanou. 2021. Democracy under attack: Challenges of addressing ethical issues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 AI and big data for more democratic digital media and societies. Frontiers in Political Science 3 (2021), 682945.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DOI:https://doi.org/10.3389/fpos.2021.682945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[41] Will Orr and Jenny L. Davis. 2020. Attributions of ethical responsibility by Artificial Intelligence practitioners. Infor-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mation, Communication &amp; Society 23, 5 (2020), 719–735. DOI:https://doi.org/10.1080/1369118X.2020.1713842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[31] Michael Madaio, Lisa Egede, Hariharan Subramonyam, Jennifer Wortman Vaughan, and Hanna Wallach. 2022. As-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sessing the fairness of AI systems: AI practitioners’ processes, challenges, and needs for support. Proceedings of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ACM on Human-Computer Interaction 6, CSCW1 (2022), 1–26. DOI:https://doi.org/10.1145/3512899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[46] Bogdana Rakova, Jingying Yang, Henriette Cramer, and Rumman Chowdhury. 2021. Where responsible AI meets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reality: Practitioner perspectives on enablers for shifting organizational practices. Proceedings of the ACM on Human-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Computer Interaction 5, CSCW1 (2021), 1–23. DOI:https://doi.org/10.1145/3449081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[19] Kenneth Holstein, Jennifer Wortman Vaughan, Hal Daumé III, Miro Dudik, and Hanna Wallach. 2019. Improving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fairness in machine learning systems: What do industry practitioners need?. In Proceedings of the 2019 CHI Conference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Human Factors in Computing Systems. 1–16. DOI:https://doi.org/10.1145/3290605.3300830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[31] Michael Madaio, Lisa Egede, Hariharan Subramonyam, Jennifer Wortman Vaughan, and Hanna Wallach. 2022. As-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sessing the fairness of AI systems: AI practitioners’ processes, challenges, and needs for support. Proceedings of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ACM on Human-Computer Interaction 6, CSCW1 (2022), 1–26. DOI:https://doi.org/10.1145/3512899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[49] Conrad Sanderson, David Douglas, Qinghua Lu, Emma Schleiger, Jon Whittle, Justine Lacey, Glenn Newnham, Stefan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Hajkowicz, Cathy Robinson, and David Hansen. 2023. AI ethics principles in practice: Perspectives of designers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developers. IEEE Transactions on Technology and Society 4, 2 (2023), 171–187. DOI:https://doi.org/10.1109/TTS.2023.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3257303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[21] Javier Camacho Ibáñez and Mónica Villas Olmeda. 2022. Operationalising AI ethics: How are companies bridging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gap between practice and principles? An exploratory study. AI &amp; SOCIETY 37, 4 (2022), 1663–1687. DOI:https: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//doi.org/10.1007/s00146-021-01267-0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[41] Will Orr and Jenny L. Davis. 2020. Attributions of ethical responsibility by Artificial Intelligence practitioners. Infor-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mation, Communication &amp; Society 23, 5 (2020), 719–735. DOI:https://doi.org/10.1080/1369118X.2020.1713842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[48] Mark Ryan, Josephina Antoniou, Laurence Brooks, Tilimbe Jiya, Kevin Macnish, and Bernd Stahl. 2021. Research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practice of AI ethics: A case study approach juxtaposing academic discourse with organisational reality. Science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Engineering Ethics 27, 16 (2021), 1–29. DOI:https://doi.org/10.1007/s11948-021-00293-x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[63] Michael Veale, Max Van Kleek, and Reuben Binns. 2018. Fairness and accountability design needs for algorithmic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support in high-stakes public sector decision-making. In Proceedings of the 2018 CHI conference on Human Factors 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Computing Systems. 1–14. DOI:https://doi.org/10.1145/3173574.3174014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[19] Kenneth Holstein, Jennifer Wortman Vaughan, Hal Daumé III, Miro Dudik, and Hanna Wallach. 2019. Improving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fairness in machine learning systems: What do industry practitioners need?. In Proceedings of the 2019 CHI Conference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Human Factors in Computing Systems. 1–16. DOI:https://doi.org/10.1145/3290605.3300830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[57] Ville Vakkuri, Kai-Kristian Kemell, and Pekka Abrahamsson. 2019. Ethically aligned design: An empirical evaluation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 resolvedd-strategy in software and systems development context. In Proceedings of the 2019 45th Euromicro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Conference on Software Engineering and Advanced Applications. IEEE, 46–50. DOI:https://doi.org/10.1109/SEAA.2019.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00015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[32] Ryan Mark and Gregory Anya. 2019. Ethics of using smart city AI and big data: The case of four large European cities.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ORBIT Journal 2, 2 (2019), 1–36. DOI:https://doi.org/10.29297/orbit.v2i2.110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[8] Eleni Christodoulou and Kalypso Iordanou. 2021. Democracy under attack: Challenges of addressing ethical issues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of AI and big data for more democratic digital media and societies. Frontiers in Political Science 3 (2021), 682945.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DOI:https://doi.org/10.3389/fpos.2021.682945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[52] Bernd Carsten Stahl, Josephina Antoniou, Mark Ryan, Kevin Macnish, and Tilimbe Jiya. 2022. Organisational re-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sponses to the ethical issues of artificial intelligence. AI &amp; SOCIETY 37, 1 (2022), 23–37. DOI:https://doi.org/10.1007/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s00146-021-01148-6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