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[32] Mafkereseb Kassahun Bekele, Roberto Pierdicca, Emanuele Frontoni, Eva Savina Malinverni, and James Gain. 2018. A survey 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augmented, virtual, and mixed reality for cultural heritage. Journal on Computing and Cultural Heritage (JOCCH) 11, 2 (Mar. 2018),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1–36. DOI: 10.1145/3145534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[22] Lorenzo Stacchio, Claudia Scorolli, and Gustavo Marfia. 2022. Evaluating human aesthetic and emotional aspects of 3D generated content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through eXtended Reality. In Proceedings of the 2nd Workshop on Artificial Intelligence and Creativity Co-located with 22nd International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Conference of the Italian Association for Artificial Intelligence (AIxIA 2023), CEUR Workshop Proceedings 3528, CEUR-WS.org 2023. 38-49.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Retrieved from https://ceur-ws.org/Vol-3519/paper4.pdf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[23] Elena Morotti, Lorenzo Stacchio, Lorenzo Donatiello, Marco Roccetti, Jari Tarabelli, and Gustavo Marfia. 2022. Exploiting fashion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x-commerce through the empowerment of voice in the fashion virtual reality arena: Integrating voice assistant and virtual reality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technologies for fashion communication. Virtual Reality 26, 871–884. DOI: 10.1007/s10055-021-00602-6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[24] Suzanne Sarraf. 1999. A survey of museums on the web: Who uses museum websites? Curator: The Museum Journal 42, 3 (Jul. 1999),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231–243. DOI: 10.1111/J.2151-6952.1999.TB01143.X. Retrieved from https://onlinelibrary.wiley.com/doi/full/10.1111/j.2151-6952.1999.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tb01143.x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[25] Darren Peacock. 2022. Statistics, Structures &amp; Satisfied Customers: Using Web Log Data to Improve Site Performance. Retrieved from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https://eric.ed.gov/?id=ED482104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[26] Loris Barbieri, Fabio Bruno, and Maurizio Muzzupappa. Virtual museum system evaluation through user studies. Journal of Cultural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Heritage 26 (Jul. 2017), 101–108. DOI: 10.1016/J.CULHER.2017.02.005. Retrieved from URL https://www.sciencedirect.com/science/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article/abs/pii/S1296207416303016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[27] Bruno Fanini and Luigi Cinque. 2020. Encoding, exchange and manipulation of captured immersive VR sessions for learning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environments: The PRISMIN framework. Applied Sciences 10, 6 (Mar. 2020), 2026. DOI: 10.3390/APP10062026. Retrieved from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https://www.mdpi.com/2076-3417/10/6/2026/html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[28] Ramona Quattrini, Roberto Pierdicca, Marina Paolanti, Paolo Clini, Romina Nespeca, and Emanuele Frontoni. 2020. Digital interaction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 3D archaeological artefacts: Evaluating user’s behaviours at different representation scales. Digital Applications in Archaeology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Cultural Heritage 18 (2020), e00148. DOI: 10.1016/j.daach.2020.e00148. Retrieved from https://www.sciencedirect.com/science/article/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abs/pii/S2212054819301018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[29] Roberto Pierdicca, Michele Sasso, Flavio Tonetto, Francesca Bonelli, Andrea Felicetti, and Marina Paolanti. 2021. Immersive insights: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Virtual tour analytics system for understanding visitor behavior. In Augmented Reality, Virtual Reality, and Computer Graphics. L. 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 Paolis, P. Arpaia, and P. Bourdot. (Eds.), Lecture Notes in Computer Science, Vol. 12980, Springer Science and Business Media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Deutschland GmbH, 135–155. DOI: 10.1007/978-3-030-87595-4_11/COVER. Retrieved from https://link.springer.com/chapter/10.1007/978-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3-030-87595-4_11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[30] Jeremy Tzi-Dong Ng, Weichen Liu, Xiao Hu, and Tzyy-Ping Jung. 2020 Evaluation of low-end virtual reality content of cultural heritage: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preliminary study with eye movement. In Proceedings of the ACM/IEEE Joint Conference on Digital Libraries in 2020 (JCDL ’20).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Association for Computing Machinery, New York, NY, 365–368. DOI: 10.1145/3383583.3398603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[31] David Nicholas and David Clark. 2014. Information seeking behaviour and usage on a multi-media platform: Case study Europeana. 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Library and Information Sciences. C. Chen and R. Larsen (Eds.), Springer, Berlin, 57–78. DOI: 10.1007/978-3-642-54812-3_6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[32] Mafkereseb Kassahun Bekele, Roberto Pierdicca, Emanuele Frontoni, Eva Savina Malinverni, and James Gain. 2018. A survey of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augmented, virtual, and mixed reality for cultural heritage. Journal on Computing and Cultural Heritage (JOCCH) 11, 2 (Mar. 2018),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1–36. DOI: 10.1145/3145534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