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Cited papers in related 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[20] D. Wang and J. Chen, ‘‘Supervised speech separation based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deep learning: An overview,’’ IEEE/ACM Trans. Audio, Speech, Lan-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guage Process., vol. 26, no. 10, pp. 1702–1726, Oct. 2018, doi: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10.1109/TASLP.2018.2842159.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[21] L. Pfeifenberger and F. Pernkopf, ‘‘Nonlinear residual echo suppression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a recurrent neural network,’’ in Proc. Interspeech, Oct. 2020,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pp. 3950–3954, doi: 10.21437/interspeech.2020-1473.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[22] H. Zhang and D. Wang, ‘‘Deep learning for acoustic echo cancellation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noisy and double-talk scenarios,’’ in Proc. Interspeech, Sep. 2018,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pp. 1–26, doi: 10.21437/interspeech.2018-1484.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[23] A. Fazel, M. El-Khamy, and J. Lee, ‘‘Deep multitask acoustic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cancellation,’’ in Proc. Interspeech, 2019, pp. 4250–4254, doi: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10.21437/Interspeech.2019-2908.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[24] H. Zhang, K. Tan, and D. Wang, ‘‘Deep learning for joint acoustic echo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noise cancellation with nonlinear distortions,’’ in Proc. Interspeech,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Sep. 2019, pp. 4255–4259, doi: 10.21437/interspeech.2019-2651.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[25] Y. Zhang, C. Deng, S. Ma, Y. Sha, and H. Song, ‘‘Deep multi-task network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delay estimation and echo cancellation,’’ 2020, arXiv:2011.02109.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[26] N. L. Westhausen and B. T. Meyer, ‘‘Dual-signal transformation LSTM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network for real-time noise suppression,’’ in Proc. Interspeech, Oct. 2020,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pp. 2477–2481, doi: 10.21437/interspeech.2020-2631.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[27] N. Sun, H. Liu, L. Gan, Y. Zhao, Z. Luo, and Y. Zhou, ‘‘Time-frequency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complex mask network for echo cancellation and noise suppression,’’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Proc. IEEE 24th Int. Conf. High Perform. Comput. Commun., 8th Int. Conf.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Sci. Systems, 20th Int. Conf. Smart City, 8th Int. Conf. Dependability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Sensor, Cloud Big Data Syst. Appl. (HPCC/DSS/SmartCity/DependSys),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Dec. 2022, pp. 2275–2279.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[28] J. C. Brown, ‘‘Calculation of a constant Q spectral transform,’’ J. Acoust.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Soc. Amer., vol. 89, no. 1, pp. 425–434, Jan. 1991.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[29] A. T. Patil, K. Khoria, and H. A. Patil, ‘‘Voice liveness detection using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constant-Q transform-based features,’’ in Proc. 30th Eur. Signal Process.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Conf. (EUSIPCO), Aug. 2022, pp. 110–114.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[30] Z. Shi, H. Lin, L. Liu, R. Liu, and J. Han, ‘‘Is CQT more suitable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monaural speech separation than STFT? An empirical study,’’ 2019,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arXiv:1902.00631.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[31] R. Hemavathi and R. Kumaraswamy, ‘‘A study on unsupervised monaural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reverberant speech separation,’’ Int. J. Speech Technol., vol. 23, no. 2,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pp. 451–457, Jun. 2020, doi: 10.1007/s10772-020-09706-x.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[32] N. Holighaus, M. Dörfler, G. A. Velasco, and T. Grill, ‘‘A framework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invertible, real-time constant-Q transforms,’’ IEEE Trans. Audio,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Speech, Language Process., vol. 21, no. 4, pp. 775–785, Apr. 2013, doi: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10.1109/TASL.2012.2234114.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[33] A. Vaswani, N. Shazeer, N. Parmar, J. Uszkoreit, L. Jones, A. N. Gomez,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L. Kaiser, and I. Polosukhin, ‘‘Attention is all you need,’’ 2017,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arXiv:1706.03762.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[34] C. Subakan, M. Ravanelli, S. Cornell, M. Bronzi, and J. Zhong,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‘‘Attention is all you need in speech separation,’’ in Proc. IEEE Int. Conf.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Acoust., Speech, Signal Process. (ICASSP), Jun. 2021, pp. 21–25, doi: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10.1109/ICASSP39728.2021.9413901.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[36] L. Xu, Z. Wei, S. F. A. Zaidi, B. Ren, and J. Yang, ‘‘Speech enhancement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based on nonnegative matrix factorization in constant-Q frequency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domain,’’ Appl. Acoust., vol. 174, Mar. 2021, Art. no. 107732, doi: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10.1016/j.apacoust.2020.107732.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[39] X. Sun, C. Cao, Q. Li, L. Wang, and F. Xiang, ‘‘Explore relative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context information with transformer for joint acoustic echo cancellation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speech enhancement,’’ in Proc. IEEE Int. Conf. Acoust., Speech Signal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Process. (ICASSP), May 2022, pp. 9117–9121.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[40] Y. Zhang, X. Xu, and W. Tu, ‘‘Improving acoustic echo cancellation by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exploring speech and echo affinity with multi-head attention,’’ in Proc.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IEEE Int. Conf. Acoust., Speech Signal Process. (ICASSP), Apr. 2024,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pp. 401–405.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