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[3] M. O. Topal, A. Bas, and I. van Heerden, ‘‘Exploring transform-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ers in natural language generation: GPT, BERT, and XLNet,’’ 2021,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arXiv:2102.08036.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[5] O. S. Shalom, H. Roitman, and P. Kouki, ‘‘Natural language 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recommender systems,’’ in Recommender Systems Handbook, F. Ricci,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L. Rokach, and B. Shapira, Eds. New York, NY, USA: Springer, 2021,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pp. 447–483.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[8] F. Sun, J. Liu, J. Wu, C. Pei, X. Lin, W. Ou, and P. Jiang, ‘‘BERT4Rec: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Sequential recommendation with bidirectional encoder representations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transformer,’’ in Proc. 28th ACM Int. Conf. Inform. Knowl. Manage.,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Nov. 2019, pp. 1441–1450.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[14] A. Vaswani, N. Shazeer, N. Parmar, J. Uszkoreit, L. Jones, A. N. Gomez,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I. Polosukhin, ‘‘Attention is all you need,’’ in Proc. Adv. Neural Inform.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Process. Syst., vol. 30, 2017, pp. 1–11.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[15] H. Wang, J. Li, H. Wu, E. Hovy, and Y. Sun, ‘‘Pre-trained language models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their applications,’’ Engineering, vol. 25, pp. 51–65, Jun. 2022.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[16] F. Zhang, G. An, and Q. Ruan, ‘‘Transformer-based natural language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understanding and generation,’’ in Proc. 16th IEEE Int. Conf. Signal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Process. (ICSP), vol. 1, Oct. 2022, pp. 281–284.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[17] B. Wang, Q. Huang, B. Deb, A. Halfaker, L. Shao, D. McDuff,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J. Gao, ‘‘Logical transformers: Infusing logical structures into pre-trained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language models,’’ in Proc. Findings Assoc. Comput. Linguist. (ACL),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Jul. 2023, pp. 1762–1773.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[18] J. Devlin, M.-W. Chang, K. Lee, and K. Toutanova, ‘‘BERT: Pre-training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deep bidirectional transformers for language understanding,’’ 2018,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arXiv:1810.04805.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[19] G. Yenduri, G. Srivastava, P. K. R. Maddikunta, R. H. Jhaveri, W. Wang,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V. Vasilakos, and T. R. Gadekallu, ‘‘Generative pre-trained transformer: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comprehensive review on enabling technologies, potential applications,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emerging challenges, and future directions,’’ 2023, arXiv:2305.10435.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[20] X. Yu, F. Jiang, J. Du, and D. Gong, ‘‘A cross-domain collaborative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filtering algorithm with expanding user and item features via the latent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factor space of auxiliary domains,’’ Pattern Recognit., vol. 94, pp. 96–109,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Oct. 2019.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[21] X. Yu, Q. Peng, L. Xu, F. Jiang, J. Du, and D. Gong, ‘‘A selective ensemble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learning based two-sided cross-domain collaborative filtering algorithm,’’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Inf. Process. Manage., vol. 58, no. 6, Nov. 2021, Art. no. 102691.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[22] F. Huang, Z. Wang, X. Huang, Y. Qian, Z. Li, and H. Chen, ‘‘Aligning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distillation for cold-start item recommendation,’’ in Proc. 46th Int. ACM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SIGIR Conf. Res. Develop. Inf. Retr., 2023, pp. 1147–1157.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[23] Y. Lu, K. Nakamura, and R. Ichise, ‘‘HyperRS: hypernetwork-based rec-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ommender system for the user cold-start problem,’’ IEEE Access, vol. 11,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pp. 5453–5463, 2023.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[24] C. Channarong, C. Paosirikul, S. Maneeroj, and A. Takasu, ‘‘Hybrid-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BERT4Rec: A hybrid (content-based filtering and collaborative filter-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ing) recommender system based on BERT,’’ IEEE Access, vol. 10,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pp. 56193–56206, 2022.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[25] X. Liu, G. Zhou, M. Kong, Z. Yin, X. Li, L. Yin, and W. Zheng, ‘‘Devel-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oping multi-labelled corpus of Twitter short texts: A semi-automatic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method,’’ Systems, vol. 11, no. 8, p. 390, Aug. 2023.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[26] X. Liu, S. Wang, S. Lu, Z. Yin, X. Li, L. Yin, J. Tian, and W. Zheng,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‘‘Adapting feature selection algorithms for the classification of Chinese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texts,’’ Systems, vol. 11, no. 9, p. 483, Sep. 2023.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[27] K. J. Lee, Y. Hwangbo, H. Jung, B. Jeong, and J. I. Park, ‘‘TransformRec: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User-centric recommender system for e-commerce using transformer,’’ 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Proc. 23rd Int. Center Electron. Commerce, 2022, pp. 171–178.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[28] D. Sangiorgi and Y. Eun, ‘‘Service design as an approach to new service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development: Reflections and future studies,’’ in Proc. ServDes. Service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Future, Proc. 4th Service Design Service Innov. Conf., Linköping Electron.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Conf., 2014, pp. 194–204.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[29] J. Wang, H. Guo, and J. Chen, ‘‘Research on extension innovation model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the creation process of service design,’’ Proc. Comput. Sci., vol. 199,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pp. 992–999, 2022.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[30] S. Pais, J. Cordeiro, and M. L. Jamil, ‘‘NLP-based platform as a ser-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vice: A brief review,’’ J. Big Data, vol. 9, no. 54, pp. 1–26, 2022, doi: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10.1186/s40537-022-00603-5.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[31] A. Copestake, Natural Language Processing: Part 1 of Lecture Notes (Ann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Copestake Lecture Note Series), Cambridge, U.K., 2003.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[32] D. M. Zajic, B. J. Dorr, and J. Lin, ‘‘Single-document and multi-document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summarization techniques for email threads using sentence compression,’’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Inf. Process. Manage., vol. 44, no. 4, pp. 1600–1610, Jul. 2008.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[33] M. A. Fattah and F. Ren, ‘‘GA, MR, FFNN, PNN and GMM based models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automatic text summarization,’’ Comput. Speech Lang., vol. 23, no. 1,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pp. 126–144, Jan. 2009.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[34] L. Fan, L. Li, Z. Ma, S. Lee, H. Yu, and L. Hemphill, ‘‘A bibliometric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review of large language models research from 2017 to 2023,’’ 2023,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arXiv:2304.02020.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[35] M. Liao and S. S. Sundar, ‘‘When e-commerce personalization systems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show and tell: Investigating the relative persuasive appeal of content-based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versus collaborative filtering,’’ J. Advertising, vol. 51, no. 2, pp. 256–267,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Mar. 2022.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[36] K. J. Lee, B. Jeong, Y. Hwangbo, S. Kim, and M. Yang, ‘‘Target marketing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methodology as a dual of user-centric hyper-personalized recommendation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systems for multi-merchant environments,’’ in Proc. Korea Soc. Manag.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Inf. Syst. Joint Spring Conf., Busan, South Korea, Jun. 2022.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[37] Q. Deng, K. Wang, M. Zhao, Z. Zou, R. Wu, J. Tao, and L. Chen,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‘‘Personalized bundle recommendation in online games,’’ in Proc. 29th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ACM Int. Conf. Inf. Knowl. Manage., Oct. 2020, pp. 2381–2388.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[38] M. Beladev, L. Rokach, and B. Shapira, ‘‘Recommender systems for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product bundling,’’ Knowl.-Based Syst., vol. 111, pp. 193–206, Nov. 2016.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[39] S. Kim, B. Jeong, G. Lee, Y. Cho, and K. J. Lee, ‘‘Product bundling 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co-marketing methodology through big data analysis of recommendation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 results,’’in Proc. Korea Intell. Inf. Syst. Soc. Fall Conf., Seoul, South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Korea, Nov. 2022.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