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[5] A. Krizhevsky, I. Sutskever, and G. E. Hinton, ‘‘ImageNet classification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with deep convolutional neural networks,’’ in Proc. Adv. Neural Inf. Pro-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cess. Syst., 2012, pp. 1097–1105.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[13] M. E. Peters, M. Neumann, M. Iyyer, M. Gardner, C. Clark, K. Lee,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L. Zettlemoyer, ‘‘Deep contextualized word representations,’’ 2018,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arXiv:1802.05365. [Online]. Available: https://arxiv.org/abs/1802.05365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[14] A. Radford, K. Narasimhan, T. Salimans, and I. Sutskever. (2018). Improv-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ing Language Understanding by Generative Pre-Training. [Online].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Available: https://s3-us-west-2.amazonaws.com/openai-assets/research-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covers/language-unsupervised/language_understanding_paper.pdf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[15] J. Devlin, M. W. Chang, K. Lee, and K. Toutanova, ‘‘BERT: Pre-training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of deep bidirectional transformers for language understanding,’’ 2018,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arXiv:1810.04805. [Online]. Available: https://arxiv.org/abs/1810.04805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[16] Z. Yang, Z. Dai, Y. Yang, J. Carbonell, R. Salakhutdinov, and Q. V. Le,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‘‘XLNet: Generalized autoregressive pretraining for language under-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standing,’’ 2019, arXiv:1906.08237. [Online]. Available: https://arxiv.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org/abs/1906.08237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[18] S. J. Pan, X. Ni, J.-T. Sun, Q. Yang, and Z. Chen, ‘‘Cross-domain sentiment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classification via spectral feature alignment,’’ in Proc. 19th Int. Conf.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WWW, 2010, pp. 751–760.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[19] Y. Ganin, E. Ustinova, H. Ajakan, P. Germain, H. Larochelle, F. Laviolette,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M. Marchand, and V. Lempitsky, ‘‘Domain-adversarial training of neural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networks,’’ J. Mach. Learn. Res., vol. 17, no. 59, pp. 1–35, 2016.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[20] B. Sun, J. Feng, and K. Saenko, ‘‘Return of frustratingly easy domain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adaptation,’’ in Proc. 30th AAAI, 2016, pp. 1–8.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[21] W. Zellinger, T. Grubinger, E. Lughofer, T. Natschlger, and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S. Saminger-Platz, ‘‘Central moment discrepancy (CMD) for domain-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invariant representation learning,’’ 2017, arXiv:1702.08811. [Online].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Available: https://arxiv.org/abs/1702.08811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[22] C. Chen, Z. Chen, B. Jiang, and X. Jin, ‘‘Joint domain alignment and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discriminative feature learning for unsupervised deep domain adaptation,’’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 Proc. 33rd AAAI, 2019, pp. 3296–3303.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[23] J. Donahue, Y. Jia, O. Vinyals, J. Hoffman, N. Zhang, E. Tzeng, and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T. Darrell, ‘‘DeCAF: A deep convolutional activation feature for genericvisual recognition,’’ in Proc. ICML, 2014, pp. 1–9.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[24] A. S. Razavian, H. Azizpour, J. Sullivan, and S. Carlsson, ‘‘CNN features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off-the-shelf: An astounding baseline for recognition,’’ in Proc. IEEE Conf.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CVPR Workshops, Jun. 2014, pp. 806–813.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[25] J. Howard and S. Ruder, ‘‘Universal language model fine-tuning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 text classification,’’ 2018, arXiv:1801.06146. [Online]. Available: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https://arxiv.org/abs/1801.06146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