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[10] S. Wolfert and G. Isakhanyan, ‘‘Sustainable agriculture by the Internet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 Things—A practitioner’s approach to monitor sustainability progress,’’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Comput. Electron. Agricult., vol. 200, Sep. 2022, Art. no. 107226, doi: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10.1016/j.compag.2022.107226.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[11] E. Alreshidi, ‘‘Smart sustainable agriculture (SSA) solution underpinned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Internet of Things (IoT) and artificial intelligence (AI),’’ Int. J. Adv.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Comput. Sci. Appl., vol. 10, no. 5, pp. 93–102, 2019.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[12] A. A. Jagadale, ‘‘Role of IoT and AI in agriculture technology,’’ Int. J. Adv.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Res. Sci. Commun. Technol., vol. 2, no. 2, pp. 257–268, Jun. 2022.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[13] H. C. Punjabi, S. Agarwal, V. Khithani, V. Muddaliar, and M. Vasmatkar,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‘‘Smart farming using IoT,’’ Int. J. Electron. Commun. Eng. Technol.,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vol. 8, no. 1, pp. 58–66, 2017.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[14] M. A. Uddin, A. Mansour, D. L. Jeune, M. Ayaz, and E.-H.-M. Aggoune,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‘‘UAV-assisted dynamic clustering of wireless sensor networks for crop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health monitoring,’’ Sensors, vol. 18, no. 2, p. 555, Feb. 2018.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[15] M. Alam and I. Khan, ‘‘IoT and AI for smart and sustainable agricul-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ture,’’ presented at the Int. Conf. Comput. Techn. Intell. Mach. (ICCTIM),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Bathinda, India, Nov. 2020.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[16] M. Dhanaraju, P. Chenniappan, K. Ramalingam, S. Pazhanivelan,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R. Kaliaperumal, ‘‘Smart farming: Internet of Things (IoT)-based sustain-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able agriculture,’’ Agriculture, vol. 12, no. 10, p. 1745, Oct. 2022, doi: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10.3390/agriculture12101745.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[17] M. S. Farooq, S. Riaz, A. Abid, K. Abid, and M. A. Naeem, ‘‘A survey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the role of IoT in agriculture for the implementation of smart farming,’’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IEEE Access, vol. 7, pp. 156237–156271, 2019.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[18] S. S. L. Chukkapalli, S. Mittal, M. Gupta, M. Abdelsalam, A. Joshi,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R. Sandhu, and K. Joshi, ‘‘Ontologies and artificial intelligence sys-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tems for the cooperative smart farming ecosystem,’’ IEEE Access, vol. 8,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pp. 164045–164064, 2020.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