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Papers in related work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[7] D. Liu, Y. Zhang, J. Zhang, Q. Li, C. Zhang, and Y. Yin, ‘‘Multiple 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fusion attention mechanism enhanced deep knowledge tracing for Student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performance prediction,’’ IEEE Access, vol. 8, pp. 194894–194903, 2020.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[13] M. Ding, K. Yang, D.-Y. Yeung, and T.-C. Pong, ‘‘Effective feature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learning with unsupervised learning for improving the predictive models 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massive open online courses,’’ in Proc. 9th Int. Conf. Learn. Anal. Knowl.,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Mar. 2019, pp. 135–144.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[14] T.-Y. Yang, C. G. Brinton, C. Joe-Wong, and M. Chiang, ‘‘Behavior-based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grade prediction for MOOCs via time series neural networks,’’ IEEE J. Sel.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Topics Signal Process., vol. 11, no. 5, pp. 716–728, Aug. 2017.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[16] Md. H. Rahman and Md. R. Islam, ‘‘Predict Student’s academic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performance and evaluate the impact of different attributes on the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performance using data mining techniques,’’ in Proc. 2nd Int. Conf. Electr.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Electron. Eng. (ICEEE), Dec. 2017, pp. 1–4.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[17] M. Adnan, A. Habib, J. Ashraf, S. Mussadiq, A. A. Raza, M. Abid,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M. Bashir, and S. U. Khan, ‘‘Predicting at-risk Students at different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percentages of course length for early intervention using machine learning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models,’’ IEEE Access, vol. 9, pp. 7519–7539, 2021.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[18] C.-H. Yu, J. Wu, and A.-C. Liu, ‘‘Predicting learning outcomes with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MOOC clickstreams,’’ Educ. Sci., vol. 9, no. 2, p. 104, May 2019.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[20] M. Ding, Y. Wang, E. Hemberg, and U.-M. O’Reilly, ‘‘Transfer learning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representation learning in massive open online courses,’’ in Proc. 9th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Int. Conf. Learn. Anal. Knowl., Mar. 2019, pp. 145–154.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[21] Y. Zheng, Z. Gao, Y. Wang, and Q. Fu, ‘‘MOOC dropout prediction using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FWTS-CNN model based on fused feature weighting and time series,’’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IEEE Access, vol. 8, pp. 225324–225335, 2020.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[23] Y.-W. Chu, E. Tenorio, L. Cruz, K. Douglas, A. S. Lan, and C. G. Brinton,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‘‘Click-based Student performance prediction: A clustering guided meta-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learning approach,’’ in Proc. IEEE Int. Conf. Big Data, Dec. 2021,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pp. 1389–1398.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[24] A. Scarlatos, C. Brinton, and A. Lan, ‘‘Process-BERT: A frame-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work for representation learning on educational process data,’’ 2022,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arXiv:2204.13607.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[25] F. Han, ‘‘Representation learning on unstructured data,’’ Ph.D. dissertation,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Dept. Comput. Sci., Univ. California, Santa Barbara, CA, USA, 2016.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[26] A. S. Imran, F. Dalipi, and Z. Kastrati, ‘‘Predicting Student dropout in a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MOOC: An evaluation of a deep neural network model,’’ in Proc. 5th Int.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Conf. Comput. Artif. Intell., Apr. 2019, pp. 190–195.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[28] S. Yin, L. Lei, H. Wang, and W. Chen, ‘‘Power of attention in MOOC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dropout prediction,’’ IEEE Access, vol. 8, pp. 202993–203002, 2020.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[29] L. Qiu, Y. Liu, Q. Hu, and Y. Liu, ‘‘Student dropout prediction in massive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open online courses by convolutional neural networks,’’ Soft Comput.,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vol. 23, no. 20, pp. 10287–10301, Oct. 2019.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[30] W. Wang, H. Yu, and C. Miao, ‘‘Deep model for dropout prediction in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MOOCs,’’ in Proc. 2nd Int. Conf. Crowd Sci. Eng., Jul. 2017, pp. 26–32.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[31] A. A. Mubarak, H. Cao, and I. M. Hezam, ‘‘Deep analytic model for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Student dropout prediction in massive open online courses,’’ Comput.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Elect. Eng., vol. 93, Jul. 2021, Art. no. 107271.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[32] N. Wu, L. Zhang, Y. Gao, M. Zhang, X. Sun, and J. Feng, ‘‘CLMS-Net: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Dropout prediction in MOOCs with deep learning,’’ in Proc. ACM Turing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Celebration Conf., May 2019, pp. 1–6.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[33] Y. Zhang, L. Chang, and T. Liu, ‘‘MOOCs dropout prediction based 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hybrid deep neural network,’’ in Proc. Int. Conf. Cyber-Enabled Distrib.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Comput. Knowl. Discovery (CyberC), Oct. 2020, pp. 197–203.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